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ED0C38" w:rsidRDefault="00F35BAF" w:rsidP="0067661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76617" w:rsidP="00676617">
            <w:pPr>
              <w:jc w:val="right"/>
            </w:pPr>
            <w:r w:rsidRPr="00676617">
              <w:rPr>
                <w:sz w:val="40"/>
              </w:rPr>
              <w:t>ECE</w:t>
            </w:r>
            <w:r>
              <w:t>/TRANS/WP.29/GRSP/2017/10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76617" w:rsidP="00C97039">
            <w:pPr>
              <w:spacing w:before="240"/>
            </w:pPr>
            <w:r>
              <w:t>Distr. générale</w:t>
            </w:r>
          </w:p>
          <w:p w:rsidR="00676617" w:rsidRDefault="00676617" w:rsidP="00676617">
            <w:pPr>
              <w:spacing w:line="240" w:lineRule="exact"/>
            </w:pPr>
            <w:r>
              <w:t>17 février 2017</w:t>
            </w:r>
          </w:p>
          <w:p w:rsidR="00676617" w:rsidRDefault="00676617" w:rsidP="00676617">
            <w:pPr>
              <w:spacing w:line="240" w:lineRule="exact"/>
            </w:pPr>
            <w:r>
              <w:t>Français</w:t>
            </w:r>
          </w:p>
          <w:p w:rsidR="00676617" w:rsidRPr="00DB58B5" w:rsidRDefault="00676617" w:rsidP="0067661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210A9F">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76617" w:rsidRDefault="00676617" w:rsidP="00AF0CB5">
      <w:pPr>
        <w:spacing w:before="120"/>
        <w:rPr>
          <w:b/>
          <w:sz w:val="24"/>
          <w:szCs w:val="24"/>
        </w:rPr>
      </w:pPr>
      <w:r w:rsidRPr="00685843">
        <w:rPr>
          <w:b/>
          <w:sz w:val="24"/>
          <w:szCs w:val="24"/>
        </w:rPr>
        <w:t>Forum mondial de l</w:t>
      </w:r>
      <w:r w:rsidR="00210A9F">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76617" w:rsidRDefault="00676617" w:rsidP="00257168">
      <w:pPr>
        <w:spacing w:before="120" w:after="120" w:line="240" w:lineRule="exact"/>
        <w:rPr>
          <w:b/>
        </w:rPr>
      </w:pPr>
      <w:r>
        <w:rPr>
          <w:b/>
        </w:rPr>
        <w:t>Groupe de travail de la sécurité passive</w:t>
      </w:r>
    </w:p>
    <w:p w:rsidR="00676617" w:rsidRDefault="00676617" w:rsidP="00257168">
      <w:pPr>
        <w:spacing w:before="120" w:line="240" w:lineRule="exact"/>
        <w:rPr>
          <w:b/>
        </w:rPr>
      </w:pPr>
      <w:r w:rsidRPr="00676617">
        <w:rPr>
          <w:b/>
        </w:rPr>
        <w:t xml:space="preserve">Soixante et unième </w:t>
      </w:r>
      <w:r>
        <w:rPr>
          <w:b/>
        </w:rPr>
        <w:t>session</w:t>
      </w:r>
    </w:p>
    <w:p w:rsidR="00676617" w:rsidRDefault="00676617" w:rsidP="00257168">
      <w:pPr>
        <w:spacing w:line="240" w:lineRule="exact"/>
      </w:pPr>
      <w:r>
        <w:t>Genève, 8-12 mai 2017</w:t>
      </w:r>
    </w:p>
    <w:p w:rsidR="00676617" w:rsidRPr="00676617" w:rsidRDefault="00676617" w:rsidP="00676617">
      <w:pPr>
        <w:spacing w:line="240" w:lineRule="exact"/>
      </w:pPr>
      <w:r w:rsidRPr="00676617">
        <w:t>Point 13 de l</w:t>
      </w:r>
      <w:r w:rsidR="00210A9F">
        <w:t>’</w:t>
      </w:r>
      <w:r w:rsidRPr="00676617">
        <w:t>ordre du jour provisoire</w:t>
      </w:r>
    </w:p>
    <w:p w:rsidR="00F9573C" w:rsidRDefault="00676617" w:rsidP="00676617">
      <w:pPr>
        <w:spacing w:line="240" w:lineRule="exact"/>
        <w:rPr>
          <w:b/>
        </w:rPr>
      </w:pPr>
      <w:r w:rsidRPr="00676617">
        <w:rPr>
          <w:b/>
        </w:rPr>
        <w:t xml:space="preserve">Règlement </w:t>
      </w:r>
      <w:r w:rsidRPr="00676617">
        <w:rPr>
          <w:rFonts w:eastAsia="MS Mincho"/>
          <w:b/>
          <w:szCs w:val="22"/>
        </w:rPr>
        <w:t>n</w:t>
      </w:r>
      <w:r w:rsidRPr="00676617">
        <w:rPr>
          <w:rFonts w:eastAsia="MS Mincho"/>
          <w:b/>
          <w:szCs w:val="22"/>
          <w:vertAlign w:val="superscript"/>
        </w:rPr>
        <w:t>o</w:t>
      </w:r>
      <w:r>
        <w:rPr>
          <w:b/>
        </w:rPr>
        <w:t> </w:t>
      </w:r>
      <w:r w:rsidRPr="00676617">
        <w:rPr>
          <w:b/>
        </w:rPr>
        <w:t>44 (Dispositifs de retenue pour enfants)</w:t>
      </w:r>
    </w:p>
    <w:p w:rsidR="00676617" w:rsidRPr="00180990" w:rsidRDefault="00676617" w:rsidP="00676617">
      <w:pPr>
        <w:pStyle w:val="HChG"/>
      </w:pPr>
      <w:r>
        <w:tab/>
      </w:r>
      <w:r>
        <w:tab/>
        <w:t>Proposition de complément 13 à la série 04 d</w:t>
      </w:r>
      <w:r w:rsidR="00210A9F">
        <w:t>’</w:t>
      </w:r>
      <w:r>
        <w:t xml:space="preserve">amendements au Règlement </w:t>
      </w:r>
      <w:r w:rsidRPr="002D76F4">
        <w:rPr>
          <w:rFonts w:eastAsia="MS Mincho"/>
          <w:szCs w:val="22"/>
        </w:rPr>
        <w:t>n</w:t>
      </w:r>
      <w:r w:rsidRPr="002D76F4">
        <w:rPr>
          <w:rFonts w:eastAsia="MS Mincho"/>
          <w:szCs w:val="22"/>
          <w:vertAlign w:val="superscript"/>
        </w:rPr>
        <w:t>o</w:t>
      </w:r>
      <w:r>
        <w:t> 44 (Dispositifs de retenue pour enfants)</w:t>
      </w:r>
    </w:p>
    <w:p w:rsidR="00676617" w:rsidRDefault="00676617" w:rsidP="00676617">
      <w:pPr>
        <w:pStyle w:val="H1G"/>
        <w:rPr>
          <w:b w:val="0"/>
          <w:sz w:val="20"/>
        </w:rPr>
      </w:pPr>
      <w:r>
        <w:tab/>
      </w:r>
      <w:r>
        <w:tab/>
        <w:t>Communication de l</w:t>
      </w:r>
      <w:r w:rsidR="00210A9F">
        <w:t>’</w:t>
      </w:r>
      <w:r>
        <w:t>expert de l</w:t>
      </w:r>
      <w:r w:rsidR="00210A9F">
        <w:t>’</w:t>
      </w:r>
      <w:r>
        <w:t xml:space="preserve">Organisation internationale </w:t>
      </w:r>
      <w:r w:rsidR="00E46C78">
        <w:br/>
      </w:r>
      <w:r>
        <w:t>des constructeurs d</w:t>
      </w:r>
      <w:r w:rsidR="00210A9F">
        <w:t>’</w:t>
      </w:r>
      <w:r>
        <w:t>automobiles</w:t>
      </w:r>
      <w:r w:rsidRPr="00E46C78">
        <w:rPr>
          <w:rStyle w:val="FootnoteReference"/>
          <w:b w:val="0"/>
          <w:sz w:val="20"/>
          <w:vertAlign w:val="baseline"/>
        </w:rPr>
        <w:footnoteReference w:customMarkFollows="1" w:id="2"/>
        <w:t>*</w:t>
      </w:r>
    </w:p>
    <w:p w:rsidR="0063260C" w:rsidRDefault="00E46C78" w:rsidP="00E46C78">
      <w:pPr>
        <w:pStyle w:val="SingleTxtG"/>
        <w:ind w:firstLine="567"/>
      </w:pPr>
      <w:r>
        <w:t>Le texte reproduit ci-après a été établi par l</w:t>
      </w:r>
      <w:r w:rsidR="00210A9F">
        <w:t>’</w:t>
      </w:r>
      <w:r>
        <w:t>expert de l</w:t>
      </w:r>
      <w:r w:rsidR="00210A9F">
        <w:t>’</w:t>
      </w:r>
      <w:r>
        <w:t>Organisation internationale des constructeurs d</w:t>
      </w:r>
      <w:r w:rsidR="00210A9F">
        <w:t>’</w:t>
      </w:r>
      <w:r>
        <w:t>automobiles (OICA). La proposition vise à aligner le Règlement n</w:t>
      </w:r>
      <w:r w:rsidR="0063260C" w:rsidRPr="002D76F4">
        <w:rPr>
          <w:rFonts w:eastAsia="MS Mincho"/>
          <w:szCs w:val="22"/>
          <w:vertAlign w:val="superscript"/>
        </w:rPr>
        <w:t>o</w:t>
      </w:r>
      <w:r w:rsidR="0063260C">
        <w:t> </w:t>
      </w:r>
      <w:r>
        <w:t xml:space="preserve">44 sur les deux Règlements issus de la scission du Règlement </w:t>
      </w:r>
      <w:r w:rsidRPr="002D76F4">
        <w:rPr>
          <w:rFonts w:eastAsia="MS Mincho"/>
          <w:szCs w:val="22"/>
        </w:rPr>
        <w:t>n</w:t>
      </w:r>
      <w:r w:rsidRPr="002D76F4">
        <w:rPr>
          <w:rFonts w:eastAsia="MS Mincho"/>
          <w:szCs w:val="22"/>
          <w:vertAlign w:val="superscript"/>
        </w:rPr>
        <w:t>o</w:t>
      </w:r>
      <w:r>
        <w:t> 14. Les modifications qu</w:t>
      </w:r>
      <w:r w:rsidR="00210A9F">
        <w:t>’</w:t>
      </w:r>
      <w:r>
        <w:t>il est proposé d</w:t>
      </w:r>
      <w:r w:rsidR="00210A9F">
        <w:t>’</w:t>
      </w:r>
      <w:r>
        <w:t>apporter au texte actuel du Règlement figurent en caractères gras pour les ajouts et biffés pour les suppressions.</w:t>
      </w:r>
    </w:p>
    <w:p w:rsidR="00E46C78" w:rsidRDefault="0063260C" w:rsidP="00FE21E0">
      <w:pPr>
        <w:pStyle w:val="HChG"/>
      </w:pPr>
      <w:r>
        <w:br w:type="page"/>
      </w:r>
      <w:r w:rsidR="00FE21E0">
        <w:lastRenderedPageBreak/>
        <w:tab/>
        <w:t>I.</w:t>
      </w:r>
      <w:r w:rsidR="00FE21E0">
        <w:tab/>
        <w:t>Proposition</w:t>
      </w:r>
    </w:p>
    <w:p w:rsidR="00FE21E0" w:rsidRPr="00FE21E0" w:rsidRDefault="00FE21E0" w:rsidP="00FE21E0">
      <w:pPr>
        <w:pStyle w:val="SingleTxtG"/>
      </w:pPr>
      <w:r w:rsidRPr="00FE21E0">
        <w:rPr>
          <w:i/>
        </w:rPr>
        <w:t>Paragraphe 2.14.1</w:t>
      </w:r>
      <w:r w:rsidRPr="00FE21E0">
        <w:t>,</w:t>
      </w:r>
      <w:r w:rsidRPr="00FE21E0">
        <w:rPr>
          <w:i/>
        </w:rPr>
        <w:t xml:space="preserve"> </w:t>
      </w:r>
      <w:proofErr w:type="gramStart"/>
      <w:r w:rsidRPr="00FE21E0">
        <w:t>modifier</w:t>
      </w:r>
      <w:proofErr w:type="gramEnd"/>
      <w:r w:rsidRPr="00FE21E0">
        <w:t xml:space="preserve"> comme suit</w:t>
      </w:r>
      <w:r>
        <w:t> </w:t>
      </w:r>
      <w:r w:rsidRPr="00FE21E0">
        <w:t>:</w:t>
      </w:r>
    </w:p>
    <w:p w:rsidR="00FE21E0" w:rsidRPr="00FE21E0" w:rsidRDefault="00FE21E0" w:rsidP="00FE21E0">
      <w:pPr>
        <w:pStyle w:val="SingleTxtG"/>
        <w:ind w:left="2268" w:hanging="1134"/>
      </w:pPr>
      <w:r w:rsidRPr="00FE21E0">
        <w:t>« 2.14.1</w:t>
      </w:r>
      <w:r w:rsidRPr="00FE21E0">
        <w:tab/>
        <w:t>“</w:t>
      </w:r>
      <w:r w:rsidRPr="00FE21E0">
        <w:rPr>
          <w:i/>
        </w:rPr>
        <w:t>Ancrages additionnels</w:t>
      </w:r>
      <w:r w:rsidRPr="00FE21E0">
        <w:t>”, la partie de la structure du véhicule ou de la structure du siège du véhicule ou toute autre partie du véhicule à laquelle un dispositif de retenue pour enfants est destiné à être attaché, et qui s</w:t>
      </w:r>
      <w:r w:rsidR="00210A9F">
        <w:t>’</w:t>
      </w:r>
      <w:r w:rsidRPr="00FE21E0">
        <w:t xml:space="preserve">ajoutent aux ancrages homologués en vertu du Règlement </w:t>
      </w:r>
      <w:r w:rsidRPr="002D76F4">
        <w:rPr>
          <w:rFonts w:eastAsia="MS Mincho"/>
          <w:szCs w:val="22"/>
        </w:rPr>
        <w:t>n</w:t>
      </w:r>
      <w:r w:rsidRPr="002D76F4">
        <w:rPr>
          <w:rFonts w:eastAsia="MS Mincho"/>
          <w:szCs w:val="22"/>
          <w:vertAlign w:val="superscript"/>
        </w:rPr>
        <w:t>o</w:t>
      </w:r>
      <w:r>
        <w:t> </w:t>
      </w:r>
      <w:r w:rsidRPr="00FE21E0">
        <w:t xml:space="preserve">14 </w:t>
      </w:r>
      <w:r w:rsidRPr="00FE21E0">
        <w:rPr>
          <w:b/>
          <w:bCs/>
        </w:rPr>
        <w:t>ou du Règlement</w:t>
      </w:r>
      <w:r w:rsidR="007B4D58">
        <w:rPr>
          <w:b/>
          <w:bCs/>
        </w:rPr>
        <w:t> </w:t>
      </w:r>
      <w:r w:rsidRPr="00FE21E0">
        <w:rPr>
          <w:rFonts w:eastAsia="MS Mincho"/>
          <w:b/>
          <w:bCs/>
          <w:szCs w:val="22"/>
        </w:rPr>
        <w:t>n</w:t>
      </w:r>
      <w:r w:rsidRPr="00FE21E0">
        <w:rPr>
          <w:rFonts w:eastAsia="MS Mincho"/>
          <w:b/>
          <w:bCs/>
          <w:szCs w:val="22"/>
          <w:vertAlign w:val="superscript"/>
        </w:rPr>
        <w:t>o</w:t>
      </w:r>
      <w:r>
        <w:rPr>
          <w:b/>
          <w:bCs/>
        </w:rPr>
        <w:t> </w:t>
      </w:r>
      <w:r w:rsidRPr="00FE21E0">
        <w:rPr>
          <w:b/>
          <w:bCs/>
        </w:rPr>
        <w:t>[XX]</w:t>
      </w:r>
      <w:r w:rsidRPr="00231583">
        <w:rPr>
          <w:bCs/>
        </w:rPr>
        <w:t>.</w:t>
      </w:r>
      <w:r w:rsidRPr="00FE21E0">
        <w:t xml:space="preserve"> Ces ancrages comprennent le plancher du chariot décrit à l</w:t>
      </w:r>
      <w:r w:rsidR="00210A9F">
        <w:t>’</w:t>
      </w:r>
      <w:r w:rsidRPr="00FE21E0">
        <w:t>annexe</w:t>
      </w:r>
      <w:r>
        <w:t> </w:t>
      </w:r>
      <w:r w:rsidRPr="00FE21E0">
        <w:t>6 ou tout autre élément de structure du ou des véhicules lorsqu</w:t>
      </w:r>
      <w:r w:rsidR="00210A9F">
        <w:t>’</w:t>
      </w:r>
      <w:r w:rsidRPr="00FE21E0">
        <w:t>il est soutenu par une jambe de force. ».</w:t>
      </w:r>
    </w:p>
    <w:p w:rsidR="00FE21E0" w:rsidRPr="00FE21E0" w:rsidRDefault="00FE21E0" w:rsidP="00FE21E0">
      <w:pPr>
        <w:pStyle w:val="SingleTxtG"/>
      </w:pPr>
      <w:r w:rsidRPr="00FE21E0">
        <w:rPr>
          <w:i/>
        </w:rPr>
        <w:t>Paragraphe 2.14.3</w:t>
      </w:r>
      <w:r w:rsidRPr="007B4D58">
        <w:t>,</w:t>
      </w:r>
      <w:r w:rsidRPr="00FE21E0">
        <w:rPr>
          <w:i/>
        </w:rPr>
        <w:t xml:space="preserve"> </w:t>
      </w:r>
      <w:proofErr w:type="gramStart"/>
      <w:r w:rsidRPr="00FE21E0">
        <w:t>modifier</w:t>
      </w:r>
      <w:proofErr w:type="gramEnd"/>
      <w:r w:rsidRPr="00FE21E0">
        <w:t xml:space="preserve"> comme suit</w:t>
      </w:r>
      <w:r w:rsidR="007B4D58">
        <w:t> </w:t>
      </w:r>
      <w:r w:rsidRPr="00FE21E0">
        <w:t>:</w:t>
      </w:r>
    </w:p>
    <w:p w:rsidR="00FE21E0" w:rsidRPr="00FE21E0" w:rsidRDefault="00FE21E0" w:rsidP="007B4D58">
      <w:pPr>
        <w:pStyle w:val="SingleTxtG"/>
        <w:ind w:left="2268" w:hanging="1134"/>
      </w:pPr>
      <w:r w:rsidRPr="00FE21E0">
        <w:t>« 2.14.3</w:t>
      </w:r>
      <w:r w:rsidRPr="00FE21E0">
        <w:tab/>
        <w:t>“</w:t>
      </w:r>
      <w:r w:rsidRPr="00FE21E0">
        <w:rPr>
          <w:i/>
        </w:rPr>
        <w:t>Système d</w:t>
      </w:r>
      <w:r w:rsidR="00210A9F">
        <w:rPr>
          <w:i/>
        </w:rPr>
        <w:t>’</w:t>
      </w:r>
      <w:r w:rsidRPr="00FE21E0">
        <w:rPr>
          <w:i/>
        </w:rPr>
        <w:t>ancrages ISOFIX</w:t>
      </w:r>
      <w:r w:rsidRPr="00FE21E0">
        <w:t>”</w:t>
      </w:r>
      <w:r w:rsidR="007B4D58">
        <w:t> </w:t>
      </w:r>
      <w:r w:rsidRPr="00FE21E0">
        <w:t xml:space="preserve">: un système composé de deux ancrages inférieurs ISOFIX, conformes au Règlement </w:t>
      </w:r>
      <w:r w:rsidR="007B4D58" w:rsidRPr="002D76F4">
        <w:rPr>
          <w:rFonts w:eastAsia="MS Mincho"/>
          <w:szCs w:val="22"/>
        </w:rPr>
        <w:t>n</w:t>
      </w:r>
      <w:r w:rsidR="007B4D58" w:rsidRPr="002D76F4">
        <w:rPr>
          <w:rFonts w:eastAsia="MS Mincho"/>
          <w:szCs w:val="22"/>
          <w:vertAlign w:val="superscript"/>
        </w:rPr>
        <w:t>o</w:t>
      </w:r>
      <w:r w:rsidR="007B4D58">
        <w:t> </w:t>
      </w:r>
      <w:r w:rsidRPr="00FE21E0">
        <w:t xml:space="preserve">14 </w:t>
      </w:r>
      <w:r w:rsidRPr="00FE21E0">
        <w:rPr>
          <w:b/>
          <w:bCs/>
        </w:rPr>
        <w:t xml:space="preserve">ou au Règlement </w:t>
      </w:r>
      <w:r w:rsidR="007B4D58" w:rsidRPr="007B4D58">
        <w:rPr>
          <w:rFonts w:eastAsia="MS Mincho"/>
          <w:b/>
          <w:bCs/>
          <w:szCs w:val="22"/>
        </w:rPr>
        <w:t>n</w:t>
      </w:r>
      <w:r w:rsidR="007B4D58" w:rsidRPr="007B4D58">
        <w:rPr>
          <w:rFonts w:eastAsia="MS Mincho"/>
          <w:b/>
          <w:bCs/>
          <w:szCs w:val="22"/>
          <w:vertAlign w:val="superscript"/>
        </w:rPr>
        <w:t>o</w:t>
      </w:r>
      <w:r w:rsidR="007B4D58">
        <w:rPr>
          <w:b/>
          <w:bCs/>
        </w:rPr>
        <w:t> </w:t>
      </w:r>
      <w:r w:rsidRPr="00FE21E0">
        <w:rPr>
          <w:b/>
          <w:bCs/>
        </w:rPr>
        <w:t xml:space="preserve">[XX] </w:t>
      </w:r>
      <w:r w:rsidRPr="00FE21E0">
        <w:t>et destiné à attacher un dispositif de retenue pour enfants ISOFIX, associé à un système antirotation. ».</w:t>
      </w:r>
    </w:p>
    <w:p w:rsidR="00FE21E0" w:rsidRPr="00FE21E0" w:rsidRDefault="00FE21E0" w:rsidP="00FE21E0">
      <w:pPr>
        <w:pStyle w:val="SingleTxtG"/>
      </w:pPr>
      <w:r w:rsidRPr="00FE21E0">
        <w:rPr>
          <w:i/>
        </w:rPr>
        <w:t>Paragraphe 2.14.5</w:t>
      </w:r>
      <w:r w:rsidRPr="00FE21E0">
        <w:t xml:space="preserve">, </w:t>
      </w:r>
      <w:proofErr w:type="gramStart"/>
      <w:r w:rsidRPr="00FE21E0">
        <w:t>modifier</w:t>
      </w:r>
      <w:proofErr w:type="gramEnd"/>
      <w:r w:rsidRPr="00FE21E0">
        <w:t xml:space="preserve"> comme suit</w:t>
      </w:r>
      <w:r w:rsidR="007B4D58">
        <w:t> </w:t>
      </w:r>
      <w:r w:rsidRPr="00FE21E0">
        <w:t>:</w:t>
      </w:r>
    </w:p>
    <w:p w:rsidR="00FE21E0" w:rsidRPr="00FE21E0" w:rsidRDefault="00FE21E0" w:rsidP="007B4D58">
      <w:pPr>
        <w:pStyle w:val="SingleTxtG"/>
        <w:ind w:left="2268" w:hanging="1134"/>
      </w:pPr>
      <w:r w:rsidRPr="00FE21E0">
        <w:t>« 2.14.5</w:t>
      </w:r>
      <w:r w:rsidRPr="00FE21E0">
        <w:tab/>
        <w:t>Par “</w:t>
      </w:r>
      <w:r w:rsidRPr="00FE21E0">
        <w:rPr>
          <w:i/>
        </w:rPr>
        <w:t>ancrage pour fixation supérieure ISOFIX</w:t>
      </w:r>
      <w:r w:rsidRPr="00FE21E0">
        <w:t xml:space="preserve">”, un dispositif, conforme aux exigences du Règlement </w:t>
      </w:r>
      <w:r w:rsidR="00B23AB0" w:rsidRPr="002D76F4">
        <w:rPr>
          <w:rFonts w:eastAsia="MS Mincho"/>
          <w:szCs w:val="22"/>
        </w:rPr>
        <w:t>n</w:t>
      </w:r>
      <w:r w:rsidR="00B23AB0" w:rsidRPr="002D76F4">
        <w:rPr>
          <w:rFonts w:eastAsia="MS Mincho"/>
          <w:szCs w:val="22"/>
          <w:vertAlign w:val="superscript"/>
        </w:rPr>
        <w:t>o</w:t>
      </w:r>
      <w:r w:rsidR="00B23AB0">
        <w:t> </w:t>
      </w:r>
      <w:r w:rsidRPr="00FE21E0">
        <w:t xml:space="preserve">14 </w:t>
      </w:r>
      <w:r w:rsidRPr="00FE21E0">
        <w:rPr>
          <w:b/>
          <w:bCs/>
        </w:rPr>
        <w:t xml:space="preserve">ou du Règlement </w:t>
      </w:r>
      <w:r w:rsidR="00B23AB0" w:rsidRPr="00B23AB0">
        <w:rPr>
          <w:rFonts w:eastAsia="MS Mincho"/>
          <w:b/>
          <w:bCs/>
          <w:szCs w:val="22"/>
        </w:rPr>
        <w:t>n</w:t>
      </w:r>
      <w:r w:rsidR="00B23AB0" w:rsidRPr="00B23AB0">
        <w:rPr>
          <w:rFonts w:eastAsia="MS Mincho"/>
          <w:b/>
          <w:bCs/>
          <w:szCs w:val="22"/>
          <w:vertAlign w:val="superscript"/>
        </w:rPr>
        <w:t>o</w:t>
      </w:r>
      <w:r w:rsidR="00B23AB0">
        <w:rPr>
          <w:b/>
          <w:bCs/>
        </w:rPr>
        <w:t> </w:t>
      </w:r>
      <w:r w:rsidRPr="00FE21E0">
        <w:rPr>
          <w:b/>
          <w:bCs/>
        </w:rPr>
        <w:t>[XX],</w:t>
      </w:r>
      <w:r w:rsidRPr="00FE21E0">
        <w:t xml:space="preserve"> comme une barre, située dans une zone définie, destiné à recevoir un connecteur de sangle d</w:t>
      </w:r>
      <w:r w:rsidR="00210A9F">
        <w:t>’</w:t>
      </w:r>
      <w:r w:rsidRPr="00FE21E0">
        <w:t>ancrage supérieur ISOFIX et à transférer son effort de rétention sur la structure du véhicule. ».</w:t>
      </w:r>
    </w:p>
    <w:p w:rsidR="00FE21E0" w:rsidRPr="00FE21E0" w:rsidRDefault="00FE21E0" w:rsidP="00FE21E0">
      <w:pPr>
        <w:pStyle w:val="SingleTxtG"/>
      </w:pPr>
      <w:r w:rsidRPr="00FE21E0">
        <w:rPr>
          <w:i/>
        </w:rPr>
        <w:t>Paragraphe 2.29</w:t>
      </w:r>
      <w:r w:rsidRPr="00FE21E0">
        <w:t xml:space="preserve">, </w:t>
      </w:r>
      <w:proofErr w:type="gramStart"/>
      <w:r w:rsidRPr="00FE21E0">
        <w:t>modifier</w:t>
      </w:r>
      <w:proofErr w:type="gramEnd"/>
      <w:r w:rsidRPr="00FE21E0">
        <w:t xml:space="preserve"> comme suit</w:t>
      </w:r>
      <w:r w:rsidR="00B23AB0">
        <w:t> </w:t>
      </w:r>
      <w:r w:rsidRPr="00FE21E0">
        <w:t>:</w:t>
      </w:r>
    </w:p>
    <w:p w:rsidR="00FE21E0" w:rsidRPr="00FE21E0" w:rsidRDefault="00FE21E0" w:rsidP="007B4D58">
      <w:pPr>
        <w:pStyle w:val="SingleTxtG"/>
        <w:ind w:left="2268" w:hanging="1134"/>
        <w:rPr>
          <w:bCs/>
        </w:rPr>
      </w:pPr>
      <w:r w:rsidRPr="00FE21E0">
        <w:t>« 2.29</w:t>
      </w:r>
      <w:r w:rsidRPr="00FE21E0">
        <w:tab/>
        <w:t>Par “</w:t>
      </w:r>
      <w:r w:rsidRPr="00FE21E0">
        <w:rPr>
          <w:i/>
        </w:rPr>
        <w:t>dispositif de retenue pour enfants ISOFIX</w:t>
      </w:r>
      <w:r w:rsidRPr="00FE21E0">
        <w:t>”, un dispositif de retenue pour enfants qui doit être fixé à un système d</w:t>
      </w:r>
      <w:r w:rsidR="00210A9F">
        <w:t>’</w:t>
      </w:r>
      <w:r w:rsidRPr="00FE21E0">
        <w:t xml:space="preserve">ancrages ISOFIX conforme au Règlement </w:t>
      </w:r>
      <w:r w:rsidR="00B23AB0" w:rsidRPr="002D76F4">
        <w:rPr>
          <w:rFonts w:eastAsia="MS Mincho"/>
          <w:szCs w:val="22"/>
        </w:rPr>
        <w:t>n</w:t>
      </w:r>
      <w:r w:rsidR="00B23AB0" w:rsidRPr="002D76F4">
        <w:rPr>
          <w:rFonts w:eastAsia="MS Mincho"/>
          <w:szCs w:val="22"/>
          <w:vertAlign w:val="superscript"/>
        </w:rPr>
        <w:t>o</w:t>
      </w:r>
      <w:r w:rsidR="00B23AB0">
        <w:t> </w:t>
      </w:r>
      <w:r w:rsidRPr="00FE21E0">
        <w:t xml:space="preserve">14 </w:t>
      </w:r>
      <w:r w:rsidRPr="00FE21E0">
        <w:rPr>
          <w:b/>
          <w:bCs/>
        </w:rPr>
        <w:t xml:space="preserve">ou au Règlement </w:t>
      </w:r>
      <w:r w:rsidR="00B23AB0" w:rsidRPr="00B23AB0">
        <w:rPr>
          <w:rFonts w:eastAsia="MS Mincho"/>
          <w:b/>
          <w:bCs/>
          <w:szCs w:val="22"/>
        </w:rPr>
        <w:t>n</w:t>
      </w:r>
      <w:r w:rsidR="00B23AB0" w:rsidRPr="00B23AB0">
        <w:rPr>
          <w:rFonts w:eastAsia="MS Mincho"/>
          <w:b/>
          <w:bCs/>
          <w:szCs w:val="22"/>
          <w:vertAlign w:val="superscript"/>
        </w:rPr>
        <w:t>o</w:t>
      </w:r>
      <w:r w:rsidR="00B23AB0">
        <w:rPr>
          <w:b/>
          <w:bCs/>
        </w:rPr>
        <w:t> </w:t>
      </w:r>
      <w:r w:rsidRPr="00FE21E0">
        <w:rPr>
          <w:b/>
          <w:bCs/>
        </w:rPr>
        <w:t>[XX]</w:t>
      </w:r>
      <w:r w:rsidRPr="00FE21E0">
        <w:t>.</w:t>
      </w:r>
      <w:r w:rsidR="00231583">
        <w:t> </w:t>
      </w:r>
      <w:r w:rsidRPr="00FE21E0">
        <w:t>».</w:t>
      </w:r>
    </w:p>
    <w:p w:rsidR="00FE21E0" w:rsidRPr="00FE21E0" w:rsidRDefault="00FE21E0" w:rsidP="00FE21E0">
      <w:pPr>
        <w:pStyle w:val="SingleTxtG"/>
      </w:pPr>
      <w:r w:rsidRPr="00FE21E0">
        <w:rPr>
          <w:i/>
        </w:rPr>
        <w:t>Paragraphe 2.33</w:t>
      </w:r>
      <w:r w:rsidRPr="00FE21E0">
        <w:t xml:space="preserve">, </w:t>
      </w:r>
      <w:proofErr w:type="gramStart"/>
      <w:r w:rsidRPr="00FE21E0">
        <w:t>modifier</w:t>
      </w:r>
      <w:proofErr w:type="gramEnd"/>
      <w:r w:rsidRPr="00FE21E0">
        <w:t xml:space="preserve"> comme suit :</w:t>
      </w:r>
    </w:p>
    <w:p w:rsidR="00FE21E0" w:rsidRPr="00FE21E0" w:rsidRDefault="00FE21E0" w:rsidP="007B4D58">
      <w:pPr>
        <w:pStyle w:val="SingleTxtG"/>
        <w:ind w:left="2268" w:hanging="1134"/>
      </w:pPr>
      <w:r w:rsidRPr="00FE21E0">
        <w:t>« 2.33</w:t>
      </w:r>
      <w:r w:rsidRPr="00FE21E0">
        <w:tab/>
        <w:t>Par “</w:t>
      </w:r>
      <w:r w:rsidRPr="00FE21E0">
        <w:rPr>
          <w:i/>
        </w:rPr>
        <w:t>crochet d</w:t>
      </w:r>
      <w:r w:rsidR="00210A9F">
        <w:rPr>
          <w:i/>
        </w:rPr>
        <w:t>’</w:t>
      </w:r>
      <w:r w:rsidRPr="00FE21E0">
        <w:rPr>
          <w:i/>
        </w:rPr>
        <w:t>ancrage pour fixation supérieure ISOFIX</w:t>
      </w:r>
      <w:r w:rsidRPr="00FE21E0">
        <w:t>”, un connecteur d</w:t>
      </w:r>
      <w:r w:rsidR="00210A9F">
        <w:t>’</w:t>
      </w:r>
      <w:r w:rsidRPr="00FE21E0">
        <w:t>ancrage supérieur ISOFIX utilisé spécialement pour attacher une sangle de fixation supérieure ISOFIX à un ancrage pour fixation supérieure IS</w:t>
      </w:r>
      <w:r w:rsidR="00231583">
        <w:t>OFIX tel que défini à la figure </w:t>
      </w:r>
      <w:r w:rsidRPr="00FE21E0">
        <w:t xml:space="preserve">3 du Règlement </w:t>
      </w:r>
      <w:r w:rsidR="00B23AB0" w:rsidRPr="002D76F4">
        <w:rPr>
          <w:rFonts w:eastAsia="MS Mincho"/>
          <w:szCs w:val="22"/>
        </w:rPr>
        <w:t>n</w:t>
      </w:r>
      <w:r w:rsidR="00B23AB0" w:rsidRPr="002D76F4">
        <w:rPr>
          <w:rFonts w:eastAsia="MS Mincho"/>
          <w:szCs w:val="22"/>
          <w:vertAlign w:val="superscript"/>
        </w:rPr>
        <w:t>o</w:t>
      </w:r>
      <w:r w:rsidR="00B23AB0">
        <w:t> </w:t>
      </w:r>
      <w:r w:rsidRPr="00FE21E0">
        <w:t xml:space="preserve">14 </w:t>
      </w:r>
      <w:r w:rsidRPr="00FE21E0">
        <w:rPr>
          <w:b/>
          <w:bCs/>
        </w:rPr>
        <w:t xml:space="preserve">ou </w:t>
      </w:r>
      <w:r w:rsidRPr="00FE21E0">
        <w:rPr>
          <w:b/>
        </w:rPr>
        <w:t>à la figure</w:t>
      </w:r>
      <w:r w:rsidR="00B23AB0">
        <w:rPr>
          <w:b/>
        </w:rPr>
        <w:t> </w:t>
      </w:r>
      <w:r w:rsidRPr="00FE21E0">
        <w:rPr>
          <w:b/>
        </w:rPr>
        <w:t>3</w:t>
      </w:r>
      <w:r w:rsidRPr="00FE21E0">
        <w:t xml:space="preserve"> </w:t>
      </w:r>
      <w:r w:rsidRPr="00FE21E0">
        <w:rPr>
          <w:b/>
          <w:bCs/>
        </w:rPr>
        <w:t>du Règlement</w:t>
      </w:r>
      <w:r w:rsidR="00231583">
        <w:rPr>
          <w:b/>
          <w:bCs/>
        </w:rPr>
        <w:t> </w:t>
      </w:r>
      <w:r w:rsidR="00B23AB0" w:rsidRPr="00B23AB0">
        <w:rPr>
          <w:rFonts w:eastAsia="MS Mincho"/>
          <w:b/>
          <w:bCs/>
          <w:szCs w:val="22"/>
        </w:rPr>
        <w:t>n</w:t>
      </w:r>
      <w:r w:rsidR="00B23AB0" w:rsidRPr="00B23AB0">
        <w:rPr>
          <w:rFonts w:eastAsia="MS Mincho"/>
          <w:b/>
          <w:bCs/>
          <w:szCs w:val="22"/>
          <w:vertAlign w:val="superscript"/>
        </w:rPr>
        <w:t>o</w:t>
      </w:r>
      <w:r w:rsidR="00B23AB0">
        <w:rPr>
          <w:b/>
          <w:bCs/>
        </w:rPr>
        <w:t> </w:t>
      </w:r>
      <w:r w:rsidRPr="00FE21E0">
        <w:rPr>
          <w:b/>
          <w:bCs/>
        </w:rPr>
        <w:t>[XX</w:t>
      </w:r>
      <w:r w:rsidRPr="00B23AB0">
        <w:rPr>
          <w:bCs/>
        </w:rPr>
        <w:t>]. ».</w:t>
      </w:r>
    </w:p>
    <w:p w:rsidR="00FE21E0" w:rsidRPr="00FE21E0" w:rsidRDefault="00FE21E0" w:rsidP="00FE21E0">
      <w:pPr>
        <w:pStyle w:val="SingleTxtG"/>
      </w:pPr>
      <w:r w:rsidRPr="00FE21E0">
        <w:rPr>
          <w:i/>
        </w:rPr>
        <w:t>Paragraphes 6.1.3.2, 6.1.3.3 et 6.1.3.4</w:t>
      </w:r>
      <w:r w:rsidRPr="00FE21E0">
        <w:t xml:space="preserve">, </w:t>
      </w:r>
      <w:proofErr w:type="gramStart"/>
      <w:r w:rsidRPr="00FE21E0">
        <w:t>modifier</w:t>
      </w:r>
      <w:proofErr w:type="gramEnd"/>
      <w:r w:rsidRPr="00FE21E0">
        <w:t xml:space="preserve"> comme suit :</w:t>
      </w:r>
    </w:p>
    <w:p w:rsidR="00FE21E0" w:rsidRPr="00FE21E0" w:rsidRDefault="00FE21E0" w:rsidP="007B4D58">
      <w:pPr>
        <w:pStyle w:val="SingleTxtG"/>
        <w:ind w:left="2268" w:hanging="1134"/>
      </w:pPr>
      <w:r w:rsidRPr="00FE21E0">
        <w:t>« 6.1.3.2</w:t>
      </w:r>
      <w:r w:rsidRPr="00FE21E0">
        <w:tab/>
        <w:t>Pour les dispositifs de retenue pour enfants ISOFIX de catégorie “universelle”, au moyen des attaches ISOFIX et de la sangle de fixation supérieure ISOFIX satisfaisant aux exigences du présent Règlement, fixés à</w:t>
      </w:r>
      <w:r w:rsidR="00231583">
        <w:t> </w:t>
      </w:r>
      <w:r w:rsidRPr="00FE21E0">
        <w:t>un système d</w:t>
      </w:r>
      <w:r w:rsidR="00210A9F">
        <w:t>’</w:t>
      </w:r>
      <w:r w:rsidRPr="00FE21E0">
        <w:t xml:space="preserve">ancrages ISOFIX et à un ancrage de fixation supérieure ISOFIX répondant aux exigences du Règlement </w:t>
      </w:r>
      <w:r w:rsidR="00B23AB0" w:rsidRPr="002D76F4">
        <w:rPr>
          <w:rFonts w:eastAsia="MS Mincho"/>
          <w:szCs w:val="22"/>
        </w:rPr>
        <w:t>n</w:t>
      </w:r>
      <w:r w:rsidR="00B23AB0" w:rsidRPr="002D76F4">
        <w:rPr>
          <w:rFonts w:eastAsia="MS Mincho"/>
          <w:szCs w:val="22"/>
          <w:vertAlign w:val="superscript"/>
        </w:rPr>
        <w:t>o</w:t>
      </w:r>
      <w:r w:rsidR="00B23AB0">
        <w:t> </w:t>
      </w:r>
      <w:r w:rsidRPr="00FE21E0">
        <w:t>14</w:t>
      </w:r>
      <w:r w:rsidRPr="00FE21E0">
        <w:rPr>
          <w:b/>
          <w:bCs/>
        </w:rPr>
        <w:t xml:space="preserve"> ou du Règlement</w:t>
      </w:r>
      <w:r w:rsidR="00231583">
        <w:rPr>
          <w:b/>
          <w:bCs/>
        </w:rPr>
        <w:t> </w:t>
      </w:r>
      <w:r w:rsidR="00B23AB0" w:rsidRPr="00B23AB0">
        <w:rPr>
          <w:rFonts w:eastAsia="MS Mincho"/>
          <w:b/>
          <w:bCs/>
          <w:szCs w:val="22"/>
        </w:rPr>
        <w:t>n</w:t>
      </w:r>
      <w:r w:rsidR="00B23AB0" w:rsidRPr="00B23AB0">
        <w:rPr>
          <w:rFonts w:eastAsia="MS Mincho"/>
          <w:b/>
          <w:bCs/>
          <w:szCs w:val="22"/>
          <w:vertAlign w:val="superscript"/>
        </w:rPr>
        <w:t>o</w:t>
      </w:r>
      <w:r w:rsidR="00B23AB0">
        <w:rPr>
          <w:b/>
          <w:bCs/>
        </w:rPr>
        <w:t> </w:t>
      </w:r>
      <w:r w:rsidRPr="00FE21E0">
        <w:rPr>
          <w:b/>
          <w:bCs/>
        </w:rPr>
        <w:t>[XX]</w:t>
      </w:r>
      <w:r w:rsidRPr="00FE21E0">
        <w:t>.</w:t>
      </w:r>
    </w:p>
    <w:p w:rsidR="00FE21E0" w:rsidRPr="00FE21E0" w:rsidRDefault="00FE21E0" w:rsidP="007B4D58">
      <w:pPr>
        <w:pStyle w:val="SingleTxtG"/>
        <w:ind w:left="2268" w:hanging="1134"/>
      </w:pPr>
      <w:r w:rsidRPr="00FE21E0">
        <w:t>6.1.3.3</w:t>
      </w:r>
      <w:r w:rsidRPr="00FE21E0">
        <w:tab/>
        <w:t>Pour la catégorie “semi-universelle”</w:t>
      </w:r>
      <w:r w:rsidR="00B23AB0">
        <w:t> </w:t>
      </w:r>
      <w:r w:rsidRPr="00FE21E0">
        <w:t xml:space="preserve">: au moyen des ancrages inférieurs prescrits par le Règlement </w:t>
      </w:r>
      <w:r w:rsidR="00B23AB0" w:rsidRPr="002D76F4">
        <w:rPr>
          <w:rFonts w:eastAsia="MS Mincho"/>
          <w:szCs w:val="22"/>
        </w:rPr>
        <w:t>n</w:t>
      </w:r>
      <w:r w:rsidR="00B23AB0" w:rsidRPr="002D76F4">
        <w:rPr>
          <w:rFonts w:eastAsia="MS Mincho"/>
          <w:szCs w:val="22"/>
          <w:vertAlign w:val="superscript"/>
        </w:rPr>
        <w:t>o</w:t>
      </w:r>
      <w:r w:rsidR="00B23AB0">
        <w:t> </w:t>
      </w:r>
      <w:r w:rsidRPr="00FE21E0">
        <w:t xml:space="preserve">14 </w:t>
      </w:r>
      <w:r w:rsidRPr="00FE21E0">
        <w:rPr>
          <w:b/>
          <w:bCs/>
        </w:rPr>
        <w:t xml:space="preserve">ou le Règlement </w:t>
      </w:r>
      <w:r w:rsidR="00B23AB0" w:rsidRPr="00B23AB0">
        <w:rPr>
          <w:rFonts w:eastAsia="MS Mincho"/>
          <w:b/>
          <w:bCs/>
          <w:szCs w:val="22"/>
        </w:rPr>
        <w:t>n</w:t>
      </w:r>
      <w:r w:rsidR="00B23AB0" w:rsidRPr="00B23AB0">
        <w:rPr>
          <w:rFonts w:eastAsia="MS Mincho"/>
          <w:b/>
          <w:bCs/>
          <w:szCs w:val="22"/>
          <w:vertAlign w:val="superscript"/>
        </w:rPr>
        <w:t>o</w:t>
      </w:r>
      <w:r w:rsidR="00B23AB0">
        <w:rPr>
          <w:b/>
          <w:bCs/>
        </w:rPr>
        <w:t> </w:t>
      </w:r>
      <w:r w:rsidRPr="00FE21E0">
        <w:rPr>
          <w:b/>
          <w:bCs/>
        </w:rPr>
        <w:t xml:space="preserve">[XX] </w:t>
      </w:r>
      <w:r w:rsidRPr="00FE21E0">
        <w:t>et d</w:t>
      </w:r>
      <w:r w:rsidR="00210A9F">
        <w:t>’</w:t>
      </w:r>
      <w:r w:rsidRPr="00FE21E0">
        <w:t>ancrages additionnels satisfaisant aux exigences de l</w:t>
      </w:r>
      <w:r w:rsidR="00210A9F">
        <w:t>’</w:t>
      </w:r>
      <w:r w:rsidRPr="00FE21E0">
        <w:t>annexe 11 au présent Règlement</w:t>
      </w:r>
      <w:r w:rsidR="00B23AB0">
        <w:t>.</w:t>
      </w:r>
    </w:p>
    <w:p w:rsidR="00FE21E0" w:rsidRPr="00FE21E0" w:rsidRDefault="00FE21E0" w:rsidP="007B4D58">
      <w:pPr>
        <w:pStyle w:val="SingleTxtG"/>
        <w:ind w:left="2268" w:hanging="1134"/>
      </w:pPr>
      <w:r w:rsidRPr="00FE21E0">
        <w:t>6.1.3.4</w:t>
      </w:r>
      <w:r w:rsidRPr="00FE21E0">
        <w:tab/>
        <w:t xml:space="preserve">Pour les dispositifs de retenue pour enfants ISOFIX de catégorie </w:t>
      </w:r>
      <w:r w:rsidR="00B23AB0" w:rsidRPr="00FE21E0">
        <w:t>“</w:t>
      </w:r>
      <w:r w:rsidRPr="00FE21E0">
        <w:t>semi</w:t>
      </w:r>
      <w:r w:rsidRPr="00FE21E0">
        <w:noBreakHyphen/>
        <w:t>universelle</w:t>
      </w:r>
      <w:r w:rsidR="00B23AB0" w:rsidRPr="00FE21E0">
        <w:t>”</w:t>
      </w:r>
      <w:r w:rsidRPr="00FE21E0">
        <w:t>, au moyen des attaches ISOFIX et de la sangle de fixation supérieure ISOFIX ou d</w:t>
      </w:r>
      <w:r w:rsidR="00210A9F">
        <w:t>’</w:t>
      </w:r>
      <w:r w:rsidRPr="00FE21E0">
        <w:t>une jambe de force ou de la planche de bord, satisfaisant aux exigences du présent Règlement, fixés à un système d</w:t>
      </w:r>
      <w:r w:rsidR="00210A9F">
        <w:t>’</w:t>
      </w:r>
      <w:r w:rsidRPr="00FE21E0">
        <w:t xml:space="preserve">ancrages ISOFIX et si nécessaire à un ancrage de fixation supérieure, satisfaisant aux exigences du Règlement </w:t>
      </w:r>
      <w:r w:rsidR="00B318E2" w:rsidRPr="002D76F4">
        <w:rPr>
          <w:rFonts w:eastAsia="MS Mincho"/>
          <w:szCs w:val="22"/>
        </w:rPr>
        <w:t>n</w:t>
      </w:r>
      <w:r w:rsidR="00B318E2" w:rsidRPr="002D76F4">
        <w:rPr>
          <w:rFonts w:eastAsia="MS Mincho"/>
          <w:szCs w:val="22"/>
          <w:vertAlign w:val="superscript"/>
        </w:rPr>
        <w:t>o</w:t>
      </w:r>
      <w:r w:rsidR="00B318E2">
        <w:t> </w:t>
      </w:r>
      <w:r w:rsidRPr="00FE21E0">
        <w:t xml:space="preserve">14 </w:t>
      </w:r>
      <w:r w:rsidRPr="00FE21E0">
        <w:rPr>
          <w:b/>
          <w:bCs/>
        </w:rPr>
        <w:t xml:space="preserve">ou du Règlement </w:t>
      </w:r>
      <w:r w:rsidR="00B318E2" w:rsidRPr="00B318E2">
        <w:rPr>
          <w:rFonts w:eastAsia="MS Mincho"/>
          <w:b/>
          <w:bCs/>
          <w:szCs w:val="22"/>
        </w:rPr>
        <w:t>n</w:t>
      </w:r>
      <w:r w:rsidR="00B318E2" w:rsidRPr="00B318E2">
        <w:rPr>
          <w:rFonts w:eastAsia="MS Mincho"/>
          <w:b/>
          <w:bCs/>
          <w:szCs w:val="22"/>
          <w:vertAlign w:val="superscript"/>
        </w:rPr>
        <w:t>o</w:t>
      </w:r>
      <w:r w:rsidR="00B318E2">
        <w:rPr>
          <w:b/>
          <w:bCs/>
        </w:rPr>
        <w:t> </w:t>
      </w:r>
      <w:r w:rsidRPr="00FE21E0">
        <w:rPr>
          <w:b/>
          <w:bCs/>
        </w:rPr>
        <w:t>[XX]</w:t>
      </w:r>
      <w:r w:rsidRPr="00FE21E0">
        <w:t>. ».</w:t>
      </w:r>
    </w:p>
    <w:p w:rsidR="00FE21E0" w:rsidRPr="00FE21E0" w:rsidRDefault="00FE21E0" w:rsidP="0075134D">
      <w:pPr>
        <w:pStyle w:val="SingleTxtG"/>
        <w:keepNext/>
        <w:keepLines/>
      </w:pPr>
      <w:r w:rsidRPr="00FE21E0">
        <w:rPr>
          <w:i/>
        </w:rPr>
        <w:lastRenderedPageBreak/>
        <w:t>Paragraphe 6.3.4</w:t>
      </w:r>
      <w:r w:rsidRPr="00FE21E0">
        <w:t xml:space="preserve">, </w:t>
      </w:r>
      <w:proofErr w:type="gramStart"/>
      <w:r w:rsidRPr="00FE21E0">
        <w:t>modifier</w:t>
      </w:r>
      <w:proofErr w:type="gramEnd"/>
      <w:r w:rsidRPr="00FE21E0">
        <w:t xml:space="preserve"> comme suit</w:t>
      </w:r>
      <w:r w:rsidR="00B318E2">
        <w:t> </w:t>
      </w:r>
      <w:r w:rsidRPr="00FE21E0">
        <w:t>:</w:t>
      </w:r>
    </w:p>
    <w:p w:rsidR="00FE21E0" w:rsidRPr="00FE21E0" w:rsidRDefault="00FE21E0" w:rsidP="0075134D">
      <w:pPr>
        <w:pStyle w:val="SingleTxtG"/>
        <w:keepNext/>
        <w:keepLines/>
        <w:ind w:left="2268" w:hanging="1134"/>
        <w:rPr>
          <w:iCs/>
        </w:rPr>
      </w:pPr>
      <w:r w:rsidRPr="00FE21E0">
        <w:t>« 6.3.4</w:t>
      </w:r>
      <w:r w:rsidRPr="00FE21E0">
        <w:tab/>
        <w:t>Réglages</w:t>
      </w:r>
    </w:p>
    <w:p w:rsidR="00FE21E0" w:rsidRPr="00FE21E0" w:rsidRDefault="00FE21E0" w:rsidP="00B318E2">
      <w:pPr>
        <w:pStyle w:val="SingleTxtG"/>
        <w:ind w:left="2268"/>
        <w:rPr>
          <w:iCs/>
        </w:rPr>
      </w:pPr>
      <w:r w:rsidRPr="00FE21E0">
        <w:tab/>
        <w:t>Les attaches ISOFIX, ou le dispositif de retenue pour enfants ISOFIX lui</w:t>
      </w:r>
      <w:r w:rsidR="00B318E2">
        <w:noBreakHyphen/>
      </w:r>
      <w:r w:rsidRPr="00FE21E0">
        <w:t>même, doivent être réglables pour pouvoir être installés à tous les emplacements d</w:t>
      </w:r>
      <w:r w:rsidR="00210A9F">
        <w:t>’</w:t>
      </w:r>
      <w:r w:rsidRPr="00FE21E0">
        <w:t xml:space="preserve">ancrages ISOFIX décrits dans le Règlement </w:t>
      </w:r>
      <w:r w:rsidR="00B318E2" w:rsidRPr="002D76F4">
        <w:rPr>
          <w:rFonts w:eastAsia="MS Mincho"/>
          <w:szCs w:val="22"/>
        </w:rPr>
        <w:t>n</w:t>
      </w:r>
      <w:r w:rsidR="00B318E2" w:rsidRPr="002D76F4">
        <w:rPr>
          <w:rFonts w:eastAsia="MS Mincho"/>
          <w:szCs w:val="22"/>
          <w:vertAlign w:val="superscript"/>
        </w:rPr>
        <w:t>o</w:t>
      </w:r>
      <w:r w:rsidR="00B318E2">
        <w:t> </w:t>
      </w:r>
      <w:r w:rsidRPr="00FE21E0">
        <w:t xml:space="preserve">14 </w:t>
      </w:r>
      <w:r w:rsidRPr="00FE21E0">
        <w:rPr>
          <w:b/>
          <w:bCs/>
        </w:rPr>
        <w:t xml:space="preserve">ou le Règlement </w:t>
      </w:r>
      <w:r w:rsidR="00B318E2" w:rsidRPr="00B318E2">
        <w:rPr>
          <w:rFonts w:eastAsia="MS Mincho"/>
          <w:b/>
          <w:bCs/>
          <w:szCs w:val="22"/>
        </w:rPr>
        <w:t>n</w:t>
      </w:r>
      <w:r w:rsidR="00B318E2" w:rsidRPr="00B318E2">
        <w:rPr>
          <w:rFonts w:eastAsia="MS Mincho"/>
          <w:b/>
          <w:bCs/>
          <w:szCs w:val="22"/>
          <w:vertAlign w:val="superscript"/>
        </w:rPr>
        <w:t>o</w:t>
      </w:r>
      <w:r w:rsidR="00B318E2">
        <w:rPr>
          <w:b/>
          <w:bCs/>
        </w:rPr>
        <w:t> </w:t>
      </w:r>
      <w:r w:rsidRPr="00FE21E0">
        <w:rPr>
          <w:b/>
          <w:bCs/>
        </w:rPr>
        <w:t>[XX]</w:t>
      </w:r>
      <w:r w:rsidRPr="00FE21E0">
        <w:t>. ».</w:t>
      </w:r>
    </w:p>
    <w:p w:rsidR="00FE21E0" w:rsidRPr="00FE21E0" w:rsidRDefault="00B318E2" w:rsidP="00B318E2">
      <w:pPr>
        <w:pStyle w:val="HChG"/>
      </w:pPr>
      <w:r>
        <w:tab/>
      </w:r>
      <w:r w:rsidR="00FE21E0" w:rsidRPr="00FE21E0">
        <w:t>II.</w:t>
      </w:r>
      <w:r w:rsidR="00FE21E0" w:rsidRPr="00FE21E0">
        <w:tab/>
        <w:t>Justification</w:t>
      </w:r>
    </w:p>
    <w:p w:rsidR="00FE21E0" w:rsidRPr="00FE21E0" w:rsidRDefault="00FE21E0" w:rsidP="00FE21E0">
      <w:pPr>
        <w:pStyle w:val="SingleTxtG"/>
        <w:rPr>
          <w:lang w:val="fr-FR"/>
        </w:rPr>
      </w:pPr>
      <w:r w:rsidRPr="00FE21E0">
        <w:rPr>
          <w:lang w:val="fr-FR"/>
        </w:rPr>
        <w:t>1.</w:t>
      </w:r>
      <w:r w:rsidRPr="00FE21E0">
        <w:rPr>
          <w:lang w:val="fr-FR"/>
        </w:rPr>
        <w:tab/>
        <w:t>Aux fins de l</w:t>
      </w:r>
      <w:r w:rsidR="00210A9F">
        <w:rPr>
          <w:lang w:val="fr-FR"/>
        </w:rPr>
        <w:t>’</w:t>
      </w:r>
      <w:r w:rsidRPr="00FE21E0">
        <w:rPr>
          <w:lang w:val="fr-FR"/>
        </w:rPr>
        <w:t>homologation de type internationale de l</w:t>
      </w:r>
      <w:r w:rsidR="00210A9F">
        <w:rPr>
          <w:lang w:val="fr-FR"/>
        </w:rPr>
        <w:t>’</w:t>
      </w:r>
      <w:r w:rsidRPr="00FE21E0">
        <w:rPr>
          <w:lang w:val="fr-FR"/>
        </w:rPr>
        <w:t xml:space="preserve">ensemble du véhicule, le Règlement </w:t>
      </w:r>
      <w:r w:rsidR="00B318E2" w:rsidRPr="00B318E2">
        <w:rPr>
          <w:rFonts w:eastAsia="MS Mincho"/>
          <w:szCs w:val="22"/>
          <w:lang w:val="fr-FR"/>
        </w:rPr>
        <w:t>n</w:t>
      </w:r>
      <w:r w:rsidR="00B318E2" w:rsidRPr="00B318E2">
        <w:rPr>
          <w:rFonts w:eastAsia="MS Mincho"/>
          <w:szCs w:val="22"/>
          <w:vertAlign w:val="superscript"/>
          <w:lang w:val="fr-FR"/>
        </w:rPr>
        <w:t>o</w:t>
      </w:r>
      <w:r w:rsidR="00B318E2">
        <w:rPr>
          <w:lang w:val="fr-FR"/>
        </w:rPr>
        <w:t> </w:t>
      </w:r>
      <w:r w:rsidRPr="00FE21E0">
        <w:rPr>
          <w:lang w:val="fr-FR"/>
        </w:rPr>
        <w:t>14 est scindé en deux Règlements</w:t>
      </w:r>
      <w:r w:rsidR="00B318E2">
        <w:rPr>
          <w:lang w:val="fr-FR"/>
        </w:rPr>
        <w:t> </w:t>
      </w:r>
      <w:r w:rsidRPr="00FE21E0">
        <w:rPr>
          <w:lang w:val="fr-FR"/>
        </w:rPr>
        <w:t xml:space="preserve">: le Règlement </w:t>
      </w:r>
      <w:r w:rsidR="00B318E2" w:rsidRPr="00B318E2">
        <w:rPr>
          <w:rFonts w:eastAsia="MS Mincho"/>
          <w:szCs w:val="22"/>
          <w:lang w:val="fr-FR"/>
        </w:rPr>
        <w:t>n</w:t>
      </w:r>
      <w:r w:rsidR="00B318E2" w:rsidRPr="00B318E2">
        <w:rPr>
          <w:rFonts w:eastAsia="MS Mincho"/>
          <w:szCs w:val="22"/>
          <w:vertAlign w:val="superscript"/>
          <w:lang w:val="fr-FR"/>
        </w:rPr>
        <w:t>o</w:t>
      </w:r>
      <w:r w:rsidR="00B318E2">
        <w:rPr>
          <w:lang w:val="fr-FR"/>
        </w:rPr>
        <w:t> 14 modifié par la série </w:t>
      </w:r>
      <w:r w:rsidRPr="00FE21E0">
        <w:rPr>
          <w:lang w:val="fr-FR"/>
        </w:rPr>
        <w:t>08 d</w:t>
      </w:r>
      <w:r w:rsidR="00210A9F">
        <w:rPr>
          <w:lang w:val="fr-FR"/>
        </w:rPr>
        <w:t>’</w:t>
      </w:r>
      <w:r w:rsidRPr="00FE21E0">
        <w:rPr>
          <w:lang w:val="fr-FR"/>
        </w:rPr>
        <w:t xml:space="preserve">amendements, portant uniquement sur les ancrages de ceintures de sécurité pour adultes, et un nouveau Règlement </w:t>
      </w:r>
      <w:r w:rsidR="00B318E2" w:rsidRPr="00B318E2">
        <w:rPr>
          <w:rFonts w:eastAsia="MS Mincho"/>
          <w:szCs w:val="22"/>
          <w:lang w:val="fr-FR"/>
        </w:rPr>
        <w:t>n</w:t>
      </w:r>
      <w:r w:rsidR="00B318E2" w:rsidRPr="00B318E2">
        <w:rPr>
          <w:rFonts w:eastAsia="MS Mincho"/>
          <w:szCs w:val="22"/>
          <w:vertAlign w:val="superscript"/>
          <w:lang w:val="fr-FR"/>
        </w:rPr>
        <w:t>o</w:t>
      </w:r>
      <w:r w:rsidR="00B318E2">
        <w:rPr>
          <w:lang w:val="fr-FR"/>
        </w:rPr>
        <w:t> </w:t>
      </w:r>
      <w:r w:rsidRPr="00FE21E0">
        <w:rPr>
          <w:lang w:val="fr-FR"/>
        </w:rPr>
        <w:t xml:space="preserve">[XX] comprenant toutes les prescriptions relatives aux ancrages des dispositifs de retenue pour enfants. En conséquence, les références au Règlement </w:t>
      </w:r>
      <w:r w:rsidR="00B318E2" w:rsidRPr="00B318E2">
        <w:rPr>
          <w:rFonts w:eastAsia="MS Mincho"/>
          <w:szCs w:val="22"/>
          <w:lang w:val="fr-FR"/>
        </w:rPr>
        <w:t>n</w:t>
      </w:r>
      <w:r w:rsidR="00B318E2" w:rsidRPr="00B318E2">
        <w:rPr>
          <w:rFonts w:eastAsia="MS Mincho"/>
          <w:szCs w:val="22"/>
          <w:vertAlign w:val="superscript"/>
          <w:lang w:val="fr-FR"/>
        </w:rPr>
        <w:t>o</w:t>
      </w:r>
      <w:r w:rsidR="00B318E2">
        <w:rPr>
          <w:lang w:val="fr-FR"/>
        </w:rPr>
        <w:t> </w:t>
      </w:r>
      <w:r w:rsidRPr="00FE21E0">
        <w:rPr>
          <w:lang w:val="fr-FR"/>
        </w:rPr>
        <w:t xml:space="preserve">14 contenues dans le Règlement </w:t>
      </w:r>
      <w:r w:rsidR="00B318E2" w:rsidRPr="00B318E2">
        <w:rPr>
          <w:rFonts w:eastAsia="MS Mincho"/>
          <w:szCs w:val="22"/>
          <w:lang w:val="fr-FR"/>
        </w:rPr>
        <w:t>n</w:t>
      </w:r>
      <w:r w:rsidR="00B318E2" w:rsidRPr="00B318E2">
        <w:rPr>
          <w:rFonts w:eastAsia="MS Mincho"/>
          <w:szCs w:val="22"/>
          <w:vertAlign w:val="superscript"/>
          <w:lang w:val="fr-FR"/>
        </w:rPr>
        <w:t>o</w:t>
      </w:r>
      <w:r w:rsidR="00B318E2">
        <w:rPr>
          <w:lang w:val="fr-FR"/>
        </w:rPr>
        <w:t> </w:t>
      </w:r>
      <w:r w:rsidRPr="00FE21E0">
        <w:rPr>
          <w:lang w:val="fr-FR"/>
        </w:rPr>
        <w:t xml:space="preserve">44 en ce qui concerne les dispositifs de retenue pour enfants doivent être actualisées pour reconnaître les ancrages des dispositifs de retenue pour enfants des véhicules homologués en vertu du nouveau </w:t>
      </w:r>
      <w:r w:rsidR="004363BD">
        <w:rPr>
          <w:lang w:val="fr-FR"/>
        </w:rPr>
        <w:t>r</w:t>
      </w:r>
      <w:r w:rsidRPr="00FE21E0">
        <w:rPr>
          <w:lang w:val="fr-FR"/>
        </w:rPr>
        <w:t>èglement.</w:t>
      </w:r>
    </w:p>
    <w:p w:rsidR="00FE21E0" w:rsidRDefault="00FE21E0" w:rsidP="00FE21E0">
      <w:pPr>
        <w:pStyle w:val="SingleTxtG"/>
      </w:pPr>
      <w:r w:rsidRPr="00FE21E0">
        <w:t>2.</w:t>
      </w:r>
      <w:r w:rsidRPr="00FE21E0">
        <w:tab/>
        <w:t>Les références aux paragraphes</w:t>
      </w:r>
      <w:r w:rsidR="00B318E2">
        <w:t> </w:t>
      </w:r>
      <w:r w:rsidRPr="00FE21E0">
        <w:t>6.1.3.1 et 6.1.3.6 ainsi qu</w:t>
      </w:r>
      <w:r w:rsidR="00210A9F">
        <w:t>’</w:t>
      </w:r>
      <w:r w:rsidRPr="00FE21E0">
        <w:t>au paragraphe</w:t>
      </w:r>
      <w:r w:rsidR="00B318E2">
        <w:t> </w:t>
      </w:r>
      <w:r w:rsidRPr="00FE21E0">
        <w:t>1 de l</w:t>
      </w:r>
      <w:r w:rsidR="00210A9F">
        <w:t>’</w:t>
      </w:r>
      <w:r w:rsidRPr="00FE21E0">
        <w:t>annexe</w:t>
      </w:r>
      <w:r w:rsidR="00210A9F">
        <w:t> </w:t>
      </w:r>
      <w:r w:rsidRPr="00FE21E0">
        <w:t xml:space="preserve">11 renvoient déjà aux ancrages de ceintures de sécurité du Règlement </w:t>
      </w:r>
      <w:r w:rsidR="00B318E2" w:rsidRPr="00B318E2">
        <w:rPr>
          <w:rFonts w:eastAsia="MS Mincho"/>
          <w:szCs w:val="22"/>
          <w:lang w:val="fr-FR"/>
        </w:rPr>
        <w:t>n</w:t>
      </w:r>
      <w:r w:rsidR="00B318E2" w:rsidRPr="00B318E2">
        <w:rPr>
          <w:rFonts w:eastAsia="MS Mincho"/>
          <w:szCs w:val="22"/>
          <w:vertAlign w:val="superscript"/>
          <w:lang w:val="fr-FR"/>
        </w:rPr>
        <w:t>o</w:t>
      </w:r>
      <w:r w:rsidR="00B318E2">
        <w:rPr>
          <w:lang w:val="fr-FR"/>
        </w:rPr>
        <w:t> </w:t>
      </w:r>
      <w:r w:rsidRPr="00FE21E0">
        <w:t>14. Il</w:t>
      </w:r>
      <w:r w:rsidR="009A4CC1">
        <w:t> </w:t>
      </w:r>
      <w:r w:rsidRPr="00FE21E0">
        <w:t>n</w:t>
      </w:r>
      <w:r w:rsidR="00210A9F">
        <w:t>’</w:t>
      </w:r>
      <w:r w:rsidRPr="00FE21E0">
        <w:t>est donc pas nécessaire de les actualiser.</w:t>
      </w:r>
    </w:p>
    <w:p w:rsidR="00210A9F" w:rsidRPr="00210A9F" w:rsidRDefault="00210A9F" w:rsidP="00210A9F">
      <w:pPr>
        <w:pStyle w:val="SingleTxtG"/>
        <w:spacing w:before="240" w:after="0"/>
        <w:jc w:val="center"/>
        <w:rPr>
          <w:u w:val="single"/>
        </w:rPr>
      </w:pPr>
      <w:r>
        <w:rPr>
          <w:u w:val="single"/>
        </w:rPr>
        <w:tab/>
      </w:r>
      <w:r>
        <w:rPr>
          <w:u w:val="single"/>
        </w:rPr>
        <w:tab/>
      </w:r>
      <w:r>
        <w:rPr>
          <w:u w:val="single"/>
        </w:rPr>
        <w:tab/>
      </w:r>
    </w:p>
    <w:sectPr w:rsidR="00210A9F" w:rsidRPr="00210A9F" w:rsidSect="0067661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BD" w:rsidRDefault="00BA68BD" w:rsidP="00F95C08">
      <w:pPr>
        <w:spacing w:line="240" w:lineRule="auto"/>
      </w:pPr>
    </w:p>
  </w:endnote>
  <w:endnote w:type="continuationSeparator" w:id="0">
    <w:p w:rsidR="00BA68BD" w:rsidRPr="00AC3823" w:rsidRDefault="00BA68BD" w:rsidP="00AC3823">
      <w:pPr>
        <w:pStyle w:val="Footer"/>
      </w:pPr>
    </w:p>
  </w:endnote>
  <w:endnote w:type="continuationNotice" w:id="1">
    <w:p w:rsidR="00BA68BD" w:rsidRDefault="00BA68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17" w:rsidRPr="00676617" w:rsidRDefault="00676617" w:rsidP="00676617">
    <w:pPr>
      <w:pStyle w:val="Footer"/>
      <w:tabs>
        <w:tab w:val="right" w:pos="9638"/>
      </w:tabs>
    </w:pPr>
    <w:r w:rsidRPr="00676617">
      <w:rPr>
        <w:b/>
        <w:sz w:val="18"/>
      </w:rPr>
      <w:fldChar w:fldCharType="begin"/>
    </w:r>
    <w:r w:rsidRPr="00676617">
      <w:rPr>
        <w:b/>
        <w:sz w:val="18"/>
      </w:rPr>
      <w:instrText xml:space="preserve"> PAGE  \* MERGEFORMAT </w:instrText>
    </w:r>
    <w:r w:rsidRPr="00676617">
      <w:rPr>
        <w:b/>
        <w:sz w:val="18"/>
      </w:rPr>
      <w:fldChar w:fldCharType="separate"/>
    </w:r>
    <w:r w:rsidR="0085185F">
      <w:rPr>
        <w:b/>
        <w:noProof/>
        <w:sz w:val="18"/>
      </w:rPr>
      <w:t>2</w:t>
    </w:r>
    <w:r w:rsidRPr="00676617">
      <w:rPr>
        <w:b/>
        <w:sz w:val="18"/>
      </w:rPr>
      <w:fldChar w:fldCharType="end"/>
    </w:r>
    <w:r>
      <w:rPr>
        <w:b/>
        <w:sz w:val="18"/>
      </w:rPr>
      <w:tab/>
    </w:r>
    <w:r>
      <w:t>GE.17-02480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17" w:rsidRPr="00676617" w:rsidRDefault="00676617" w:rsidP="00676617">
    <w:pPr>
      <w:pStyle w:val="Footer"/>
      <w:tabs>
        <w:tab w:val="right" w:pos="9638"/>
      </w:tabs>
      <w:rPr>
        <w:b/>
        <w:sz w:val="18"/>
      </w:rPr>
    </w:pPr>
    <w:r>
      <w:t>GE.17-02480</w:t>
    </w:r>
    <w:r>
      <w:tab/>
    </w:r>
    <w:r w:rsidRPr="00676617">
      <w:rPr>
        <w:b/>
        <w:sz w:val="18"/>
      </w:rPr>
      <w:fldChar w:fldCharType="begin"/>
    </w:r>
    <w:r w:rsidRPr="00676617">
      <w:rPr>
        <w:b/>
        <w:sz w:val="18"/>
      </w:rPr>
      <w:instrText xml:space="preserve"> PAGE  \* MERGEFORMAT </w:instrText>
    </w:r>
    <w:r w:rsidRPr="00676617">
      <w:rPr>
        <w:b/>
        <w:sz w:val="18"/>
      </w:rPr>
      <w:fldChar w:fldCharType="separate"/>
    </w:r>
    <w:r w:rsidR="0085185F">
      <w:rPr>
        <w:b/>
        <w:noProof/>
        <w:sz w:val="18"/>
      </w:rPr>
      <w:t>3</w:t>
    </w:r>
    <w:r w:rsidRPr="0067661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76617" w:rsidRDefault="00676617" w:rsidP="00676617">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3866D8C" wp14:editId="5725482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17-02480  (F)</w:t>
    </w:r>
    <w:r w:rsidR="0063260C">
      <w:rPr>
        <w:sz w:val="20"/>
      </w:rPr>
      <w:t xml:space="preserve">    270217    0</w:t>
    </w:r>
    <w:r w:rsidR="00231583">
      <w:rPr>
        <w:sz w:val="20"/>
      </w:rPr>
      <w:t>8</w:t>
    </w:r>
    <w:r w:rsidR="0063260C">
      <w:rPr>
        <w:sz w:val="20"/>
      </w:rPr>
      <w:t>0317</w:t>
    </w:r>
    <w:r>
      <w:rPr>
        <w:sz w:val="20"/>
      </w:rPr>
      <w:br/>
    </w:r>
    <w:r w:rsidRPr="00676617">
      <w:rPr>
        <w:rFonts w:ascii="C39T30Lfz" w:hAnsi="C39T30Lfz"/>
        <w:sz w:val="56"/>
      </w:rPr>
      <w:t></w:t>
    </w:r>
    <w:r w:rsidRPr="00676617">
      <w:rPr>
        <w:rFonts w:ascii="C39T30Lfz" w:hAnsi="C39T30Lfz"/>
        <w:sz w:val="56"/>
      </w:rPr>
      <w:t></w:t>
    </w:r>
    <w:r w:rsidRPr="00676617">
      <w:rPr>
        <w:rFonts w:ascii="C39T30Lfz" w:hAnsi="C39T30Lfz"/>
        <w:sz w:val="56"/>
      </w:rPr>
      <w:t></w:t>
    </w:r>
    <w:r w:rsidRPr="00676617">
      <w:rPr>
        <w:rFonts w:ascii="C39T30Lfz" w:hAnsi="C39T30Lfz"/>
        <w:sz w:val="56"/>
      </w:rPr>
      <w:t></w:t>
    </w:r>
    <w:r w:rsidRPr="00676617">
      <w:rPr>
        <w:rFonts w:ascii="C39T30Lfz" w:hAnsi="C39T30Lfz"/>
        <w:sz w:val="56"/>
      </w:rPr>
      <w:t></w:t>
    </w:r>
    <w:r w:rsidRPr="00676617">
      <w:rPr>
        <w:rFonts w:ascii="C39T30Lfz" w:hAnsi="C39T30Lfz"/>
        <w:sz w:val="56"/>
      </w:rPr>
      <w:t></w:t>
    </w:r>
    <w:r w:rsidRPr="00676617">
      <w:rPr>
        <w:rFonts w:ascii="C39T30Lfz" w:hAnsi="C39T30Lfz"/>
        <w:sz w:val="56"/>
      </w:rPr>
      <w:t></w:t>
    </w:r>
    <w:r w:rsidRPr="00676617">
      <w:rPr>
        <w:rFonts w:ascii="C39T30Lfz" w:hAnsi="C39T30Lfz"/>
        <w:sz w:val="56"/>
      </w:rPr>
      <w:t></w:t>
    </w:r>
    <w:r w:rsidRPr="00676617">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C4E1E7E" wp14:editId="6BF49A31">
          <wp:simplePos x="0" y="0"/>
          <wp:positionH relativeFrom="margin">
            <wp:posOffset>5489575</wp:posOffset>
          </wp:positionH>
          <wp:positionV relativeFrom="margin">
            <wp:posOffset>8891905</wp:posOffset>
          </wp:positionV>
          <wp:extent cx="638175" cy="638175"/>
          <wp:effectExtent l="0" t="0" r="9525" b="9525"/>
          <wp:wrapNone/>
          <wp:docPr id="3" name="Image 1" descr="http://undocs.org/m2/QRCode.ashx?DS=ECE/TRANS/WP.29/GRSP/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BD" w:rsidRPr="00AC3823" w:rsidRDefault="00BA68BD" w:rsidP="00AC3823">
      <w:pPr>
        <w:pStyle w:val="Footer"/>
        <w:tabs>
          <w:tab w:val="right" w:pos="2155"/>
        </w:tabs>
        <w:spacing w:after="80" w:line="240" w:lineRule="atLeast"/>
        <w:ind w:left="680"/>
        <w:rPr>
          <w:u w:val="single"/>
        </w:rPr>
      </w:pPr>
      <w:r>
        <w:rPr>
          <w:u w:val="single"/>
        </w:rPr>
        <w:tab/>
      </w:r>
    </w:p>
  </w:footnote>
  <w:footnote w:type="continuationSeparator" w:id="0">
    <w:p w:rsidR="00BA68BD" w:rsidRPr="00AC3823" w:rsidRDefault="00BA68BD" w:rsidP="00AC3823">
      <w:pPr>
        <w:pStyle w:val="Footer"/>
        <w:tabs>
          <w:tab w:val="right" w:pos="2155"/>
        </w:tabs>
        <w:spacing w:after="80" w:line="240" w:lineRule="atLeast"/>
        <w:ind w:left="680"/>
        <w:rPr>
          <w:u w:val="single"/>
        </w:rPr>
      </w:pPr>
      <w:r>
        <w:rPr>
          <w:u w:val="single"/>
        </w:rPr>
        <w:tab/>
      </w:r>
    </w:p>
  </w:footnote>
  <w:footnote w:type="continuationNotice" w:id="1">
    <w:p w:rsidR="00BA68BD" w:rsidRPr="00AC3823" w:rsidRDefault="00BA68BD">
      <w:pPr>
        <w:spacing w:line="240" w:lineRule="auto"/>
        <w:rPr>
          <w:sz w:val="2"/>
          <w:szCs w:val="2"/>
        </w:rPr>
      </w:pPr>
    </w:p>
  </w:footnote>
  <w:footnote w:id="2">
    <w:p w:rsidR="00676617" w:rsidRPr="002232AF" w:rsidRDefault="00676617" w:rsidP="0063260C">
      <w:pPr>
        <w:pStyle w:val="FootnoteText"/>
      </w:pPr>
      <w:r>
        <w:tab/>
      </w:r>
      <w:r w:rsidRPr="0063260C">
        <w:rPr>
          <w:sz w:val="20"/>
        </w:rPr>
        <w:t>*</w:t>
      </w:r>
      <w:r>
        <w:tab/>
        <w:t>Conformément au programme de travail du Comité des transports intérieurs pour la période 2016</w:t>
      </w:r>
      <w:r w:rsidR="0063260C">
        <w:noBreakHyphen/>
      </w:r>
      <w:r>
        <w:t>2017 (ECE/TRANS/254, par.</w:t>
      </w:r>
      <w:r w:rsidR="0063260C">
        <w:t> </w:t>
      </w:r>
      <w:r>
        <w:t>159, et ECE/TRANS/2016/28/Add.1, module</w:t>
      </w:r>
      <w:r w:rsidR="0063260C">
        <w:t> </w:t>
      </w:r>
      <w:r>
        <w:t>3.1), le Forum mondial a pour mission d</w:t>
      </w:r>
      <w:r w:rsidR="00231583">
        <w:t>’</w:t>
      </w:r>
      <w:r>
        <w:t>élaborer, d</w:t>
      </w:r>
      <w:r w:rsidR="00231583">
        <w:t>’</w:t>
      </w:r>
      <w:r>
        <w:t>harmoniser et de mettre à jour les Règlements en vue d</w:t>
      </w:r>
      <w:r w:rsidR="00231583">
        <w:t>’</w:t>
      </w:r>
      <w: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17" w:rsidRPr="00676617" w:rsidRDefault="0085185F">
    <w:pPr>
      <w:pStyle w:val="Header"/>
    </w:pPr>
    <w:r>
      <w:fldChar w:fldCharType="begin"/>
    </w:r>
    <w:r>
      <w:instrText xml:space="preserve"> TITLE  \* MERGEFORMAT </w:instrText>
    </w:r>
    <w:r>
      <w:fldChar w:fldCharType="separate"/>
    </w:r>
    <w:r w:rsidR="009A4CC1">
      <w:t>ECE/TRANS/WP.29/GRSP/2017/10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617" w:rsidRPr="00676617" w:rsidRDefault="0085185F" w:rsidP="00676617">
    <w:pPr>
      <w:pStyle w:val="Header"/>
      <w:jc w:val="right"/>
    </w:pPr>
    <w:r>
      <w:fldChar w:fldCharType="begin"/>
    </w:r>
    <w:r>
      <w:instrText xml:space="preserve"> TITLE  \* MERGEFORMAT </w:instrText>
    </w:r>
    <w:r>
      <w:fldChar w:fldCharType="separate"/>
    </w:r>
    <w:r w:rsidR="009A4CC1">
      <w:t>ECE/TRANS/WP.29/GRSP/2017/10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BD"/>
    <w:rsid w:val="00017F94"/>
    <w:rsid w:val="00023842"/>
    <w:rsid w:val="000334F9"/>
    <w:rsid w:val="00045FEB"/>
    <w:rsid w:val="0007796D"/>
    <w:rsid w:val="000B7790"/>
    <w:rsid w:val="00111F2F"/>
    <w:rsid w:val="0014365E"/>
    <w:rsid w:val="00143C66"/>
    <w:rsid w:val="00176178"/>
    <w:rsid w:val="001F525A"/>
    <w:rsid w:val="00210A9F"/>
    <w:rsid w:val="00223272"/>
    <w:rsid w:val="00231583"/>
    <w:rsid w:val="0024779E"/>
    <w:rsid w:val="00257168"/>
    <w:rsid w:val="002744B8"/>
    <w:rsid w:val="002832AC"/>
    <w:rsid w:val="002D7C93"/>
    <w:rsid w:val="00305801"/>
    <w:rsid w:val="003916DE"/>
    <w:rsid w:val="004363BD"/>
    <w:rsid w:val="00441C3B"/>
    <w:rsid w:val="00446FE5"/>
    <w:rsid w:val="00452396"/>
    <w:rsid w:val="004837D8"/>
    <w:rsid w:val="004E468C"/>
    <w:rsid w:val="005505B7"/>
    <w:rsid w:val="00573BE5"/>
    <w:rsid w:val="00586ED3"/>
    <w:rsid w:val="00596AA9"/>
    <w:rsid w:val="0063260C"/>
    <w:rsid w:val="00676617"/>
    <w:rsid w:val="0071601D"/>
    <w:rsid w:val="0075134D"/>
    <w:rsid w:val="007A62E6"/>
    <w:rsid w:val="007B4D58"/>
    <w:rsid w:val="007F20FA"/>
    <w:rsid w:val="0080684C"/>
    <w:rsid w:val="0085185F"/>
    <w:rsid w:val="00871C75"/>
    <w:rsid w:val="008776DC"/>
    <w:rsid w:val="008C598E"/>
    <w:rsid w:val="009446C0"/>
    <w:rsid w:val="009705C8"/>
    <w:rsid w:val="009A4CC1"/>
    <w:rsid w:val="009C1CF4"/>
    <w:rsid w:val="009F6B74"/>
    <w:rsid w:val="00A30353"/>
    <w:rsid w:val="00AC3823"/>
    <w:rsid w:val="00AE323C"/>
    <w:rsid w:val="00AF0CB5"/>
    <w:rsid w:val="00B00181"/>
    <w:rsid w:val="00B00B0D"/>
    <w:rsid w:val="00B15482"/>
    <w:rsid w:val="00B23AB0"/>
    <w:rsid w:val="00B318E2"/>
    <w:rsid w:val="00B765F7"/>
    <w:rsid w:val="00BA0CA9"/>
    <w:rsid w:val="00BA68BD"/>
    <w:rsid w:val="00C02897"/>
    <w:rsid w:val="00C97039"/>
    <w:rsid w:val="00D3439C"/>
    <w:rsid w:val="00DB1831"/>
    <w:rsid w:val="00DD3BFD"/>
    <w:rsid w:val="00DF6678"/>
    <w:rsid w:val="00E46C78"/>
    <w:rsid w:val="00E85C74"/>
    <w:rsid w:val="00EA6547"/>
    <w:rsid w:val="00ED0C38"/>
    <w:rsid w:val="00EF2E22"/>
    <w:rsid w:val="00F35BAF"/>
    <w:rsid w:val="00F660DF"/>
    <w:rsid w:val="00F94664"/>
    <w:rsid w:val="00F9573C"/>
    <w:rsid w:val="00F95C08"/>
    <w:rsid w:val="00FE21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676617"/>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676617"/>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4405</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ECE/TRANS/WP.29/GRSP/2017/10</vt:lpstr>
      <vt:lpstr>ECE/TRANS/WP.29/GRSP/2017/10</vt:lpstr>
    </vt:vector>
  </TitlesOfParts>
  <Company>DCM</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ECE/TRANS/WP.29/GRSP/2017/10</dc:title>
  <dc:creator>Robert Corinne</dc:creator>
  <cp:lastModifiedBy>Benedicte Boudol</cp:lastModifiedBy>
  <cp:revision>2</cp:revision>
  <cp:lastPrinted>2017-03-08T15:18:00Z</cp:lastPrinted>
  <dcterms:created xsi:type="dcterms:W3CDTF">2017-03-08T16:15:00Z</dcterms:created>
  <dcterms:modified xsi:type="dcterms:W3CDTF">2017-03-08T16:15:00Z</dcterms:modified>
</cp:coreProperties>
</file>