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5C5C2A" w:rsidTr="00145C55">
        <w:tc>
          <w:tcPr>
            <w:tcW w:w="4962" w:type="dxa"/>
          </w:tcPr>
          <w:p w:rsidR="00880B8B" w:rsidRPr="00B5381D" w:rsidRDefault="00852FA8" w:rsidP="00121027">
            <w:pPr>
              <w:pStyle w:val="Header"/>
              <w:rPr>
                <w:sz w:val="20"/>
                <w:szCs w:val="20"/>
                <w:lang w:val="en-GB"/>
              </w:rPr>
            </w:pPr>
            <w:r w:rsidRPr="00B5381D">
              <w:rPr>
                <w:sz w:val="20"/>
                <w:szCs w:val="20"/>
                <w:lang w:val="en-GB"/>
              </w:rPr>
              <w:t xml:space="preserve">Submitted by </w:t>
            </w:r>
            <w:r w:rsidR="00F65389" w:rsidRPr="00B5381D">
              <w:rPr>
                <w:sz w:val="20"/>
                <w:szCs w:val="20"/>
                <w:lang w:val="en-GB"/>
              </w:rPr>
              <w:t xml:space="preserve">the expert from </w:t>
            </w:r>
            <w:r w:rsidR="00395FF1" w:rsidRPr="00B5381D">
              <w:rPr>
                <w:sz w:val="20"/>
                <w:szCs w:val="20"/>
                <w:lang w:val="en-GB"/>
              </w:rPr>
              <w:t>OICA</w:t>
            </w:r>
          </w:p>
          <w:p w:rsidR="00880B8B" w:rsidRPr="00B5381D" w:rsidRDefault="00880B8B" w:rsidP="00121027">
            <w:pPr>
              <w:pStyle w:val="Header"/>
              <w:rPr>
                <w:sz w:val="16"/>
                <w:szCs w:val="16"/>
                <w:lang w:val="en-GB"/>
              </w:rPr>
            </w:pPr>
          </w:p>
        </w:tc>
        <w:tc>
          <w:tcPr>
            <w:tcW w:w="4961" w:type="dxa"/>
          </w:tcPr>
          <w:p w:rsidR="006A522A" w:rsidRPr="00B5381D" w:rsidRDefault="006A522A" w:rsidP="006C3413">
            <w:pPr>
              <w:ind w:left="742"/>
              <w:rPr>
                <w:b/>
                <w:bCs/>
                <w:sz w:val="20"/>
                <w:szCs w:val="20"/>
                <w:lang w:val="en-GB"/>
              </w:rPr>
            </w:pPr>
            <w:r w:rsidRPr="00B5381D">
              <w:rPr>
                <w:sz w:val="20"/>
                <w:szCs w:val="20"/>
                <w:u w:val="single"/>
                <w:lang w:val="en-GB"/>
              </w:rPr>
              <w:t>Informal document</w:t>
            </w:r>
            <w:r w:rsidRPr="00B5381D">
              <w:rPr>
                <w:sz w:val="20"/>
                <w:szCs w:val="20"/>
                <w:lang w:val="en-GB"/>
              </w:rPr>
              <w:t xml:space="preserve"> </w:t>
            </w:r>
            <w:r w:rsidRPr="00B5381D">
              <w:rPr>
                <w:b/>
                <w:bCs/>
                <w:sz w:val="20"/>
                <w:szCs w:val="20"/>
                <w:lang w:val="en-GB"/>
              </w:rPr>
              <w:t>GRSG-</w:t>
            </w:r>
            <w:r w:rsidR="000771D9" w:rsidRPr="00B5381D">
              <w:rPr>
                <w:b/>
                <w:bCs/>
                <w:sz w:val="20"/>
                <w:szCs w:val="20"/>
                <w:lang w:val="en-GB"/>
              </w:rPr>
              <w:t>1</w:t>
            </w:r>
            <w:r w:rsidR="003162B0">
              <w:rPr>
                <w:b/>
                <w:bCs/>
                <w:sz w:val="20"/>
                <w:szCs w:val="20"/>
                <w:lang w:val="en-GB"/>
              </w:rPr>
              <w:t>13</w:t>
            </w:r>
            <w:r w:rsidRPr="00B5381D">
              <w:rPr>
                <w:b/>
                <w:bCs/>
                <w:sz w:val="20"/>
                <w:szCs w:val="20"/>
                <w:lang w:val="en-GB"/>
              </w:rPr>
              <w:t>-</w:t>
            </w:r>
            <w:r w:rsidR="005C5C2A">
              <w:rPr>
                <w:b/>
                <w:bCs/>
                <w:sz w:val="20"/>
                <w:szCs w:val="20"/>
                <w:lang w:val="en-GB"/>
              </w:rPr>
              <w:t>19</w:t>
            </w:r>
          </w:p>
          <w:p w:rsidR="006A522A" w:rsidRPr="00B5381D" w:rsidRDefault="007B0133" w:rsidP="00147968">
            <w:pPr>
              <w:pStyle w:val="Header"/>
              <w:ind w:left="742"/>
              <w:rPr>
                <w:sz w:val="20"/>
                <w:szCs w:val="20"/>
                <w:lang w:val="en-GB"/>
              </w:rPr>
            </w:pPr>
            <w:r w:rsidRPr="00B5381D">
              <w:rPr>
                <w:sz w:val="20"/>
                <w:szCs w:val="20"/>
                <w:lang w:val="en-GB"/>
              </w:rPr>
              <w:t>(</w:t>
            </w:r>
            <w:r w:rsidR="00262ADB" w:rsidRPr="00B5381D">
              <w:rPr>
                <w:sz w:val="20"/>
                <w:szCs w:val="20"/>
                <w:lang w:val="en-GB"/>
              </w:rPr>
              <w:t>1</w:t>
            </w:r>
            <w:r w:rsidR="003C3232" w:rsidRPr="00B5381D">
              <w:rPr>
                <w:sz w:val="20"/>
                <w:szCs w:val="20"/>
                <w:lang w:val="en-GB"/>
              </w:rPr>
              <w:t>1</w:t>
            </w:r>
            <w:r w:rsidR="003162B0">
              <w:rPr>
                <w:sz w:val="20"/>
                <w:szCs w:val="20"/>
                <w:lang w:val="en-GB"/>
              </w:rPr>
              <w:t>3</w:t>
            </w:r>
            <w:r w:rsidR="00121027" w:rsidRPr="00B5381D">
              <w:rPr>
                <w:sz w:val="20"/>
                <w:szCs w:val="20"/>
                <w:vertAlign w:val="superscript"/>
                <w:lang w:val="en-GB"/>
              </w:rPr>
              <w:t>th</w:t>
            </w:r>
            <w:r w:rsidR="000771D9" w:rsidRPr="00B5381D">
              <w:rPr>
                <w:sz w:val="20"/>
                <w:szCs w:val="20"/>
                <w:lang w:val="en-GB"/>
              </w:rPr>
              <w:t xml:space="preserve"> </w:t>
            </w:r>
            <w:r w:rsidR="006A522A" w:rsidRPr="00B5381D">
              <w:rPr>
                <w:sz w:val="20"/>
                <w:szCs w:val="20"/>
                <w:lang w:val="en-GB"/>
              </w:rPr>
              <w:t xml:space="preserve">GRSG, </w:t>
            </w:r>
            <w:r w:rsidR="00A119AD" w:rsidRPr="00B5381D">
              <w:rPr>
                <w:sz w:val="20"/>
                <w:szCs w:val="20"/>
                <w:lang w:val="en-GB"/>
              </w:rPr>
              <w:t xml:space="preserve">11-14 October </w:t>
            </w:r>
            <w:r w:rsidR="007B2E2A" w:rsidRPr="00B5381D">
              <w:rPr>
                <w:sz w:val="20"/>
                <w:szCs w:val="20"/>
                <w:lang w:val="en-GB"/>
              </w:rPr>
              <w:t>201</w:t>
            </w:r>
            <w:r w:rsidR="003162B0">
              <w:rPr>
                <w:sz w:val="20"/>
                <w:szCs w:val="20"/>
                <w:lang w:val="en-GB"/>
              </w:rPr>
              <w:t>7</w:t>
            </w:r>
          </w:p>
          <w:p w:rsidR="0077163C" w:rsidRDefault="003D4BFE" w:rsidP="0077163C">
            <w:pPr>
              <w:pStyle w:val="Header"/>
              <w:ind w:left="742"/>
              <w:rPr>
                <w:sz w:val="20"/>
                <w:szCs w:val="20"/>
                <w:lang w:val="en-GB"/>
              </w:rPr>
            </w:pPr>
            <w:r w:rsidRPr="00B5381D">
              <w:rPr>
                <w:sz w:val="20"/>
                <w:szCs w:val="20"/>
                <w:lang w:val="en-GB"/>
              </w:rPr>
              <w:t>a</w:t>
            </w:r>
            <w:r w:rsidR="00DB209F" w:rsidRPr="00B5381D">
              <w:rPr>
                <w:sz w:val="20"/>
                <w:szCs w:val="20"/>
                <w:lang w:val="en-GB"/>
              </w:rPr>
              <w:t xml:space="preserve">genda item </w:t>
            </w:r>
            <w:r w:rsidR="0077163C">
              <w:rPr>
                <w:sz w:val="20"/>
                <w:szCs w:val="20"/>
                <w:lang w:val="en-GB"/>
              </w:rPr>
              <w:t>6(a))</w:t>
            </w:r>
          </w:p>
          <w:p w:rsidR="006A522A" w:rsidRPr="00B5381D" w:rsidRDefault="006A522A" w:rsidP="0077163C">
            <w:pPr>
              <w:pStyle w:val="Header"/>
              <w:rPr>
                <w:sz w:val="20"/>
                <w:szCs w:val="20"/>
                <w:lang w:val="en-GB"/>
              </w:rPr>
            </w:pPr>
          </w:p>
        </w:tc>
      </w:tr>
    </w:tbl>
    <w:p w:rsidR="00C07DE9" w:rsidRPr="00B5381D" w:rsidRDefault="008E1E6E" w:rsidP="00490F1F">
      <w:pPr>
        <w:spacing w:before="240" w:line="240" w:lineRule="atLeast"/>
        <w:ind w:left="709" w:right="454"/>
        <w:rPr>
          <w:b/>
          <w:sz w:val="28"/>
          <w:szCs w:val="28"/>
          <w:lang w:val="en-GB" w:eastAsia="en-US"/>
        </w:rPr>
      </w:pPr>
      <w:r>
        <w:rPr>
          <w:b/>
          <w:sz w:val="28"/>
          <w:szCs w:val="28"/>
          <w:lang w:val="en-GB" w:eastAsia="en-US"/>
        </w:rPr>
        <w:t xml:space="preserve">Comments </w:t>
      </w:r>
      <w:r w:rsidR="00463CBA">
        <w:rPr>
          <w:b/>
          <w:sz w:val="28"/>
          <w:szCs w:val="28"/>
          <w:lang w:val="en-GB" w:eastAsia="en-US"/>
        </w:rPr>
        <w:t xml:space="preserve">on </w:t>
      </w:r>
      <w:r w:rsidR="005C5C2A">
        <w:rPr>
          <w:b/>
          <w:sz w:val="28"/>
          <w:szCs w:val="28"/>
          <w:lang w:val="en-GB" w:eastAsia="en-US"/>
        </w:rPr>
        <w:t>ECE/TRANS/WP.29/</w:t>
      </w:r>
      <w:r w:rsidR="00463CBA">
        <w:rPr>
          <w:b/>
          <w:sz w:val="28"/>
          <w:szCs w:val="28"/>
          <w:lang w:val="en-GB" w:eastAsia="en-US"/>
        </w:rPr>
        <w:t>GRSG/2017/22 –</w:t>
      </w:r>
      <w:r w:rsidR="002E1BD4" w:rsidRPr="00B5381D">
        <w:rPr>
          <w:b/>
          <w:sz w:val="28"/>
          <w:szCs w:val="28"/>
          <w:lang w:val="en-GB" w:eastAsia="en-US"/>
        </w:rPr>
        <w:t xml:space="preserve"> </w:t>
      </w:r>
      <w:r w:rsidR="00463CBA">
        <w:rPr>
          <w:b/>
          <w:sz w:val="28"/>
          <w:szCs w:val="28"/>
          <w:lang w:val="en-GB" w:eastAsia="en-US"/>
        </w:rPr>
        <w:t xml:space="preserve">proposal for </w:t>
      </w:r>
      <w:r w:rsidR="002E1BD4" w:rsidRPr="00B5381D">
        <w:rPr>
          <w:b/>
          <w:sz w:val="28"/>
          <w:szCs w:val="28"/>
          <w:lang w:val="en-GB" w:eastAsia="en-US"/>
        </w:rPr>
        <w:t>amend</w:t>
      </w:r>
      <w:r w:rsidR="007E1EB4">
        <w:rPr>
          <w:b/>
          <w:sz w:val="28"/>
          <w:szCs w:val="28"/>
          <w:lang w:val="en-GB" w:eastAsia="en-US"/>
        </w:rPr>
        <w:t xml:space="preserve">ments to </w:t>
      </w:r>
      <w:r w:rsidR="003162B0">
        <w:rPr>
          <w:b/>
          <w:sz w:val="28"/>
          <w:szCs w:val="28"/>
          <w:lang w:val="en-GB" w:eastAsia="en-US"/>
        </w:rPr>
        <w:t>Regulation No. 6</w:t>
      </w:r>
      <w:r w:rsidR="002E1BD4" w:rsidRPr="00B5381D">
        <w:rPr>
          <w:b/>
          <w:sz w:val="28"/>
          <w:szCs w:val="28"/>
          <w:lang w:val="en-GB" w:eastAsia="en-US"/>
        </w:rPr>
        <w:t>7</w:t>
      </w:r>
      <w:r w:rsidR="00C07DE9" w:rsidRPr="00B5381D">
        <w:rPr>
          <w:b/>
          <w:sz w:val="28"/>
          <w:szCs w:val="28"/>
          <w:lang w:val="en-GB" w:eastAsia="en-US"/>
        </w:rPr>
        <w:t xml:space="preserve"> </w:t>
      </w:r>
      <w:r w:rsidR="00463CBA">
        <w:rPr>
          <w:b/>
          <w:sz w:val="28"/>
          <w:szCs w:val="28"/>
          <w:lang w:val="en-GB" w:eastAsia="en-US"/>
        </w:rPr>
        <w:t>(</w:t>
      </w:r>
      <w:r w:rsidR="003162B0">
        <w:rPr>
          <w:b/>
          <w:sz w:val="28"/>
          <w:szCs w:val="28"/>
          <w:lang w:val="en-GB" w:eastAsia="en-US"/>
        </w:rPr>
        <w:t>LPG vehicles</w:t>
      </w:r>
      <w:r w:rsidR="00463CBA">
        <w:rPr>
          <w:b/>
          <w:sz w:val="28"/>
          <w:szCs w:val="28"/>
          <w:lang w:val="en-GB" w:eastAsia="en-US"/>
        </w:rPr>
        <w:t>) from Turkey</w:t>
      </w:r>
    </w:p>
    <w:p w:rsidR="0018173C" w:rsidRPr="00B5381D" w:rsidRDefault="0018173C" w:rsidP="002E1BD4">
      <w:pPr>
        <w:spacing w:line="240" w:lineRule="atLeast"/>
        <w:ind w:left="567" w:right="454"/>
        <w:rPr>
          <w:lang w:val="en-GB"/>
        </w:rPr>
      </w:pPr>
    </w:p>
    <w:p w:rsidR="0066596D" w:rsidRPr="00B5381D" w:rsidRDefault="000B4763" w:rsidP="005C5C2A">
      <w:pPr>
        <w:ind w:left="709" w:right="593"/>
        <w:jc w:val="both"/>
        <w:rPr>
          <w:sz w:val="20"/>
          <w:szCs w:val="20"/>
          <w:lang w:val="en-GB"/>
        </w:rPr>
      </w:pPr>
      <w:r w:rsidRPr="00B5381D">
        <w:rPr>
          <w:sz w:val="20"/>
          <w:szCs w:val="20"/>
          <w:lang w:val="en-GB"/>
        </w:rPr>
        <w:t xml:space="preserve">The text reproduced below was prepared by </w:t>
      </w:r>
      <w:r w:rsidR="00520C86" w:rsidRPr="008E1E6E">
        <w:rPr>
          <w:sz w:val="20"/>
          <w:szCs w:val="20"/>
          <w:lang w:val="en-GB"/>
        </w:rPr>
        <w:t>OICA</w:t>
      </w:r>
      <w:r w:rsidR="00212D08">
        <w:rPr>
          <w:sz w:val="20"/>
          <w:szCs w:val="20"/>
          <w:lang w:val="en-GB"/>
        </w:rPr>
        <w:t xml:space="preserve"> </w:t>
      </w:r>
      <w:r w:rsidR="008E1E6E" w:rsidRPr="008E1E6E">
        <w:rPr>
          <w:sz w:val="20"/>
          <w:szCs w:val="20"/>
          <w:lang w:val="en-GB"/>
        </w:rPr>
        <w:t>as a</w:t>
      </w:r>
      <w:r w:rsidR="00463CBA">
        <w:rPr>
          <w:sz w:val="20"/>
          <w:szCs w:val="20"/>
          <w:lang w:val="en-GB"/>
        </w:rPr>
        <w:t xml:space="preserve"> counter proposal to </w:t>
      </w:r>
      <w:r w:rsidR="005C5C2A" w:rsidRPr="005C5C2A">
        <w:rPr>
          <w:sz w:val="20"/>
          <w:szCs w:val="20"/>
          <w:lang w:val="en-GB"/>
        </w:rPr>
        <w:t>ECE/TRANS/WP.29/</w:t>
      </w:r>
      <w:r w:rsidR="00463CBA">
        <w:rPr>
          <w:sz w:val="20"/>
          <w:szCs w:val="20"/>
          <w:lang w:val="en-GB"/>
        </w:rPr>
        <w:t>GRSG/2017/22</w:t>
      </w:r>
      <w:r w:rsidRPr="008E1E6E">
        <w:rPr>
          <w:sz w:val="20"/>
          <w:szCs w:val="20"/>
          <w:lang w:val="en-GB"/>
        </w:rPr>
        <w:t>.</w:t>
      </w:r>
      <w:r w:rsidR="00212D08">
        <w:rPr>
          <w:sz w:val="20"/>
          <w:szCs w:val="20"/>
          <w:lang w:val="en-GB"/>
        </w:rPr>
        <w:t xml:space="preserve"> Differences with </w:t>
      </w:r>
      <w:r w:rsidR="005C5C2A" w:rsidRPr="005C5C2A">
        <w:rPr>
          <w:sz w:val="20"/>
          <w:szCs w:val="20"/>
          <w:lang w:val="en-GB"/>
        </w:rPr>
        <w:t>ECE/TRANS/WP.29/</w:t>
      </w:r>
      <w:r w:rsidR="00212D08">
        <w:rPr>
          <w:sz w:val="20"/>
          <w:szCs w:val="20"/>
          <w:lang w:val="en-GB"/>
        </w:rPr>
        <w:t xml:space="preserve">GRSG/2017/22 </w:t>
      </w:r>
      <w:r w:rsidR="00EA2BBA">
        <w:rPr>
          <w:sz w:val="20"/>
          <w:szCs w:val="20"/>
          <w:lang w:val="en-GB"/>
        </w:rPr>
        <w:t>appear underlined.</w:t>
      </w:r>
    </w:p>
    <w:p w:rsidR="000B4763" w:rsidRPr="00B5381D" w:rsidRDefault="000B4763" w:rsidP="000B4763">
      <w:pPr>
        <w:spacing w:before="360" w:after="240"/>
        <w:ind w:left="1134" w:right="1134" w:hanging="567"/>
        <w:jc w:val="both"/>
        <w:rPr>
          <w:b/>
          <w:sz w:val="28"/>
          <w:lang w:val="en-GB"/>
        </w:rPr>
      </w:pPr>
      <w:r w:rsidRPr="00B5381D">
        <w:rPr>
          <w:b/>
          <w:sz w:val="28"/>
          <w:lang w:val="en-GB"/>
        </w:rPr>
        <w:t>I.</w:t>
      </w:r>
      <w:r w:rsidRPr="00B5381D">
        <w:rPr>
          <w:b/>
          <w:sz w:val="28"/>
          <w:lang w:val="en-GB"/>
        </w:rPr>
        <w:tab/>
        <w:t>Proposal</w:t>
      </w:r>
    </w:p>
    <w:p w:rsidR="005F4183" w:rsidRPr="00A17D9C" w:rsidRDefault="005F4183" w:rsidP="005F4183">
      <w:pPr>
        <w:tabs>
          <w:tab w:val="left" w:pos="2835"/>
        </w:tabs>
        <w:spacing w:before="120" w:after="120"/>
        <w:ind w:left="2268" w:right="1134" w:hanging="1134"/>
        <w:jc w:val="both"/>
        <w:rPr>
          <w:lang w:val="en-GB"/>
        </w:rPr>
      </w:pPr>
      <w:r w:rsidRPr="00A17D9C">
        <w:rPr>
          <w:i/>
          <w:lang w:val="en-GB"/>
        </w:rPr>
        <w:t>Insert new paragraphs 2.2</w:t>
      </w:r>
      <w:r w:rsidR="00441109" w:rsidRPr="00A17D9C">
        <w:rPr>
          <w:i/>
          <w:lang w:val="en-GB"/>
        </w:rPr>
        <w:t>1</w:t>
      </w:r>
      <w:r w:rsidRPr="00A17D9C">
        <w:rPr>
          <w:i/>
          <w:lang w:val="en-GB"/>
        </w:rPr>
        <w:t>.</w:t>
      </w:r>
      <w:r w:rsidRPr="00A17D9C">
        <w:rPr>
          <w:lang w:val="en-GB"/>
        </w:rPr>
        <w:t xml:space="preserve"> </w:t>
      </w:r>
      <w:proofErr w:type="gramStart"/>
      <w:r w:rsidRPr="00A17D9C">
        <w:rPr>
          <w:lang w:val="en-GB"/>
        </w:rPr>
        <w:t>to</w:t>
      </w:r>
      <w:proofErr w:type="gramEnd"/>
      <w:r w:rsidRPr="00A17D9C">
        <w:rPr>
          <w:lang w:val="en-GB"/>
        </w:rPr>
        <w:t xml:space="preserve"> read:</w:t>
      </w:r>
    </w:p>
    <w:p w:rsidR="005F4183" w:rsidRPr="00A17D9C" w:rsidRDefault="005F4183" w:rsidP="005F4183">
      <w:pPr>
        <w:tabs>
          <w:tab w:val="left" w:pos="2835"/>
        </w:tabs>
        <w:spacing w:before="120" w:after="120"/>
        <w:ind w:left="2268" w:right="1134" w:hanging="1134"/>
        <w:jc w:val="both"/>
        <w:rPr>
          <w:lang w:val="en-GB"/>
        </w:rPr>
      </w:pPr>
      <w:r w:rsidRPr="00A17D9C">
        <w:rPr>
          <w:lang w:val="en-GB"/>
        </w:rPr>
        <w:t>"</w:t>
      </w:r>
      <w:r w:rsidRPr="00A17D9C">
        <w:rPr>
          <w:b/>
          <w:lang w:val="en-GB"/>
        </w:rPr>
        <w:t>2.2</w:t>
      </w:r>
      <w:r w:rsidR="00441109" w:rsidRPr="00A17D9C">
        <w:rPr>
          <w:b/>
          <w:lang w:val="en-GB"/>
        </w:rPr>
        <w:t>1</w:t>
      </w:r>
      <w:r w:rsidRPr="00A17D9C">
        <w:rPr>
          <w:b/>
          <w:lang w:val="en-GB"/>
        </w:rPr>
        <w:t>.</w:t>
      </w:r>
      <w:r w:rsidRPr="00A17D9C">
        <w:rPr>
          <w:b/>
          <w:lang w:val="en-GB"/>
        </w:rPr>
        <w:tab/>
        <w:t>"Service life" means the life in years during which the containers may safely be used</w:t>
      </w:r>
      <w:r w:rsidRPr="00A17D9C">
        <w:rPr>
          <w:lang w:val="en-GB"/>
        </w:rPr>
        <w:t>.</w:t>
      </w:r>
      <w:r w:rsidR="005C5C2A">
        <w:rPr>
          <w:b/>
          <w:lang w:val="en-GB"/>
        </w:rPr>
        <w:t>"</w:t>
      </w:r>
    </w:p>
    <w:p w:rsidR="005F4183" w:rsidRPr="00A17D9C" w:rsidRDefault="005F4183" w:rsidP="005F4183">
      <w:pPr>
        <w:tabs>
          <w:tab w:val="left" w:pos="2835"/>
        </w:tabs>
        <w:spacing w:before="120" w:after="120"/>
        <w:ind w:left="2268" w:right="1134" w:hanging="1134"/>
        <w:jc w:val="both"/>
        <w:rPr>
          <w:i/>
          <w:lang w:val="en-GB"/>
        </w:rPr>
      </w:pPr>
    </w:p>
    <w:p w:rsidR="005F4183" w:rsidRPr="00A17D9C" w:rsidRDefault="005F4183" w:rsidP="005F4183">
      <w:pPr>
        <w:tabs>
          <w:tab w:val="left" w:pos="2835"/>
        </w:tabs>
        <w:spacing w:before="120" w:after="120"/>
        <w:ind w:left="2268" w:right="1134" w:hanging="1134"/>
        <w:jc w:val="both"/>
        <w:rPr>
          <w:lang w:val="en-GB"/>
        </w:rPr>
      </w:pPr>
      <w:r w:rsidRPr="00A17D9C">
        <w:rPr>
          <w:i/>
          <w:lang w:val="en-GB"/>
        </w:rPr>
        <w:t>Paragraph 4.3.</w:t>
      </w:r>
      <w:r w:rsidRPr="00A17D9C">
        <w:rPr>
          <w:lang w:val="en-GB"/>
        </w:rPr>
        <w:t>, insert new items (</w:t>
      </w:r>
      <w:proofErr w:type="spellStart"/>
      <w:r w:rsidRPr="00A17D9C">
        <w:rPr>
          <w:lang w:val="en-GB"/>
        </w:rPr>
        <w:t>i</w:t>
      </w:r>
      <w:proofErr w:type="spellEnd"/>
      <w:r w:rsidRPr="00A17D9C">
        <w:rPr>
          <w:lang w:val="en-GB"/>
        </w:rPr>
        <w:t>) and (j) to read:</w:t>
      </w:r>
    </w:p>
    <w:p w:rsidR="005F4183" w:rsidRPr="00A17D9C" w:rsidRDefault="005F4183" w:rsidP="005F4183">
      <w:pPr>
        <w:tabs>
          <w:tab w:val="left" w:pos="2835"/>
        </w:tabs>
        <w:spacing w:before="120" w:after="120"/>
        <w:ind w:left="2268" w:right="1134" w:hanging="1134"/>
        <w:jc w:val="both"/>
        <w:rPr>
          <w:lang w:val="en-GB"/>
        </w:rPr>
      </w:pPr>
      <w:r w:rsidRPr="00A17D9C">
        <w:rPr>
          <w:lang w:val="en-GB"/>
        </w:rPr>
        <w:t>"4.3.</w:t>
      </w:r>
      <w:r w:rsidRPr="00A17D9C">
        <w:rPr>
          <w:lang w:val="en-GB"/>
        </w:rPr>
        <w:tab/>
        <w:t>Every container ...</w:t>
      </w:r>
    </w:p>
    <w:p w:rsidR="005F4183" w:rsidRPr="00A17D9C" w:rsidRDefault="005F4183" w:rsidP="005F4183">
      <w:pPr>
        <w:tabs>
          <w:tab w:val="left" w:pos="2835"/>
        </w:tabs>
        <w:spacing w:before="120" w:after="120"/>
        <w:ind w:left="2268" w:right="1134" w:hanging="1134"/>
        <w:jc w:val="both"/>
        <w:rPr>
          <w:lang w:val="en-GB"/>
        </w:rPr>
      </w:pPr>
      <w:r w:rsidRPr="00A17D9C">
        <w:rPr>
          <w:lang w:val="en-GB"/>
        </w:rPr>
        <w:tab/>
        <w:t>...</w:t>
      </w:r>
    </w:p>
    <w:p w:rsidR="005F4183" w:rsidRPr="00A17D9C" w:rsidRDefault="005F4183" w:rsidP="005F4183">
      <w:pPr>
        <w:tabs>
          <w:tab w:val="left" w:pos="2835"/>
        </w:tabs>
        <w:spacing w:before="120" w:after="120"/>
        <w:ind w:left="2268" w:right="1134" w:hanging="1134"/>
        <w:jc w:val="both"/>
        <w:rPr>
          <w:b/>
          <w:lang w:val="en-GB"/>
        </w:rPr>
      </w:pPr>
      <w:r w:rsidRPr="00A17D9C">
        <w:rPr>
          <w:b/>
          <w:lang w:val="en-GB"/>
        </w:rPr>
        <w:tab/>
        <w:t>(</w:t>
      </w:r>
      <w:proofErr w:type="spellStart"/>
      <w:r w:rsidRPr="00A17D9C">
        <w:rPr>
          <w:b/>
          <w:lang w:val="en-GB"/>
        </w:rPr>
        <w:t>i</w:t>
      </w:r>
      <w:proofErr w:type="spellEnd"/>
      <w:r w:rsidRPr="00A17D9C">
        <w:rPr>
          <w:b/>
          <w:lang w:val="en-GB"/>
        </w:rPr>
        <w:t>)</w:t>
      </w:r>
      <w:r w:rsidRPr="00A17D9C">
        <w:rPr>
          <w:b/>
          <w:lang w:val="en-GB"/>
        </w:rPr>
        <w:tab/>
        <w:t>End of service life of the container (Month/Year)</w:t>
      </w:r>
    </w:p>
    <w:p w:rsidR="005F4183" w:rsidRPr="00A17D9C" w:rsidRDefault="005F4183" w:rsidP="005F4183">
      <w:pPr>
        <w:tabs>
          <w:tab w:val="left" w:pos="2835"/>
        </w:tabs>
        <w:spacing w:before="120" w:after="120"/>
        <w:ind w:left="2268" w:right="1134" w:hanging="1134"/>
        <w:jc w:val="both"/>
        <w:rPr>
          <w:lang w:val="en-GB"/>
        </w:rPr>
      </w:pPr>
      <w:r w:rsidRPr="00A17D9C">
        <w:rPr>
          <w:b/>
          <w:lang w:val="en-GB"/>
        </w:rPr>
        <w:tab/>
        <w:t>(j)</w:t>
      </w:r>
      <w:r w:rsidRPr="00A17D9C">
        <w:rPr>
          <w:b/>
          <w:lang w:val="en-GB"/>
        </w:rPr>
        <w:tab/>
        <w:t>Date of production (Month/Year)</w:t>
      </w:r>
      <w:r w:rsidRPr="00A17D9C">
        <w:rPr>
          <w:lang w:val="en-GB"/>
        </w:rPr>
        <w:t>"</w:t>
      </w:r>
    </w:p>
    <w:p w:rsidR="005F4183" w:rsidRPr="00A17D9C" w:rsidRDefault="005F4183" w:rsidP="005F4183">
      <w:pPr>
        <w:tabs>
          <w:tab w:val="left" w:pos="2835"/>
        </w:tabs>
        <w:spacing w:before="120" w:after="120"/>
        <w:ind w:left="2268" w:right="1134" w:hanging="1134"/>
        <w:jc w:val="both"/>
        <w:rPr>
          <w:i/>
          <w:lang w:val="en-GB"/>
        </w:rPr>
      </w:pPr>
    </w:p>
    <w:p w:rsidR="005F4183" w:rsidRPr="00A17D9C" w:rsidRDefault="005F4183" w:rsidP="005F4183">
      <w:pPr>
        <w:tabs>
          <w:tab w:val="left" w:pos="2835"/>
        </w:tabs>
        <w:spacing w:before="120" w:after="120"/>
        <w:ind w:left="2268" w:right="1134" w:hanging="1134"/>
        <w:jc w:val="both"/>
        <w:rPr>
          <w:lang w:val="en-GB"/>
        </w:rPr>
      </w:pPr>
      <w:r w:rsidRPr="00A17D9C">
        <w:rPr>
          <w:i/>
          <w:lang w:val="en-GB"/>
        </w:rPr>
        <w:t>Insert a new paragraph 6.15.10.8.</w:t>
      </w:r>
      <w:r w:rsidRPr="00A17D9C">
        <w:rPr>
          <w:lang w:val="en-GB"/>
        </w:rPr>
        <w:t>, to read:</w:t>
      </w:r>
    </w:p>
    <w:p w:rsidR="005F4183" w:rsidRPr="00A17D9C" w:rsidRDefault="005F4183" w:rsidP="005F4183">
      <w:pPr>
        <w:tabs>
          <w:tab w:val="left" w:pos="2835"/>
        </w:tabs>
        <w:spacing w:before="120" w:after="120"/>
        <w:ind w:left="2268" w:right="1134" w:hanging="1134"/>
        <w:jc w:val="both"/>
        <w:rPr>
          <w:lang w:val="en-GB"/>
        </w:rPr>
      </w:pPr>
      <w:r w:rsidRPr="00A17D9C">
        <w:rPr>
          <w:lang w:val="en-GB"/>
        </w:rPr>
        <w:t>"</w:t>
      </w:r>
      <w:r w:rsidRPr="00A17D9C">
        <w:rPr>
          <w:b/>
          <w:lang w:val="en-GB"/>
        </w:rPr>
        <w:t>6.15.10.8.</w:t>
      </w:r>
      <w:r w:rsidRPr="00A17D9C">
        <w:rPr>
          <w:b/>
          <w:lang w:val="en-GB"/>
        </w:rPr>
        <w:tab/>
        <w:t xml:space="preserve">The filling unit shall not be located </w:t>
      </w:r>
      <w:r w:rsidR="00212D08" w:rsidRPr="00A17D9C">
        <w:rPr>
          <w:b/>
          <w:u w:val="single"/>
          <w:lang w:val="en-GB"/>
        </w:rPr>
        <w:t xml:space="preserve">under the floor </w:t>
      </w:r>
      <w:r w:rsidR="00E71298" w:rsidRPr="00A17D9C">
        <w:rPr>
          <w:b/>
          <w:u w:val="single"/>
          <w:lang w:val="en-GB"/>
        </w:rPr>
        <w:t>or the chassis</w:t>
      </w:r>
      <w:r w:rsidR="00E71298" w:rsidRPr="00A17D9C">
        <w:rPr>
          <w:b/>
          <w:lang w:val="en-GB"/>
        </w:rPr>
        <w:t xml:space="preserve"> </w:t>
      </w:r>
      <w:r w:rsidRPr="00A17D9C">
        <w:rPr>
          <w:b/>
          <w:lang w:val="en-GB"/>
        </w:rPr>
        <w:t>of the vehicle. The centre of outlet of filling unit shall be above 350 mm from the ground surface when the vehicle is in its reference mass. In the case the outlet of filling unit is located between 350 mm to 1,200 mm above the ground</w:t>
      </w:r>
      <w:r w:rsidR="00592C1C" w:rsidRPr="00A17D9C">
        <w:rPr>
          <w:b/>
          <w:lang w:val="en-GB"/>
        </w:rPr>
        <w:t xml:space="preserve"> </w:t>
      </w:r>
      <w:r w:rsidR="00592C1C" w:rsidRPr="00A17D9C">
        <w:rPr>
          <w:b/>
          <w:u w:val="single"/>
          <w:lang w:val="en-GB"/>
        </w:rPr>
        <w:t>and</w:t>
      </w:r>
      <w:r w:rsidR="00592C1C" w:rsidRPr="00A17D9C">
        <w:rPr>
          <w:b/>
          <w:lang w:val="en-GB"/>
        </w:rPr>
        <w:t xml:space="preserve"> </w:t>
      </w:r>
      <w:r w:rsidR="00592C1C" w:rsidRPr="00A17D9C">
        <w:rPr>
          <w:b/>
          <w:u w:val="single"/>
          <w:lang w:val="en-GB"/>
        </w:rPr>
        <w:t>directed downwards</w:t>
      </w:r>
      <w:r w:rsidRPr="00A17D9C">
        <w:rPr>
          <w:b/>
          <w:lang w:val="en-GB"/>
        </w:rPr>
        <w:t>, in vertical plane the angle between horizontal road surface and outlet plane of the filling unit shall be equal to or greater than 60 degrees</w:t>
      </w:r>
      <w:r w:rsidRPr="00A17D9C">
        <w:rPr>
          <w:lang w:val="en-GB"/>
        </w:rPr>
        <w:t>."</w:t>
      </w:r>
    </w:p>
    <w:p w:rsidR="005F4183" w:rsidRPr="00A17D9C" w:rsidRDefault="005F4183" w:rsidP="005F4183">
      <w:pPr>
        <w:spacing w:beforeLines="50" w:before="120" w:after="120"/>
        <w:ind w:left="2268" w:right="1134" w:hanging="1134"/>
        <w:jc w:val="both"/>
        <w:rPr>
          <w:i/>
          <w:lang w:val="en-GB"/>
        </w:rPr>
      </w:pPr>
    </w:p>
    <w:p w:rsidR="005F4183" w:rsidRPr="00A17D9C" w:rsidRDefault="005C5C2A" w:rsidP="005F4183">
      <w:pPr>
        <w:spacing w:beforeLines="50" w:before="120" w:after="120"/>
        <w:ind w:left="2268" w:right="1134" w:hanging="1134"/>
        <w:jc w:val="both"/>
        <w:rPr>
          <w:sz w:val="20"/>
          <w:szCs w:val="20"/>
          <w:u w:val="single"/>
          <w:lang w:val="en-GB"/>
        </w:rPr>
      </w:pPr>
      <w:r>
        <w:rPr>
          <w:i/>
          <w:u w:val="single"/>
          <w:lang w:val="en-GB"/>
        </w:rPr>
        <w:t xml:space="preserve">Insert new paragraphs 22.6. </w:t>
      </w:r>
      <w:proofErr w:type="gramStart"/>
      <w:r>
        <w:rPr>
          <w:i/>
          <w:u w:val="single"/>
          <w:lang w:val="en-GB"/>
        </w:rPr>
        <w:t>to</w:t>
      </w:r>
      <w:proofErr w:type="gramEnd"/>
      <w:r>
        <w:rPr>
          <w:i/>
          <w:u w:val="single"/>
          <w:lang w:val="en-GB"/>
        </w:rPr>
        <w:t xml:space="preserve"> 22.10</w:t>
      </w:r>
      <w:r w:rsidRPr="005C5C2A">
        <w:rPr>
          <w:u w:val="single"/>
          <w:lang w:val="en-GB"/>
        </w:rPr>
        <w:t>., to read</w:t>
      </w:r>
      <w:r w:rsidR="005F4183" w:rsidRPr="005C5C2A">
        <w:rPr>
          <w:u w:val="single"/>
          <w:lang w:val="en-GB"/>
        </w:rPr>
        <w:t>:</w:t>
      </w:r>
    </w:p>
    <w:p w:rsidR="005F4183" w:rsidRPr="00A17D9C" w:rsidRDefault="005C5C2A" w:rsidP="005F4183">
      <w:pPr>
        <w:spacing w:beforeLines="50" w:before="120" w:after="120"/>
        <w:ind w:left="2268" w:right="1134" w:hanging="1134"/>
        <w:jc w:val="both"/>
        <w:rPr>
          <w:b/>
          <w:szCs w:val="20"/>
          <w:u w:val="single"/>
          <w:lang w:val="en-GB"/>
        </w:rPr>
      </w:pPr>
      <w:r>
        <w:rPr>
          <w:b/>
          <w:szCs w:val="20"/>
          <w:u w:val="single"/>
          <w:lang w:val="en-GB"/>
        </w:rPr>
        <w:t>"</w:t>
      </w:r>
      <w:r w:rsidR="005F4183" w:rsidRPr="00A17D9C">
        <w:rPr>
          <w:b/>
          <w:szCs w:val="20"/>
          <w:u w:val="single"/>
          <w:lang w:val="en-GB"/>
        </w:rPr>
        <w:t>22.6.</w:t>
      </w:r>
      <w:r w:rsidR="005F4183" w:rsidRPr="00A17D9C">
        <w:rPr>
          <w:b/>
          <w:szCs w:val="20"/>
          <w:u w:val="single"/>
          <w:lang w:val="en-GB"/>
        </w:rPr>
        <w:tab/>
        <w:t xml:space="preserve">As from the official date of entry into force of the 02 series of amendments, no Contracting Party applying this </w:t>
      </w:r>
      <w:r w:rsidR="005F4183" w:rsidRPr="00A17D9C">
        <w:rPr>
          <w:b/>
          <w:szCs w:val="20"/>
          <w:u w:val="single"/>
          <w:lang w:val="en-GB" w:eastAsia="ja-JP"/>
        </w:rPr>
        <w:t xml:space="preserve">UN </w:t>
      </w:r>
      <w:r w:rsidR="005F4183" w:rsidRPr="00A17D9C">
        <w:rPr>
          <w:b/>
          <w:szCs w:val="20"/>
          <w:u w:val="single"/>
          <w:lang w:val="en-GB"/>
        </w:rPr>
        <w:t xml:space="preserve">Regulation shall refuse to grant or refuse to accept UN type-approvals under this </w:t>
      </w:r>
      <w:r w:rsidR="005F4183" w:rsidRPr="00A17D9C">
        <w:rPr>
          <w:b/>
          <w:szCs w:val="20"/>
          <w:u w:val="single"/>
          <w:lang w:val="en-GB" w:eastAsia="ja-JP"/>
        </w:rPr>
        <w:t xml:space="preserve">UN </w:t>
      </w:r>
      <w:r w:rsidR="005F4183" w:rsidRPr="00A17D9C">
        <w:rPr>
          <w:b/>
          <w:szCs w:val="20"/>
          <w:u w:val="single"/>
          <w:lang w:val="en-GB"/>
        </w:rPr>
        <w:t>Regulation as amended by the 02 series of amendments.</w:t>
      </w:r>
    </w:p>
    <w:p w:rsidR="005F4183" w:rsidRPr="00A17D9C" w:rsidRDefault="005F4183" w:rsidP="005F4183">
      <w:pPr>
        <w:spacing w:after="120"/>
        <w:ind w:left="2268" w:right="1134" w:hanging="1134"/>
        <w:jc w:val="both"/>
        <w:rPr>
          <w:rFonts w:eastAsia="MS Mincho"/>
          <w:b/>
          <w:szCs w:val="20"/>
          <w:u w:val="single"/>
          <w:lang w:val="en-GB" w:eastAsia="ja-JP"/>
        </w:rPr>
      </w:pPr>
      <w:r w:rsidRPr="00A17D9C">
        <w:rPr>
          <w:b/>
          <w:szCs w:val="20"/>
          <w:u w:val="single"/>
          <w:lang w:val="en-GB"/>
        </w:rPr>
        <w:t>22.7.</w:t>
      </w:r>
      <w:r w:rsidRPr="00A17D9C">
        <w:rPr>
          <w:b/>
          <w:szCs w:val="20"/>
          <w:u w:val="single"/>
          <w:lang w:val="en-GB"/>
        </w:rPr>
        <w:tab/>
        <w:t xml:space="preserve">As </w:t>
      </w:r>
      <w:r w:rsidRPr="00A17D9C">
        <w:rPr>
          <w:rFonts w:eastAsia="MS Mincho"/>
          <w:b/>
          <w:szCs w:val="20"/>
          <w:u w:val="single"/>
          <w:lang w:val="en-GB" w:eastAsia="ja-JP"/>
        </w:rPr>
        <w:t>from</w:t>
      </w:r>
      <w:r w:rsidRPr="00A17D9C">
        <w:rPr>
          <w:b/>
          <w:szCs w:val="20"/>
          <w:u w:val="single"/>
          <w:lang w:val="en-GB"/>
        </w:rPr>
        <w:t xml:space="preserve"> 1 September 2019, Contracting Parties applying this UN Regulation shall not be obliged to accept UN type-approvals to the preceding series of amendments, first issued after 1 September 2019.</w:t>
      </w:r>
    </w:p>
    <w:p w:rsidR="005F4183" w:rsidRPr="00A17D9C" w:rsidRDefault="005F4183" w:rsidP="005F4183">
      <w:pPr>
        <w:spacing w:after="120"/>
        <w:ind w:left="2268" w:right="1134" w:hanging="1134"/>
        <w:jc w:val="both"/>
        <w:rPr>
          <w:rFonts w:eastAsia="MS Mincho"/>
          <w:b/>
          <w:szCs w:val="20"/>
          <w:u w:val="single"/>
          <w:lang w:val="en-GB" w:eastAsia="ja-JP"/>
        </w:rPr>
      </w:pPr>
      <w:r w:rsidRPr="00A17D9C">
        <w:rPr>
          <w:b/>
          <w:szCs w:val="20"/>
          <w:u w:val="single"/>
          <w:lang w:val="en-GB"/>
        </w:rPr>
        <w:t>22.8.</w:t>
      </w:r>
      <w:r w:rsidRPr="00A17D9C">
        <w:rPr>
          <w:b/>
          <w:szCs w:val="20"/>
          <w:u w:val="single"/>
          <w:lang w:val="en-GB"/>
        </w:rPr>
        <w:tab/>
        <w:t xml:space="preserve">Until 1 September 2020, Contracting Parties applying this UN Regulation shall accept UN type-approvals to the </w:t>
      </w:r>
      <w:r w:rsidRPr="00A17D9C">
        <w:rPr>
          <w:b/>
          <w:szCs w:val="20"/>
          <w:u w:val="single"/>
          <w:lang w:val="en-GB"/>
        </w:rPr>
        <w:lastRenderedPageBreak/>
        <w:t>preceding series of amendments, first issued before 1 September 2019</w:t>
      </w:r>
      <w:r w:rsidRPr="00A17D9C">
        <w:rPr>
          <w:rFonts w:eastAsiaTheme="minorEastAsia"/>
          <w:b/>
          <w:szCs w:val="20"/>
          <w:u w:val="single"/>
          <w:lang w:val="en-GB" w:eastAsia="ja-JP"/>
        </w:rPr>
        <w:t>.</w:t>
      </w:r>
    </w:p>
    <w:p w:rsidR="005F4183" w:rsidRPr="00A17D9C" w:rsidRDefault="005F4183" w:rsidP="005F4183">
      <w:pPr>
        <w:spacing w:after="120"/>
        <w:ind w:left="2268" w:right="1134" w:hanging="1134"/>
        <w:jc w:val="both"/>
        <w:rPr>
          <w:b/>
          <w:szCs w:val="20"/>
          <w:u w:val="single"/>
          <w:lang w:val="en-GB"/>
        </w:rPr>
      </w:pPr>
      <w:r w:rsidRPr="00A17D9C">
        <w:rPr>
          <w:b/>
          <w:szCs w:val="20"/>
          <w:u w:val="single"/>
          <w:lang w:val="en-GB"/>
        </w:rPr>
        <w:t>22.9.</w:t>
      </w:r>
      <w:r w:rsidRPr="00A17D9C">
        <w:rPr>
          <w:b/>
          <w:szCs w:val="20"/>
          <w:u w:val="single"/>
          <w:lang w:val="en-GB"/>
        </w:rPr>
        <w:tab/>
        <w:t xml:space="preserve">As </w:t>
      </w:r>
      <w:r w:rsidRPr="00A17D9C">
        <w:rPr>
          <w:rFonts w:eastAsia="MS Mincho"/>
          <w:b/>
          <w:szCs w:val="20"/>
          <w:u w:val="single"/>
          <w:lang w:val="en-GB" w:eastAsia="ja-JP"/>
        </w:rPr>
        <w:t>from</w:t>
      </w:r>
      <w:r w:rsidRPr="00A17D9C">
        <w:rPr>
          <w:b/>
          <w:szCs w:val="20"/>
          <w:u w:val="single"/>
          <w:lang w:val="en-GB"/>
        </w:rPr>
        <w:t xml:space="preserve"> 1 September 2020, Contracting Parties applying this UN</w:t>
      </w:r>
      <w:r w:rsidRPr="00A17D9C">
        <w:rPr>
          <w:rFonts w:asciiTheme="minorEastAsia" w:eastAsiaTheme="minorEastAsia" w:hAnsiTheme="minorEastAsia"/>
          <w:b/>
          <w:szCs w:val="20"/>
          <w:u w:val="single"/>
          <w:lang w:val="en-GB" w:eastAsia="ja-JP"/>
        </w:rPr>
        <w:t xml:space="preserve"> </w:t>
      </w:r>
      <w:r w:rsidRPr="00A17D9C">
        <w:rPr>
          <w:b/>
          <w:szCs w:val="20"/>
          <w:u w:val="single"/>
          <w:lang w:val="en-GB"/>
        </w:rPr>
        <w:t>Regulation shall not be obliged to accept type-approvals issued to the preceding series of amendments to this Regulation.</w:t>
      </w:r>
    </w:p>
    <w:p w:rsidR="005F4183" w:rsidRPr="00A17D9C" w:rsidRDefault="005F4183" w:rsidP="005F4183">
      <w:pPr>
        <w:spacing w:after="120"/>
        <w:ind w:left="2268" w:right="1134" w:hanging="1134"/>
        <w:jc w:val="both"/>
        <w:rPr>
          <w:rFonts w:eastAsia="MS Mincho"/>
          <w:b/>
          <w:szCs w:val="20"/>
          <w:u w:val="single"/>
          <w:lang w:val="en-GB" w:eastAsia="ja-JP"/>
        </w:rPr>
      </w:pPr>
      <w:r w:rsidRPr="00A17D9C">
        <w:rPr>
          <w:b/>
          <w:szCs w:val="20"/>
          <w:u w:val="single"/>
          <w:lang w:val="en-GB"/>
        </w:rPr>
        <w:t>22.1</w:t>
      </w:r>
      <w:r w:rsidR="00E62BC7" w:rsidRPr="00A17D9C">
        <w:rPr>
          <w:b/>
          <w:szCs w:val="20"/>
          <w:u w:val="single"/>
          <w:lang w:val="en-GB"/>
        </w:rPr>
        <w:t>0</w:t>
      </w:r>
      <w:r w:rsidRPr="00A17D9C">
        <w:rPr>
          <w:b/>
          <w:szCs w:val="20"/>
          <w:u w:val="single"/>
          <w:lang w:val="en-GB"/>
        </w:rPr>
        <w:t>.</w:t>
      </w:r>
      <w:r w:rsidRPr="00A17D9C">
        <w:rPr>
          <w:b/>
          <w:szCs w:val="20"/>
          <w:u w:val="single"/>
          <w:lang w:val="en-GB"/>
        </w:rPr>
        <w:tab/>
        <w:t xml:space="preserve">Contracting Parties applying this </w:t>
      </w:r>
      <w:r w:rsidRPr="00A17D9C">
        <w:rPr>
          <w:b/>
          <w:szCs w:val="20"/>
          <w:u w:val="single"/>
          <w:lang w:val="en-GB" w:eastAsia="ja-JP"/>
        </w:rPr>
        <w:t xml:space="preserve">UN </w:t>
      </w:r>
      <w:r w:rsidRPr="00A17D9C">
        <w:rPr>
          <w:b/>
          <w:szCs w:val="20"/>
          <w:u w:val="single"/>
          <w:lang w:val="en-GB"/>
        </w:rPr>
        <w:t xml:space="preserve">Regulation shall not refuse to grant UN type-approvals </w:t>
      </w:r>
      <w:r w:rsidRPr="00A17D9C">
        <w:rPr>
          <w:b/>
          <w:szCs w:val="20"/>
          <w:u w:val="single"/>
          <w:lang w:val="en-GB" w:eastAsia="ja-JP"/>
        </w:rPr>
        <w:t>according to any preceding series of amendments to this UN Regulation</w:t>
      </w:r>
      <w:r w:rsidRPr="00A17D9C">
        <w:rPr>
          <w:b/>
          <w:szCs w:val="20"/>
          <w:u w:val="single"/>
          <w:lang w:val="en-GB"/>
        </w:rPr>
        <w:t xml:space="preserve"> or extensions thereof.</w:t>
      </w:r>
      <w:r w:rsidR="005C5C2A">
        <w:rPr>
          <w:b/>
          <w:szCs w:val="20"/>
          <w:u w:val="single"/>
          <w:lang w:val="en-GB"/>
        </w:rPr>
        <w:t>"</w:t>
      </w:r>
    </w:p>
    <w:p w:rsidR="005F4183" w:rsidRPr="00A17D9C" w:rsidRDefault="005F4183" w:rsidP="005F4183">
      <w:pPr>
        <w:tabs>
          <w:tab w:val="left" w:pos="2835"/>
        </w:tabs>
        <w:spacing w:before="120" w:after="120"/>
        <w:ind w:left="2268" w:right="1134" w:hanging="1134"/>
        <w:jc w:val="both"/>
        <w:rPr>
          <w:i/>
          <w:lang w:val="en-GB"/>
        </w:rPr>
      </w:pPr>
    </w:p>
    <w:p w:rsidR="005F4183" w:rsidRPr="00A17D9C" w:rsidRDefault="005F4183" w:rsidP="005F4183">
      <w:pPr>
        <w:tabs>
          <w:tab w:val="left" w:pos="2835"/>
        </w:tabs>
        <w:spacing w:before="120" w:after="120"/>
        <w:ind w:left="2268" w:right="1134" w:hanging="1134"/>
        <w:jc w:val="both"/>
        <w:rPr>
          <w:lang w:val="en-GB"/>
        </w:rPr>
      </w:pPr>
      <w:r w:rsidRPr="00A17D9C">
        <w:rPr>
          <w:i/>
          <w:lang w:val="en-GB"/>
        </w:rPr>
        <w:t>Annex 10, insert new paragraph 1.8.</w:t>
      </w:r>
      <w:r w:rsidRPr="00A17D9C">
        <w:rPr>
          <w:lang w:val="en-GB"/>
        </w:rPr>
        <w:t>, to read:</w:t>
      </w:r>
    </w:p>
    <w:p w:rsidR="005F4183" w:rsidRPr="00A17D9C" w:rsidRDefault="005F4183" w:rsidP="005F4183">
      <w:pPr>
        <w:tabs>
          <w:tab w:val="left" w:pos="2835"/>
        </w:tabs>
        <w:spacing w:before="120" w:after="120"/>
        <w:ind w:left="2268" w:right="1134" w:hanging="1134"/>
        <w:jc w:val="both"/>
        <w:rPr>
          <w:b/>
          <w:lang w:val="en-GB"/>
        </w:rPr>
      </w:pPr>
      <w:r w:rsidRPr="00A17D9C">
        <w:rPr>
          <w:lang w:val="en-GB"/>
        </w:rPr>
        <w:t>"</w:t>
      </w:r>
      <w:r w:rsidRPr="00A17D9C">
        <w:rPr>
          <w:b/>
          <w:lang w:val="en-GB"/>
        </w:rPr>
        <w:t>1.8.</w:t>
      </w:r>
      <w:r w:rsidRPr="00A17D9C">
        <w:rPr>
          <w:b/>
          <w:lang w:val="en-GB"/>
        </w:rPr>
        <w:tab/>
        <w:t>Service life</w:t>
      </w:r>
    </w:p>
    <w:p w:rsidR="005F4183" w:rsidRPr="00A17D9C" w:rsidRDefault="005F4183" w:rsidP="005F4183">
      <w:pPr>
        <w:tabs>
          <w:tab w:val="left" w:pos="2835"/>
        </w:tabs>
        <w:spacing w:before="120" w:after="120"/>
        <w:ind w:left="2268" w:right="1134" w:hanging="1134"/>
        <w:jc w:val="both"/>
        <w:rPr>
          <w:b/>
          <w:lang w:val="en-GB"/>
        </w:rPr>
      </w:pPr>
      <w:r w:rsidRPr="00A17D9C">
        <w:rPr>
          <w:b/>
          <w:lang w:val="en-GB"/>
        </w:rPr>
        <w:tab/>
        <w:t>The service life for which containers are safe shall be specified by the container manufacturer considering that external surfaces of the container may be inadvertently exposed to:</w:t>
      </w:r>
    </w:p>
    <w:p w:rsidR="005F4183" w:rsidRPr="00A17D9C" w:rsidRDefault="005F4183" w:rsidP="005F4183">
      <w:pPr>
        <w:tabs>
          <w:tab w:val="left" w:pos="2268"/>
          <w:tab w:val="left" w:pos="2835"/>
        </w:tabs>
        <w:spacing w:before="120" w:after="120"/>
        <w:ind w:left="2835" w:right="1134" w:hanging="1701"/>
        <w:jc w:val="both"/>
        <w:rPr>
          <w:b/>
          <w:lang w:val="en-GB"/>
        </w:rPr>
      </w:pPr>
      <w:r w:rsidRPr="00A17D9C">
        <w:rPr>
          <w:b/>
          <w:lang w:val="en-GB"/>
        </w:rPr>
        <w:tab/>
        <w:t>(a)</w:t>
      </w:r>
      <w:r w:rsidRPr="00A17D9C">
        <w:rPr>
          <w:b/>
          <w:lang w:val="en-GB"/>
        </w:rPr>
        <w:tab/>
      </w:r>
      <w:proofErr w:type="gramStart"/>
      <w:r w:rsidRPr="00A17D9C">
        <w:rPr>
          <w:b/>
          <w:lang w:val="en-GB"/>
        </w:rPr>
        <w:t>water</w:t>
      </w:r>
      <w:proofErr w:type="gramEnd"/>
      <w:r w:rsidRPr="00A17D9C">
        <w:rPr>
          <w:b/>
          <w:lang w:val="en-GB"/>
        </w:rPr>
        <w:t>, either by intermittent immersion or road spray;</w:t>
      </w:r>
    </w:p>
    <w:p w:rsidR="005F4183" w:rsidRPr="00A17D9C" w:rsidRDefault="005F4183" w:rsidP="005F4183">
      <w:pPr>
        <w:tabs>
          <w:tab w:val="left" w:pos="2268"/>
          <w:tab w:val="left" w:pos="2835"/>
        </w:tabs>
        <w:spacing w:before="120" w:after="120"/>
        <w:ind w:left="2835" w:right="1134" w:hanging="1701"/>
        <w:jc w:val="both"/>
        <w:rPr>
          <w:b/>
          <w:lang w:val="en-GB"/>
        </w:rPr>
      </w:pPr>
      <w:r w:rsidRPr="00A17D9C">
        <w:rPr>
          <w:b/>
          <w:lang w:val="en-GB"/>
        </w:rPr>
        <w:tab/>
        <w:t>(b)</w:t>
      </w:r>
      <w:r w:rsidRPr="00A17D9C">
        <w:rPr>
          <w:b/>
          <w:lang w:val="en-GB"/>
        </w:rPr>
        <w:tab/>
      </w:r>
      <w:proofErr w:type="gramStart"/>
      <w:r w:rsidRPr="00A17D9C">
        <w:rPr>
          <w:b/>
          <w:lang w:val="en-GB"/>
        </w:rPr>
        <w:t>salt</w:t>
      </w:r>
      <w:proofErr w:type="gramEnd"/>
      <w:r w:rsidRPr="00A17D9C">
        <w:rPr>
          <w:b/>
          <w:lang w:val="en-GB"/>
        </w:rPr>
        <w:t>, due to the operation of the vehicle near the ocean or where ice melting salt is used;</w:t>
      </w:r>
    </w:p>
    <w:p w:rsidR="005F4183" w:rsidRPr="00A17D9C" w:rsidRDefault="005F4183" w:rsidP="005F4183">
      <w:pPr>
        <w:tabs>
          <w:tab w:val="left" w:pos="2268"/>
          <w:tab w:val="left" w:pos="2835"/>
        </w:tabs>
        <w:spacing w:before="120" w:after="120"/>
        <w:ind w:left="2835" w:right="1134" w:hanging="1701"/>
        <w:jc w:val="both"/>
        <w:rPr>
          <w:b/>
          <w:lang w:val="en-GB"/>
        </w:rPr>
      </w:pPr>
      <w:r w:rsidRPr="00A17D9C">
        <w:rPr>
          <w:b/>
          <w:lang w:val="en-GB"/>
        </w:rPr>
        <w:tab/>
        <w:t>(c)</w:t>
      </w:r>
      <w:r w:rsidRPr="00A17D9C">
        <w:rPr>
          <w:b/>
          <w:lang w:val="en-GB"/>
        </w:rPr>
        <w:tab/>
      </w:r>
      <w:proofErr w:type="gramStart"/>
      <w:r w:rsidRPr="00A17D9C">
        <w:rPr>
          <w:b/>
          <w:lang w:val="en-GB"/>
        </w:rPr>
        <w:t>impact</w:t>
      </w:r>
      <w:proofErr w:type="gramEnd"/>
      <w:r w:rsidRPr="00A17D9C">
        <w:rPr>
          <w:b/>
          <w:lang w:val="en-GB"/>
        </w:rPr>
        <w:t xml:space="preserve"> of gravel; and</w:t>
      </w:r>
    </w:p>
    <w:p w:rsidR="005F4183" w:rsidRPr="00A17D9C" w:rsidRDefault="005F4183" w:rsidP="005F4183">
      <w:pPr>
        <w:tabs>
          <w:tab w:val="left" w:pos="2268"/>
          <w:tab w:val="left" w:pos="2835"/>
        </w:tabs>
        <w:spacing w:before="120" w:after="120"/>
        <w:ind w:left="2835" w:right="1134" w:hanging="1701"/>
        <w:jc w:val="both"/>
        <w:rPr>
          <w:b/>
          <w:lang w:val="en-GB"/>
        </w:rPr>
      </w:pPr>
      <w:r w:rsidRPr="00A17D9C">
        <w:rPr>
          <w:b/>
          <w:lang w:val="en-GB"/>
        </w:rPr>
        <w:tab/>
        <w:t>(d)</w:t>
      </w:r>
      <w:r w:rsidRPr="00A17D9C">
        <w:rPr>
          <w:b/>
          <w:lang w:val="en-GB"/>
        </w:rPr>
        <w:tab/>
      </w:r>
      <w:proofErr w:type="gramStart"/>
      <w:r w:rsidRPr="00A17D9C">
        <w:rPr>
          <w:b/>
          <w:lang w:val="en-GB"/>
        </w:rPr>
        <w:t>automotive</w:t>
      </w:r>
      <w:proofErr w:type="gramEnd"/>
      <w:r w:rsidRPr="00A17D9C">
        <w:rPr>
          <w:b/>
          <w:lang w:val="en-GB"/>
        </w:rPr>
        <w:t xml:space="preserve"> fluids, including gasoline, hydraulic fluids, glycol and oils.</w:t>
      </w:r>
    </w:p>
    <w:p w:rsidR="005F4183" w:rsidRDefault="005F4183" w:rsidP="00DD3BCB">
      <w:pPr>
        <w:tabs>
          <w:tab w:val="left" w:pos="2835"/>
        </w:tabs>
        <w:spacing w:before="120" w:after="120"/>
        <w:ind w:left="2268" w:right="1134" w:hanging="1134"/>
        <w:jc w:val="both"/>
        <w:rPr>
          <w:lang w:val="en-GB"/>
        </w:rPr>
      </w:pPr>
      <w:r w:rsidRPr="00A17D9C">
        <w:rPr>
          <w:b/>
          <w:lang w:val="en-GB"/>
        </w:rPr>
        <w:tab/>
      </w:r>
      <w:r w:rsidR="001944ED" w:rsidRPr="00A17D9C">
        <w:rPr>
          <w:b/>
          <w:lang w:val="en-GB"/>
        </w:rPr>
        <w:t>[</w:t>
      </w:r>
      <w:r w:rsidRPr="00A17D9C">
        <w:rPr>
          <w:b/>
          <w:lang w:val="en-GB"/>
        </w:rPr>
        <w:t xml:space="preserve">The maximum service life for a container </w:t>
      </w:r>
      <w:r w:rsidRPr="00A17D9C">
        <w:rPr>
          <w:b/>
          <w:u w:val="single"/>
          <w:lang w:val="en-GB"/>
        </w:rPr>
        <w:t>located outside and underneath the vehicle</w:t>
      </w:r>
      <w:r w:rsidRPr="005C5C2A">
        <w:rPr>
          <w:b/>
          <w:lang w:val="en-GB"/>
        </w:rPr>
        <w:t xml:space="preserve"> </w:t>
      </w:r>
      <w:r w:rsidRPr="00A17D9C">
        <w:rPr>
          <w:b/>
          <w:lang w:val="en-GB"/>
        </w:rPr>
        <w:t xml:space="preserve">shall be </w:t>
      </w:r>
      <w:r w:rsidR="00212D08" w:rsidRPr="00A17D9C">
        <w:rPr>
          <w:b/>
          <w:lang w:val="en-GB"/>
        </w:rPr>
        <w:t>15</w:t>
      </w:r>
      <w:r w:rsidRPr="00A17D9C">
        <w:rPr>
          <w:b/>
          <w:lang w:val="en-GB"/>
        </w:rPr>
        <w:t xml:space="preserve"> years</w:t>
      </w:r>
      <w:r w:rsidRPr="00A17D9C">
        <w:rPr>
          <w:lang w:val="en-GB"/>
        </w:rPr>
        <w:t>.</w:t>
      </w:r>
      <w:r w:rsidR="001944ED" w:rsidRPr="00A17D9C">
        <w:rPr>
          <w:b/>
          <w:lang w:val="en-GB"/>
        </w:rPr>
        <w:t>]</w:t>
      </w:r>
      <w:r w:rsidRPr="00A17D9C">
        <w:rPr>
          <w:lang w:val="en-GB"/>
        </w:rPr>
        <w:t>"</w:t>
      </w:r>
    </w:p>
    <w:p w:rsidR="005C5C2A" w:rsidRPr="00A17D9C" w:rsidRDefault="005C5C2A" w:rsidP="00DD3BCB">
      <w:pPr>
        <w:tabs>
          <w:tab w:val="left" w:pos="2835"/>
        </w:tabs>
        <w:spacing w:before="120" w:after="120"/>
        <w:ind w:left="2268" w:right="1134" w:hanging="1134"/>
        <w:jc w:val="both"/>
        <w:rPr>
          <w:lang w:val="en-GB"/>
        </w:rPr>
      </w:pPr>
      <w:bookmarkStart w:id="0" w:name="_GoBack"/>
      <w:bookmarkEnd w:id="0"/>
    </w:p>
    <w:p w:rsidR="00121027" w:rsidRPr="00A17D9C" w:rsidRDefault="00121027" w:rsidP="00121027">
      <w:pPr>
        <w:pStyle w:val="HChG"/>
        <w:tabs>
          <w:tab w:val="clear" w:pos="851"/>
        </w:tabs>
        <w:ind w:hanging="567"/>
      </w:pPr>
      <w:r w:rsidRPr="00A17D9C">
        <w:t>II.</w:t>
      </w:r>
      <w:r w:rsidRPr="00A17D9C">
        <w:tab/>
        <w:t>Justification</w:t>
      </w:r>
      <w:r w:rsidR="00EA2BBA" w:rsidRPr="00A17D9C">
        <w:t>s</w:t>
      </w:r>
    </w:p>
    <w:p w:rsidR="00EA2BBA" w:rsidRPr="005C5C2A" w:rsidRDefault="005C5C2A" w:rsidP="005C5C2A">
      <w:pPr>
        <w:tabs>
          <w:tab w:val="left" w:pos="1701"/>
        </w:tabs>
        <w:autoSpaceDE w:val="0"/>
        <w:autoSpaceDN w:val="0"/>
        <w:ind w:left="1134" w:right="1115"/>
        <w:jc w:val="both"/>
        <w:rPr>
          <w:color w:val="000000"/>
          <w:lang w:val="en-GB"/>
        </w:rPr>
      </w:pPr>
      <w:r>
        <w:rPr>
          <w:color w:val="000000"/>
          <w:lang w:val="en-GB"/>
        </w:rPr>
        <w:t>1.</w:t>
      </w:r>
      <w:r>
        <w:rPr>
          <w:color w:val="000000"/>
          <w:lang w:val="en-GB"/>
        </w:rPr>
        <w:tab/>
      </w:r>
      <w:r w:rsidR="005F4183" w:rsidRPr="005C5C2A">
        <w:rPr>
          <w:color w:val="000000"/>
          <w:lang w:val="en-GB"/>
        </w:rPr>
        <w:t>Taking into consideration the justifications provided by Turkey</w:t>
      </w:r>
      <w:r>
        <w:rPr>
          <w:color w:val="000000"/>
          <w:lang w:val="en-GB"/>
        </w:rPr>
        <w:t>,</w:t>
      </w:r>
      <w:r w:rsidR="005F4183" w:rsidRPr="005C5C2A">
        <w:rPr>
          <w:color w:val="000000"/>
          <w:lang w:val="en-GB"/>
        </w:rPr>
        <w:t xml:space="preserve"> the maximum service life of 15 years must be discussed </w:t>
      </w:r>
      <w:r w:rsidR="00EA2BBA" w:rsidRPr="005C5C2A">
        <w:rPr>
          <w:color w:val="000000"/>
          <w:lang w:val="en-GB"/>
        </w:rPr>
        <w:t xml:space="preserve">with </w:t>
      </w:r>
      <w:r w:rsidR="00212D08" w:rsidRPr="005C5C2A">
        <w:rPr>
          <w:color w:val="000000"/>
          <w:lang w:val="en-GB"/>
        </w:rPr>
        <w:t>container</w:t>
      </w:r>
      <w:r w:rsidR="00EA2BBA" w:rsidRPr="005C5C2A">
        <w:rPr>
          <w:color w:val="000000"/>
          <w:lang w:val="en-GB"/>
        </w:rPr>
        <w:t xml:space="preserve"> manufacturers</w:t>
      </w:r>
      <w:r w:rsidR="00212D08" w:rsidRPr="005C5C2A">
        <w:rPr>
          <w:color w:val="000000"/>
          <w:lang w:val="en-GB"/>
        </w:rPr>
        <w:t xml:space="preserve"> according to their technologies</w:t>
      </w:r>
      <w:r w:rsidR="00EA2BBA" w:rsidRPr="005C5C2A">
        <w:rPr>
          <w:color w:val="000000"/>
          <w:lang w:val="en-GB"/>
        </w:rPr>
        <w:t xml:space="preserve">. </w:t>
      </w:r>
    </w:p>
    <w:p w:rsidR="00F657D5" w:rsidRPr="005C5C2A" w:rsidRDefault="005C5C2A" w:rsidP="005C5C2A">
      <w:pPr>
        <w:tabs>
          <w:tab w:val="left" w:pos="1701"/>
        </w:tabs>
        <w:autoSpaceDE w:val="0"/>
        <w:autoSpaceDN w:val="0"/>
        <w:ind w:left="1134" w:right="1115"/>
        <w:jc w:val="both"/>
        <w:rPr>
          <w:color w:val="000000"/>
          <w:lang w:val="en-GB"/>
        </w:rPr>
      </w:pPr>
      <w:r>
        <w:rPr>
          <w:color w:val="000000"/>
          <w:lang w:val="en-GB"/>
        </w:rPr>
        <w:t>2.</w:t>
      </w:r>
      <w:r>
        <w:rPr>
          <w:color w:val="000000"/>
          <w:lang w:val="en-GB"/>
        </w:rPr>
        <w:tab/>
      </w:r>
      <w:r w:rsidR="00212D08" w:rsidRPr="005C5C2A">
        <w:rPr>
          <w:color w:val="000000"/>
          <w:lang w:val="en-GB"/>
        </w:rPr>
        <w:t>As m</w:t>
      </w:r>
      <w:r w:rsidR="00EA2BBA" w:rsidRPr="005C5C2A">
        <w:rPr>
          <w:color w:val="000000"/>
          <w:lang w:val="en-GB"/>
        </w:rPr>
        <w:t xml:space="preserve">ost of the physical aggressions as listed in </w:t>
      </w:r>
      <w:r w:rsidRPr="005C5C2A">
        <w:rPr>
          <w:color w:val="000000"/>
          <w:lang w:val="en-GB"/>
        </w:rPr>
        <w:t>ECE/TRANS/WP.29/</w:t>
      </w:r>
      <w:r w:rsidR="00EA2BBA" w:rsidRPr="005C5C2A">
        <w:rPr>
          <w:color w:val="000000"/>
          <w:lang w:val="en-GB"/>
        </w:rPr>
        <w:t>GRSG/201</w:t>
      </w:r>
      <w:r w:rsidR="00212D08" w:rsidRPr="005C5C2A">
        <w:rPr>
          <w:color w:val="000000"/>
          <w:lang w:val="en-GB"/>
        </w:rPr>
        <w:t>7</w:t>
      </w:r>
      <w:r w:rsidR="00EA2BBA" w:rsidRPr="005C5C2A">
        <w:rPr>
          <w:color w:val="000000"/>
          <w:lang w:val="en-GB"/>
        </w:rPr>
        <w:t>/22</w:t>
      </w:r>
      <w:r w:rsidR="00212D08" w:rsidRPr="005C5C2A">
        <w:rPr>
          <w:color w:val="000000"/>
          <w:lang w:val="en-GB"/>
        </w:rPr>
        <w:t xml:space="preserve"> are</w:t>
      </w:r>
      <w:r w:rsidR="00EA2BBA" w:rsidRPr="005C5C2A">
        <w:rPr>
          <w:color w:val="000000"/>
          <w:lang w:val="en-GB"/>
        </w:rPr>
        <w:t xml:space="preserve"> relevant for containers located </w:t>
      </w:r>
      <w:r w:rsidR="00212D08" w:rsidRPr="005C5C2A">
        <w:rPr>
          <w:color w:val="000000"/>
          <w:lang w:val="en-GB"/>
        </w:rPr>
        <w:t xml:space="preserve">outside and under </w:t>
      </w:r>
      <w:r w:rsidR="00EA2BBA" w:rsidRPr="005C5C2A">
        <w:rPr>
          <w:color w:val="000000"/>
          <w:lang w:val="en-GB"/>
        </w:rPr>
        <w:t>the vehicle</w:t>
      </w:r>
      <w:r w:rsidR="00212D08" w:rsidRPr="005C5C2A">
        <w:rPr>
          <w:color w:val="000000"/>
          <w:lang w:val="en-GB"/>
        </w:rPr>
        <w:t xml:space="preserve">, only these </w:t>
      </w:r>
      <w:r w:rsidR="00592C1C" w:rsidRPr="005C5C2A">
        <w:rPr>
          <w:color w:val="000000"/>
          <w:lang w:val="en-GB"/>
        </w:rPr>
        <w:t>might</w:t>
      </w:r>
      <w:r w:rsidR="00212D08" w:rsidRPr="005C5C2A">
        <w:rPr>
          <w:color w:val="000000"/>
          <w:lang w:val="en-GB"/>
        </w:rPr>
        <w:t xml:space="preserve"> have a regulated maximum service life</w:t>
      </w:r>
      <w:r w:rsidR="001944ED" w:rsidRPr="005C5C2A">
        <w:rPr>
          <w:color w:val="000000"/>
          <w:lang w:val="en-GB"/>
        </w:rPr>
        <w:t xml:space="preserve"> if necessary at all</w:t>
      </w:r>
      <w:r>
        <w:rPr>
          <w:color w:val="000000"/>
          <w:lang w:val="en-GB"/>
        </w:rPr>
        <w:t>.</w:t>
      </w:r>
    </w:p>
    <w:p w:rsidR="00EA2BBA" w:rsidRPr="005C5C2A" w:rsidRDefault="005C5C2A" w:rsidP="005C5C2A">
      <w:pPr>
        <w:tabs>
          <w:tab w:val="left" w:pos="1701"/>
        </w:tabs>
        <w:autoSpaceDE w:val="0"/>
        <w:autoSpaceDN w:val="0"/>
        <w:ind w:left="1134" w:right="1115"/>
        <w:jc w:val="both"/>
        <w:rPr>
          <w:color w:val="000000"/>
          <w:lang w:val="en-GB"/>
        </w:rPr>
      </w:pPr>
      <w:r>
        <w:rPr>
          <w:color w:val="000000"/>
          <w:lang w:val="en-GB"/>
        </w:rPr>
        <w:t>3.</w:t>
      </w:r>
      <w:r>
        <w:rPr>
          <w:color w:val="000000"/>
          <w:lang w:val="en-GB"/>
        </w:rPr>
        <w:tab/>
      </w:r>
      <w:r w:rsidR="00212D08" w:rsidRPr="005C5C2A">
        <w:rPr>
          <w:color w:val="000000"/>
          <w:lang w:val="en-GB"/>
        </w:rPr>
        <w:t>As t</w:t>
      </w:r>
      <w:r w:rsidR="00EA2BBA" w:rsidRPr="005C5C2A">
        <w:rPr>
          <w:color w:val="000000"/>
          <w:lang w:val="en-GB"/>
        </w:rPr>
        <w:t>he propos</w:t>
      </w:r>
      <w:r w:rsidR="00212D08" w:rsidRPr="005C5C2A">
        <w:rPr>
          <w:color w:val="000000"/>
          <w:lang w:val="en-GB"/>
        </w:rPr>
        <w:t>al introduces new requirements</w:t>
      </w:r>
      <w:r>
        <w:rPr>
          <w:color w:val="000000"/>
          <w:lang w:val="en-GB"/>
        </w:rPr>
        <w:t>,</w:t>
      </w:r>
      <w:r w:rsidR="00212D08" w:rsidRPr="005C5C2A">
        <w:rPr>
          <w:color w:val="000000"/>
          <w:lang w:val="en-GB"/>
        </w:rPr>
        <w:t xml:space="preserve"> it needs</w:t>
      </w:r>
      <w:r w:rsidR="00EA2BBA" w:rsidRPr="005C5C2A">
        <w:rPr>
          <w:color w:val="000000"/>
          <w:lang w:val="en-GB"/>
        </w:rPr>
        <w:t xml:space="preserve"> transitional provisions.</w:t>
      </w:r>
    </w:p>
    <w:p w:rsidR="005C5C2A" w:rsidRPr="005C5C2A" w:rsidRDefault="005C5C2A" w:rsidP="00F657D5">
      <w:pPr>
        <w:autoSpaceDE w:val="0"/>
        <w:autoSpaceDN w:val="0"/>
        <w:ind w:left="1134" w:right="1115"/>
        <w:jc w:val="both"/>
        <w:rPr>
          <w:color w:val="000000"/>
          <w:lang w:val="en-GB"/>
        </w:rPr>
      </w:pPr>
    </w:p>
    <w:p w:rsidR="00471B60" w:rsidRPr="00B5381D" w:rsidRDefault="00471B60" w:rsidP="00FD1A35">
      <w:pPr>
        <w:ind w:left="1134" w:right="1160"/>
        <w:jc w:val="center"/>
        <w:rPr>
          <w:lang w:val="en-GB"/>
        </w:rPr>
      </w:pPr>
      <w:r w:rsidRPr="00B5381D">
        <w:rPr>
          <w:lang w:val="en-GB"/>
        </w:rPr>
        <w:t>__________</w:t>
      </w:r>
    </w:p>
    <w:sectPr w:rsidR="00471B60" w:rsidRPr="00B5381D"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67" w:rsidRDefault="00844267">
      <w:r>
        <w:separator/>
      </w:r>
    </w:p>
  </w:endnote>
  <w:endnote w:type="continuationSeparator" w:id="0">
    <w:p w:rsidR="00844267" w:rsidRDefault="008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5C5C2A">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212D08">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67" w:rsidRDefault="00844267">
      <w:r>
        <w:separator/>
      </w:r>
    </w:p>
  </w:footnote>
  <w:footnote w:type="continuationSeparator" w:id="0">
    <w:p w:rsidR="00844267" w:rsidRDefault="0084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090"/>
    <w:rsid w:val="000D4DC2"/>
    <w:rsid w:val="000D6C0A"/>
    <w:rsid w:val="000E0E10"/>
    <w:rsid w:val="000E34A9"/>
    <w:rsid w:val="000E4CC4"/>
    <w:rsid w:val="000F1E85"/>
    <w:rsid w:val="000F4E58"/>
    <w:rsid w:val="000F791C"/>
    <w:rsid w:val="00101280"/>
    <w:rsid w:val="001078B6"/>
    <w:rsid w:val="001153A4"/>
    <w:rsid w:val="0012023F"/>
    <w:rsid w:val="00121027"/>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6D06"/>
    <w:rsid w:val="001804AF"/>
    <w:rsid w:val="001807EC"/>
    <w:rsid w:val="0018173C"/>
    <w:rsid w:val="00182670"/>
    <w:rsid w:val="001848B1"/>
    <w:rsid w:val="001944ED"/>
    <w:rsid w:val="00197771"/>
    <w:rsid w:val="001A0E28"/>
    <w:rsid w:val="001B02A0"/>
    <w:rsid w:val="001B3CC4"/>
    <w:rsid w:val="001B54CF"/>
    <w:rsid w:val="001B75B6"/>
    <w:rsid w:val="001C439D"/>
    <w:rsid w:val="001C4A3F"/>
    <w:rsid w:val="001D2149"/>
    <w:rsid w:val="001D2E01"/>
    <w:rsid w:val="001E0059"/>
    <w:rsid w:val="001E1A51"/>
    <w:rsid w:val="001E38C7"/>
    <w:rsid w:val="001E3F85"/>
    <w:rsid w:val="002126EC"/>
    <w:rsid w:val="00212D08"/>
    <w:rsid w:val="00215F2F"/>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65C7"/>
    <w:rsid w:val="002A6C04"/>
    <w:rsid w:val="002B04D3"/>
    <w:rsid w:val="002B0DB4"/>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162B0"/>
    <w:rsid w:val="00325050"/>
    <w:rsid w:val="0033107F"/>
    <w:rsid w:val="00351B21"/>
    <w:rsid w:val="003560DB"/>
    <w:rsid w:val="00365867"/>
    <w:rsid w:val="00374B18"/>
    <w:rsid w:val="00375080"/>
    <w:rsid w:val="00380585"/>
    <w:rsid w:val="003819A4"/>
    <w:rsid w:val="003841DE"/>
    <w:rsid w:val="00385093"/>
    <w:rsid w:val="00395FF1"/>
    <w:rsid w:val="003A089F"/>
    <w:rsid w:val="003A1AE8"/>
    <w:rsid w:val="003A5598"/>
    <w:rsid w:val="003B7A0D"/>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1109"/>
    <w:rsid w:val="004445AE"/>
    <w:rsid w:val="00444B6B"/>
    <w:rsid w:val="00444D70"/>
    <w:rsid w:val="00445329"/>
    <w:rsid w:val="0044709F"/>
    <w:rsid w:val="004504AC"/>
    <w:rsid w:val="00452EAA"/>
    <w:rsid w:val="00456EB7"/>
    <w:rsid w:val="004600CD"/>
    <w:rsid w:val="00461569"/>
    <w:rsid w:val="004637F5"/>
    <w:rsid w:val="00463CBA"/>
    <w:rsid w:val="00466906"/>
    <w:rsid w:val="00471B60"/>
    <w:rsid w:val="004754B2"/>
    <w:rsid w:val="00481FA0"/>
    <w:rsid w:val="00482A16"/>
    <w:rsid w:val="00483642"/>
    <w:rsid w:val="00486322"/>
    <w:rsid w:val="00490F1F"/>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BC9"/>
    <w:rsid w:val="00567C71"/>
    <w:rsid w:val="005748FC"/>
    <w:rsid w:val="00576233"/>
    <w:rsid w:val="00582E6C"/>
    <w:rsid w:val="005918CE"/>
    <w:rsid w:val="005927EB"/>
    <w:rsid w:val="00592C1C"/>
    <w:rsid w:val="005A0E54"/>
    <w:rsid w:val="005A17E0"/>
    <w:rsid w:val="005A3782"/>
    <w:rsid w:val="005A4D77"/>
    <w:rsid w:val="005B12B7"/>
    <w:rsid w:val="005B6123"/>
    <w:rsid w:val="005B62B9"/>
    <w:rsid w:val="005B6BD0"/>
    <w:rsid w:val="005B7EC8"/>
    <w:rsid w:val="005C5C2A"/>
    <w:rsid w:val="005C6D56"/>
    <w:rsid w:val="005D2ECA"/>
    <w:rsid w:val="005D484A"/>
    <w:rsid w:val="005F3064"/>
    <w:rsid w:val="005F35B5"/>
    <w:rsid w:val="005F4183"/>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30A7"/>
    <w:rsid w:val="00695A64"/>
    <w:rsid w:val="006A1658"/>
    <w:rsid w:val="006A522A"/>
    <w:rsid w:val="006A5458"/>
    <w:rsid w:val="006A6045"/>
    <w:rsid w:val="006A6AEF"/>
    <w:rsid w:val="006A739B"/>
    <w:rsid w:val="006A73A1"/>
    <w:rsid w:val="006B18D3"/>
    <w:rsid w:val="006B6853"/>
    <w:rsid w:val="006C0C8B"/>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10F3"/>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7163C"/>
    <w:rsid w:val="00782057"/>
    <w:rsid w:val="00783C92"/>
    <w:rsid w:val="007857A4"/>
    <w:rsid w:val="00787E98"/>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1EB4"/>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4267"/>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0CD3"/>
    <w:rsid w:val="00885090"/>
    <w:rsid w:val="008862FE"/>
    <w:rsid w:val="008877AA"/>
    <w:rsid w:val="008921A6"/>
    <w:rsid w:val="008A0034"/>
    <w:rsid w:val="008A5622"/>
    <w:rsid w:val="008B31B5"/>
    <w:rsid w:val="008B3E61"/>
    <w:rsid w:val="008B7565"/>
    <w:rsid w:val="008C0D7E"/>
    <w:rsid w:val="008D04C4"/>
    <w:rsid w:val="008D4A57"/>
    <w:rsid w:val="008D5339"/>
    <w:rsid w:val="008D6031"/>
    <w:rsid w:val="008D6A1E"/>
    <w:rsid w:val="008D7EB1"/>
    <w:rsid w:val="008D7EF1"/>
    <w:rsid w:val="008E19C5"/>
    <w:rsid w:val="008E1E6E"/>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5E60"/>
    <w:rsid w:val="009562DD"/>
    <w:rsid w:val="00956598"/>
    <w:rsid w:val="009618DA"/>
    <w:rsid w:val="009635EA"/>
    <w:rsid w:val="0096556B"/>
    <w:rsid w:val="00967032"/>
    <w:rsid w:val="00970577"/>
    <w:rsid w:val="00972389"/>
    <w:rsid w:val="00975DB2"/>
    <w:rsid w:val="00987FF3"/>
    <w:rsid w:val="00991396"/>
    <w:rsid w:val="00997061"/>
    <w:rsid w:val="009978F5"/>
    <w:rsid w:val="009A7450"/>
    <w:rsid w:val="009C0389"/>
    <w:rsid w:val="009C0DFF"/>
    <w:rsid w:val="009C4F2B"/>
    <w:rsid w:val="009C68F7"/>
    <w:rsid w:val="009C7764"/>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17D9C"/>
    <w:rsid w:val="00A202DD"/>
    <w:rsid w:val="00A3531D"/>
    <w:rsid w:val="00A501D5"/>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5381D"/>
    <w:rsid w:val="00B64748"/>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48CB"/>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213B"/>
    <w:rsid w:val="00D12925"/>
    <w:rsid w:val="00D14E45"/>
    <w:rsid w:val="00D20354"/>
    <w:rsid w:val="00D20A40"/>
    <w:rsid w:val="00D22A70"/>
    <w:rsid w:val="00D22C0A"/>
    <w:rsid w:val="00D342AA"/>
    <w:rsid w:val="00D40ADD"/>
    <w:rsid w:val="00D40D2D"/>
    <w:rsid w:val="00D42200"/>
    <w:rsid w:val="00D46E6D"/>
    <w:rsid w:val="00D47C3D"/>
    <w:rsid w:val="00D51F01"/>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3BCB"/>
    <w:rsid w:val="00DD6A31"/>
    <w:rsid w:val="00DD6AC1"/>
    <w:rsid w:val="00DE1504"/>
    <w:rsid w:val="00DE5D2D"/>
    <w:rsid w:val="00DF2704"/>
    <w:rsid w:val="00DF3539"/>
    <w:rsid w:val="00DF5836"/>
    <w:rsid w:val="00DF6EA4"/>
    <w:rsid w:val="00E11EE8"/>
    <w:rsid w:val="00E15447"/>
    <w:rsid w:val="00E169DA"/>
    <w:rsid w:val="00E17CD6"/>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62BC7"/>
    <w:rsid w:val="00E71298"/>
    <w:rsid w:val="00E7520C"/>
    <w:rsid w:val="00E81451"/>
    <w:rsid w:val="00E815BF"/>
    <w:rsid w:val="00E819E3"/>
    <w:rsid w:val="00E83212"/>
    <w:rsid w:val="00E84AA3"/>
    <w:rsid w:val="00E87541"/>
    <w:rsid w:val="00E949F9"/>
    <w:rsid w:val="00E956F6"/>
    <w:rsid w:val="00E96F44"/>
    <w:rsid w:val="00EA20A0"/>
    <w:rsid w:val="00EA29E8"/>
    <w:rsid w:val="00EA2BBA"/>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E4D"/>
    <w:rsid w:val="00F65389"/>
    <w:rsid w:val="00F657D5"/>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07717381">
      <w:bodyDiv w:val="1"/>
      <w:marLeft w:val="0"/>
      <w:marRight w:val="0"/>
      <w:marTop w:val="0"/>
      <w:marBottom w:val="0"/>
      <w:divBdr>
        <w:top w:val="none" w:sz="0" w:space="0" w:color="auto"/>
        <w:left w:val="none" w:sz="0" w:space="0" w:color="auto"/>
        <w:bottom w:val="none" w:sz="0" w:space="0" w:color="auto"/>
        <w:right w:val="none" w:sz="0" w:space="0" w:color="auto"/>
      </w:divBdr>
      <w:divsChild>
        <w:div w:id="1931310584">
          <w:marLeft w:val="0"/>
          <w:marRight w:val="0"/>
          <w:marTop w:val="0"/>
          <w:marBottom w:val="0"/>
          <w:divBdr>
            <w:top w:val="none" w:sz="0" w:space="0" w:color="auto"/>
            <w:left w:val="none" w:sz="0" w:space="0" w:color="auto"/>
            <w:bottom w:val="none" w:sz="0" w:space="0" w:color="auto"/>
            <w:right w:val="none" w:sz="0" w:space="0" w:color="auto"/>
          </w:divBdr>
          <w:divsChild>
            <w:div w:id="64449586">
              <w:marLeft w:val="2475"/>
              <w:marRight w:val="0"/>
              <w:marTop w:val="0"/>
              <w:marBottom w:val="0"/>
              <w:divBdr>
                <w:top w:val="none" w:sz="0" w:space="0" w:color="auto"/>
                <w:left w:val="none" w:sz="0" w:space="0" w:color="auto"/>
                <w:bottom w:val="none" w:sz="0" w:space="0" w:color="auto"/>
                <w:right w:val="none" w:sz="0" w:space="0" w:color="auto"/>
              </w:divBdr>
              <w:divsChild>
                <w:div w:id="633367002">
                  <w:marLeft w:val="0"/>
                  <w:marRight w:val="0"/>
                  <w:marTop w:val="0"/>
                  <w:marBottom w:val="0"/>
                  <w:divBdr>
                    <w:top w:val="none" w:sz="0" w:space="0" w:color="auto"/>
                    <w:left w:val="none" w:sz="0" w:space="0" w:color="auto"/>
                    <w:bottom w:val="none" w:sz="0" w:space="0" w:color="auto"/>
                    <w:right w:val="none" w:sz="0" w:space="0" w:color="auto"/>
                  </w:divBdr>
                  <w:divsChild>
                    <w:div w:id="1020818244">
                      <w:marLeft w:val="0"/>
                      <w:marRight w:val="0"/>
                      <w:marTop w:val="0"/>
                      <w:marBottom w:val="0"/>
                      <w:divBdr>
                        <w:top w:val="none" w:sz="0" w:space="0" w:color="auto"/>
                        <w:left w:val="none" w:sz="0" w:space="0" w:color="auto"/>
                        <w:bottom w:val="none" w:sz="0" w:space="0" w:color="auto"/>
                        <w:right w:val="none" w:sz="0" w:space="0" w:color="auto"/>
                      </w:divBdr>
                      <w:divsChild>
                        <w:div w:id="1327856734">
                          <w:marLeft w:val="0"/>
                          <w:marRight w:val="225"/>
                          <w:marTop w:val="6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1011906562">
                                  <w:marLeft w:val="0"/>
                                  <w:marRight w:val="0"/>
                                  <w:marTop w:val="0"/>
                                  <w:marBottom w:val="0"/>
                                  <w:divBdr>
                                    <w:top w:val="none" w:sz="0" w:space="0" w:color="auto"/>
                                    <w:left w:val="none" w:sz="0" w:space="0" w:color="auto"/>
                                    <w:bottom w:val="none" w:sz="0" w:space="0" w:color="auto"/>
                                    <w:right w:val="none" w:sz="0" w:space="0" w:color="auto"/>
                                  </w:divBdr>
                                  <w:divsChild>
                                    <w:div w:id="154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2017-10-02T16:15:00Z</cp:lastPrinted>
  <dcterms:created xsi:type="dcterms:W3CDTF">2017-10-03T15:36:00Z</dcterms:created>
  <dcterms:modified xsi:type="dcterms:W3CDTF">2017-10-03T15:41:00Z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