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C4" w:rsidRDefault="00A707C4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AFA" w:rsidRPr="00AF0EB1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  <w:lang w:eastAsia="ar-SA"/>
        </w:rPr>
        <w:t>Submitted by the expert from Poland</w:t>
      </w:r>
      <w:r w:rsidRPr="00AF0EB1">
        <w:rPr>
          <w:rFonts w:ascii="Times New Roman" w:hAnsi="Times New Roman"/>
          <w:sz w:val="24"/>
          <w:szCs w:val="24"/>
          <w:lang w:eastAsia="ar-SA"/>
        </w:rPr>
        <w:tab/>
      </w:r>
      <w:r w:rsidRPr="00AF0EB1">
        <w:rPr>
          <w:rFonts w:ascii="Times New Roman" w:hAnsi="Times New Roman"/>
          <w:sz w:val="24"/>
          <w:szCs w:val="24"/>
        </w:rPr>
        <w:t xml:space="preserve">Informal document </w:t>
      </w:r>
      <w:r w:rsidRPr="00AF0EB1">
        <w:rPr>
          <w:rFonts w:ascii="Times New Roman" w:hAnsi="Times New Roman"/>
          <w:b/>
          <w:bCs/>
          <w:sz w:val="24"/>
          <w:szCs w:val="24"/>
        </w:rPr>
        <w:t>GRSG-113-</w:t>
      </w:r>
      <w:r w:rsidR="00FC69EB">
        <w:rPr>
          <w:rFonts w:ascii="Times New Roman" w:hAnsi="Times New Roman"/>
          <w:b/>
          <w:bCs/>
          <w:sz w:val="24"/>
          <w:szCs w:val="24"/>
        </w:rPr>
        <w:t>08</w:t>
      </w:r>
    </w:p>
    <w:p w:rsidR="00214AFA" w:rsidRPr="00AF0EB1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(113</w:t>
      </w:r>
      <w:r w:rsidRPr="00AF0EB1">
        <w:rPr>
          <w:rFonts w:ascii="Times New Roman" w:hAnsi="Times New Roman"/>
          <w:sz w:val="24"/>
          <w:szCs w:val="24"/>
          <w:vertAlign w:val="superscript"/>
        </w:rPr>
        <w:t>th</w:t>
      </w:r>
      <w:r w:rsidRPr="00AF0EB1">
        <w:rPr>
          <w:rFonts w:ascii="Times New Roman" w:hAnsi="Times New Roman"/>
          <w:sz w:val="24"/>
          <w:szCs w:val="24"/>
        </w:rPr>
        <w:t xml:space="preserve"> GRSG, 10–</w:t>
      </w:r>
      <w:r w:rsidR="00FC69EB">
        <w:rPr>
          <w:rFonts w:ascii="Times New Roman" w:hAnsi="Times New Roman"/>
          <w:sz w:val="24"/>
          <w:szCs w:val="24"/>
        </w:rPr>
        <w:t>13</w:t>
      </w:r>
      <w:r w:rsidRPr="00AF0EB1">
        <w:rPr>
          <w:rFonts w:ascii="Times New Roman" w:hAnsi="Times New Roman"/>
          <w:sz w:val="24"/>
          <w:szCs w:val="24"/>
        </w:rPr>
        <w:t xml:space="preserve"> October 2017</w:t>
      </w:r>
    </w:p>
    <w:p w:rsidR="00214AFA" w:rsidRPr="00AF0EB1" w:rsidRDefault="00214AFA" w:rsidP="009A3BCD">
      <w:pP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Agenda item</w:t>
      </w:r>
      <w:r w:rsidR="00BE216B">
        <w:rPr>
          <w:rFonts w:ascii="Times New Roman" w:hAnsi="Times New Roman"/>
          <w:sz w:val="24"/>
          <w:szCs w:val="24"/>
        </w:rPr>
        <w:t xml:space="preserve"> </w:t>
      </w:r>
      <w:r w:rsidR="005A740B" w:rsidRPr="005A740B">
        <w:rPr>
          <w:rFonts w:ascii="Times New Roman" w:hAnsi="Times New Roman"/>
          <w:sz w:val="24"/>
          <w:szCs w:val="24"/>
        </w:rPr>
        <w:t>6a</w:t>
      </w:r>
      <w:r w:rsidRPr="00AF0EB1">
        <w:rPr>
          <w:rFonts w:ascii="Times New Roman" w:hAnsi="Times New Roman"/>
          <w:sz w:val="24"/>
          <w:szCs w:val="24"/>
        </w:rPr>
        <w:t>)</w:t>
      </w:r>
    </w:p>
    <w:p w:rsidR="00214AFA" w:rsidRPr="00AF0EB1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AF0EB1" w:rsidRDefault="00214AFA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EB1">
        <w:rPr>
          <w:rFonts w:ascii="Times New Roman" w:hAnsi="Times New Roman"/>
          <w:b/>
          <w:bCs/>
          <w:sz w:val="24"/>
          <w:szCs w:val="24"/>
        </w:rPr>
        <w:t>UN Regulation No. 67 (LPG vehicles)</w:t>
      </w:r>
    </w:p>
    <w:p w:rsidR="00214AFA" w:rsidRPr="00AF0EB1" w:rsidRDefault="00214AFA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0EB1">
        <w:rPr>
          <w:rFonts w:ascii="Times New Roman" w:hAnsi="Times New Roman"/>
          <w:bCs/>
          <w:sz w:val="24"/>
          <w:szCs w:val="24"/>
        </w:rPr>
        <w:t xml:space="preserve">Draft proposal for Supplement </w:t>
      </w:r>
      <w:r w:rsidR="00FC69EB">
        <w:rPr>
          <w:rFonts w:ascii="Times New Roman" w:hAnsi="Times New Roman"/>
          <w:bCs/>
          <w:sz w:val="24"/>
          <w:szCs w:val="24"/>
        </w:rPr>
        <w:t>15</w:t>
      </w:r>
      <w:r w:rsidR="00BE216B" w:rsidRPr="00AF0EB1">
        <w:rPr>
          <w:rFonts w:ascii="Times New Roman" w:hAnsi="Times New Roman"/>
          <w:bCs/>
          <w:sz w:val="24"/>
          <w:szCs w:val="24"/>
        </w:rPr>
        <w:t xml:space="preserve"> </w:t>
      </w:r>
      <w:r w:rsidRPr="00AF0EB1">
        <w:rPr>
          <w:rFonts w:ascii="Times New Roman" w:hAnsi="Times New Roman"/>
          <w:bCs/>
          <w:sz w:val="24"/>
          <w:szCs w:val="24"/>
        </w:rPr>
        <w:t xml:space="preserve">to the </w:t>
      </w:r>
      <w:r w:rsidR="00FC69EB">
        <w:rPr>
          <w:rFonts w:ascii="Times New Roman" w:hAnsi="Times New Roman"/>
          <w:bCs/>
          <w:sz w:val="24"/>
          <w:szCs w:val="24"/>
        </w:rPr>
        <w:t>01</w:t>
      </w:r>
      <w:r w:rsidR="00BE216B" w:rsidRPr="00AF0EB1">
        <w:rPr>
          <w:rFonts w:ascii="Times New Roman" w:hAnsi="Times New Roman"/>
          <w:bCs/>
          <w:sz w:val="24"/>
          <w:szCs w:val="24"/>
        </w:rPr>
        <w:t xml:space="preserve"> </w:t>
      </w:r>
      <w:r w:rsidRPr="00AF0EB1">
        <w:rPr>
          <w:rFonts w:ascii="Times New Roman" w:hAnsi="Times New Roman"/>
          <w:bCs/>
          <w:sz w:val="24"/>
          <w:szCs w:val="24"/>
        </w:rPr>
        <w:t>series of amendments</w:t>
      </w:r>
    </w:p>
    <w:p w:rsidR="00214AFA" w:rsidRPr="00AF0EB1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AF0EB1" w:rsidRDefault="00214AFA" w:rsidP="007F1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EB1">
        <w:rPr>
          <w:rFonts w:ascii="Times New Roman" w:hAnsi="Times New Roman"/>
          <w:b/>
          <w:sz w:val="24"/>
          <w:szCs w:val="24"/>
        </w:rPr>
        <w:t>I.</w:t>
      </w:r>
      <w:r w:rsidRPr="00AF0EB1">
        <w:rPr>
          <w:rFonts w:ascii="Times New Roman" w:hAnsi="Times New Roman"/>
          <w:b/>
          <w:sz w:val="24"/>
          <w:szCs w:val="24"/>
        </w:rPr>
        <w:tab/>
        <w:t>PROPOSAL</w:t>
      </w:r>
    </w:p>
    <w:p w:rsidR="00214AFA" w:rsidRPr="00AF0EB1" w:rsidRDefault="00214AFA" w:rsidP="00432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FA" w:rsidRPr="00AF0EB1" w:rsidRDefault="00214AFA" w:rsidP="007F1D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4AFA" w:rsidRPr="00AF0EB1" w:rsidRDefault="00214AFA" w:rsidP="007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i/>
          <w:sz w:val="24"/>
          <w:szCs w:val="24"/>
        </w:rPr>
        <w:t>Insert corrected Annex 2B,</w:t>
      </w:r>
      <w:r w:rsidRPr="00AF0EB1">
        <w:rPr>
          <w:rFonts w:ascii="Times New Roman" w:hAnsi="Times New Roman"/>
          <w:sz w:val="24"/>
          <w:szCs w:val="24"/>
        </w:rPr>
        <w:t xml:space="preserve"> to read:</w:t>
      </w:r>
    </w:p>
    <w:p w:rsidR="00214AFA" w:rsidRPr="00AF0EB1" w:rsidRDefault="00214AFA" w:rsidP="007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FA" w:rsidRPr="00AF0EB1" w:rsidRDefault="00214AFA" w:rsidP="00107C2C">
      <w:pPr>
        <w:pStyle w:val="HChG"/>
        <w:rPr>
          <w:bCs/>
          <w:lang w:val="en-GB"/>
        </w:rPr>
      </w:pPr>
      <w:bookmarkStart w:id="0" w:name="_Toc387935177"/>
      <w:bookmarkStart w:id="1" w:name="_Toc397517967"/>
      <w:r w:rsidRPr="009E007C">
        <w:rPr>
          <w:lang w:val="en-GB"/>
        </w:rPr>
        <w:t>Annex 2B</w:t>
      </w:r>
      <w:bookmarkEnd w:id="0"/>
      <w:bookmarkEnd w:id="1"/>
    </w:p>
    <w:p w:rsidR="00214AFA" w:rsidRPr="009E007C" w:rsidRDefault="00214AFA" w:rsidP="00107C2C">
      <w:pPr>
        <w:pStyle w:val="HChG"/>
        <w:rPr>
          <w:lang w:val="en-GB"/>
        </w:rPr>
      </w:pPr>
      <w:r w:rsidRPr="00AF0EB1">
        <w:rPr>
          <w:lang w:val="en-GB"/>
        </w:rPr>
        <w:tab/>
      </w:r>
      <w:r w:rsidRPr="00AF0EB1">
        <w:rPr>
          <w:lang w:val="en-GB"/>
        </w:rPr>
        <w:tab/>
      </w:r>
      <w:bookmarkStart w:id="2" w:name="_Toc387935178"/>
      <w:bookmarkStart w:id="3" w:name="_Toc397517968"/>
      <w:r w:rsidRPr="009E007C">
        <w:rPr>
          <w:lang w:val="en-GB"/>
        </w:rPr>
        <w:t>Communication</w:t>
      </w:r>
      <w:bookmarkEnd w:id="2"/>
      <w:bookmarkEnd w:id="3"/>
    </w:p>
    <w:p w:rsidR="00214AFA" w:rsidRPr="009E007C" w:rsidRDefault="00214AFA" w:rsidP="00107C2C">
      <w:pPr>
        <w:pStyle w:val="SingleTxtG"/>
        <w:tabs>
          <w:tab w:val="left" w:pos="6588"/>
        </w:tabs>
        <w:rPr>
          <w:lang w:val="en-GB"/>
        </w:rPr>
      </w:pPr>
      <w:r w:rsidRPr="009E007C">
        <w:rPr>
          <w:lang w:val="en-GB"/>
        </w:rPr>
        <w:t xml:space="preserve">(Maximum format: A4 (210 x </w:t>
      </w:r>
      <w:smartTag w:uri="urn:schemas-microsoft-com:office:smarttags" w:element="metricconverter">
        <w:smartTagPr>
          <w:attr w:name="ProductID" w:val="297 mm"/>
        </w:smartTagPr>
        <w:r w:rsidRPr="009E007C">
          <w:rPr>
            <w:lang w:val="en-GB"/>
          </w:rPr>
          <w:t>297 mm</w:t>
        </w:r>
      </w:smartTag>
      <w:r w:rsidRPr="009E007C">
        <w:rPr>
          <w:lang w:val="en-GB"/>
        </w:rPr>
        <w:t>))</w:t>
      </w:r>
      <w:r w:rsidRPr="00AF0EB1">
        <w:rPr>
          <w:lang w:val="en-GB"/>
        </w:rPr>
        <w:tab/>
      </w:r>
    </w:p>
    <w:p w:rsidR="00214AFA" w:rsidRPr="009E007C" w:rsidRDefault="005F30D6" w:rsidP="00107C2C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268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138430</wp:posOffset>
                </wp:positionV>
                <wp:extent cx="3999865" cy="914400"/>
                <wp:effectExtent l="0" t="0" r="0" b="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AFA" w:rsidRPr="006833F8" w:rsidRDefault="00214AFA" w:rsidP="00107C2C">
                            <w:pPr>
                              <w:tabs>
                                <w:tab w:val="left" w:pos="-720"/>
                                <w:tab w:val="left" w:pos="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1418"/>
                              <w:rPr>
                                <w:sz w:val="20"/>
                              </w:rPr>
                            </w:pPr>
                            <w:proofErr w:type="gramStart"/>
                            <w:r w:rsidRPr="006833F8">
                              <w:rPr>
                                <w:sz w:val="20"/>
                              </w:rPr>
                              <w:t>issued</w:t>
                            </w:r>
                            <w:proofErr w:type="gramEnd"/>
                            <w:r w:rsidRPr="006833F8">
                              <w:rPr>
                                <w:sz w:val="20"/>
                              </w:rPr>
                              <w:t xml:space="preserve"> by:</w:t>
                            </w:r>
                            <w:r w:rsidRPr="006833F8">
                              <w:rPr>
                                <w:sz w:val="20"/>
                              </w:rPr>
                              <w:tab/>
                              <w:t>Name of administration:</w:t>
                            </w:r>
                          </w:p>
                          <w:p w:rsidR="00214AFA" w:rsidRPr="006833F8" w:rsidRDefault="00214AFA" w:rsidP="00107C2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2977"/>
                              <w:rPr>
                                <w:sz w:val="20"/>
                                <w:lang w:val="fr-FR"/>
                              </w:rPr>
                            </w:pPr>
                            <w:r w:rsidRPr="008B5595">
                              <w:rPr>
                                <w:sz w:val="20"/>
                              </w:rPr>
                              <w:tab/>
                            </w:r>
                            <w:r w:rsidRPr="006833F8">
                              <w:rPr>
                                <w:sz w:val="20"/>
                                <w:lang w:val="fr-FR"/>
                              </w:rPr>
                              <w:t>..................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sz w:val="20"/>
                                <w:lang w:val="fr-FR"/>
                              </w:rPr>
                              <w:t>....................</w:t>
                            </w:r>
                          </w:p>
                          <w:p w:rsidR="00214AFA" w:rsidRPr="006833F8" w:rsidRDefault="00214AFA" w:rsidP="00107C2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2977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ab/>
                            </w:r>
                            <w:r w:rsidRPr="006833F8">
                              <w:rPr>
                                <w:sz w:val="20"/>
                                <w:lang w:val="fr-FR"/>
                              </w:rPr>
                              <w:t>........................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sz w:val="20"/>
                                <w:lang w:val="fr-FR"/>
                              </w:rPr>
                              <w:t>..............</w:t>
                            </w:r>
                          </w:p>
                          <w:p w:rsidR="00214AFA" w:rsidRPr="006833F8" w:rsidRDefault="00214AFA" w:rsidP="00107C2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2977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ab/>
                            </w:r>
                            <w:r w:rsidRPr="006833F8">
                              <w:rPr>
                                <w:sz w:val="20"/>
                                <w:lang w:val="fr-FR"/>
                              </w:rPr>
                              <w:t>............................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sz w:val="20"/>
                                <w:lang w:val="fr-F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8" o:spid="_x0000_s1026" type="#_x0000_t202" style="position:absolute;margin-left:131.65pt;margin-top:10.9pt;width:314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" stroked="f">
                <v:textbox>
                  <w:txbxContent>
                    <w:p w:rsidR="00214AFA" w:rsidRPr="006833F8" w:rsidRDefault="00214AFA" w:rsidP="00107C2C">
                      <w:pPr>
                        <w:tabs>
                          <w:tab w:val="left" w:pos="-720"/>
                          <w:tab w:val="left" w:pos="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1418"/>
                        <w:rPr>
                          <w:sz w:val="20"/>
                        </w:rPr>
                      </w:pPr>
                      <w:r w:rsidRPr="006833F8">
                        <w:rPr>
                          <w:sz w:val="20"/>
                        </w:rPr>
                        <w:t>issued by:</w:t>
                      </w:r>
                      <w:r w:rsidRPr="006833F8">
                        <w:rPr>
                          <w:sz w:val="20"/>
                        </w:rPr>
                        <w:tab/>
                        <w:t>Name of administration:</w:t>
                      </w:r>
                    </w:p>
                    <w:p w:rsidR="00214AFA" w:rsidRPr="006833F8" w:rsidRDefault="00214AFA" w:rsidP="00107C2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2977"/>
                        <w:rPr>
                          <w:sz w:val="20"/>
                          <w:lang w:val="fr-FR"/>
                        </w:rPr>
                      </w:pPr>
                      <w:r w:rsidRPr="008B5595">
                        <w:rPr>
                          <w:sz w:val="20"/>
                        </w:rPr>
                        <w:tab/>
                      </w:r>
                      <w:r w:rsidRPr="006833F8">
                        <w:rPr>
                          <w:sz w:val="20"/>
                          <w:lang w:val="fr-FR"/>
                        </w:rPr>
                        <w:t>..................</w:t>
                      </w:r>
                      <w:r>
                        <w:rPr>
                          <w:sz w:val="20"/>
                          <w:lang w:val="fr-FR"/>
                        </w:rPr>
                        <w:t>...</w:t>
                      </w:r>
                      <w:r w:rsidRPr="006833F8">
                        <w:rPr>
                          <w:sz w:val="20"/>
                          <w:lang w:val="fr-FR"/>
                        </w:rPr>
                        <w:t>....................</w:t>
                      </w:r>
                    </w:p>
                    <w:p w:rsidR="00214AFA" w:rsidRPr="006833F8" w:rsidRDefault="00214AFA" w:rsidP="00107C2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2977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ab/>
                      </w:r>
                      <w:r w:rsidRPr="006833F8">
                        <w:rPr>
                          <w:sz w:val="20"/>
                          <w:lang w:val="fr-FR"/>
                        </w:rPr>
                        <w:t>........................</w:t>
                      </w:r>
                      <w:r>
                        <w:rPr>
                          <w:sz w:val="20"/>
                          <w:lang w:val="fr-FR"/>
                        </w:rPr>
                        <w:t>...</w:t>
                      </w:r>
                      <w:r w:rsidRPr="006833F8">
                        <w:rPr>
                          <w:sz w:val="20"/>
                          <w:lang w:val="fr-FR"/>
                        </w:rPr>
                        <w:t>..............</w:t>
                      </w:r>
                    </w:p>
                    <w:p w:rsidR="00214AFA" w:rsidRPr="006833F8" w:rsidRDefault="00214AFA" w:rsidP="00107C2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2977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ab/>
                      </w:r>
                      <w:r w:rsidRPr="006833F8">
                        <w:rPr>
                          <w:sz w:val="20"/>
                          <w:lang w:val="fr-FR"/>
                        </w:rPr>
                        <w:t>............................</w:t>
                      </w:r>
                      <w:r>
                        <w:rPr>
                          <w:sz w:val="20"/>
                          <w:lang w:val="fr-FR"/>
                        </w:rPr>
                        <w:t>...</w:t>
                      </w:r>
                      <w:r w:rsidRPr="006833F8">
                        <w:rPr>
                          <w:sz w:val="20"/>
                          <w:lang w:val="fr-FR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14AFA" w:rsidRPr="00AF0EB1" w:rsidRDefault="005F30D6" w:rsidP="00107C2C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68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ind w:firstLine="1134"/>
      </w:pPr>
      <w:r w:rsidRPr="009E007C">
        <w:rPr>
          <w:noProof/>
          <w:lang w:eastAsia="en-GB"/>
        </w:rPr>
        <w:drawing>
          <wp:inline distT="0" distB="0" distL="0" distR="0">
            <wp:extent cx="908050" cy="908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FA" w:rsidRPr="009E007C" w:rsidRDefault="00214AFA" w:rsidP="00107C2C">
      <w:pPr>
        <w:pStyle w:val="SingleTxtG"/>
        <w:rPr>
          <w:lang w:val="en-GB"/>
        </w:rPr>
      </w:pPr>
      <w:r w:rsidRPr="00AF0EB1">
        <w:rPr>
          <w:rStyle w:val="FootnoteReference"/>
          <w:color w:val="FFFFFF"/>
          <w:lang w:val="en-GB"/>
        </w:rPr>
        <w:footnoteReference w:id="1"/>
      </w:r>
    </w:p>
    <w:p w:rsidR="00214AFA" w:rsidRPr="009E007C" w:rsidRDefault="00214AFA" w:rsidP="00107C2C">
      <w:pPr>
        <w:pStyle w:val="Para"/>
        <w:spacing w:after="0"/>
        <w:ind w:left="2495" w:hanging="1361"/>
        <w:rPr>
          <w:lang w:val="en-GB"/>
        </w:rPr>
      </w:pPr>
      <w:r w:rsidRPr="009E007C">
        <w:rPr>
          <w:lang w:val="en-GB"/>
        </w:rPr>
        <w:t>Concerning:</w:t>
      </w:r>
      <w:r w:rsidRPr="00AF0EB1">
        <w:rPr>
          <w:rStyle w:val="FootnoteReference"/>
          <w:lang w:val="en-GB"/>
        </w:rPr>
        <w:footnoteReference w:id="2"/>
      </w:r>
      <w:r w:rsidRPr="00AF0EB1">
        <w:rPr>
          <w:lang w:val="en-GB"/>
        </w:rPr>
        <w:tab/>
      </w:r>
      <w:r w:rsidRPr="009E007C">
        <w:rPr>
          <w:lang w:val="en-GB"/>
        </w:rPr>
        <w:t>Approval granted</w:t>
      </w:r>
    </w:p>
    <w:p w:rsidR="00214AFA" w:rsidRPr="009E007C" w:rsidRDefault="00214AFA" w:rsidP="00107C2C">
      <w:pPr>
        <w:pStyle w:val="Para"/>
        <w:spacing w:after="0"/>
        <w:ind w:left="2495" w:firstLine="2"/>
        <w:rPr>
          <w:lang w:val="en-GB"/>
        </w:rPr>
      </w:pPr>
      <w:r w:rsidRPr="009E007C">
        <w:rPr>
          <w:lang w:val="en-GB"/>
        </w:rPr>
        <w:t>Approval extended</w:t>
      </w:r>
    </w:p>
    <w:p w:rsidR="00214AFA" w:rsidRPr="009E007C" w:rsidRDefault="00214AFA" w:rsidP="00107C2C">
      <w:pPr>
        <w:pStyle w:val="Para"/>
        <w:spacing w:after="0"/>
        <w:ind w:left="2493" w:firstLine="2"/>
        <w:rPr>
          <w:lang w:val="en-GB"/>
        </w:rPr>
      </w:pPr>
      <w:r w:rsidRPr="009E007C">
        <w:rPr>
          <w:lang w:val="en-GB"/>
        </w:rPr>
        <w:t>Approval refused</w:t>
      </w:r>
    </w:p>
    <w:p w:rsidR="00214AFA" w:rsidRPr="009E007C" w:rsidRDefault="00214AFA" w:rsidP="00107C2C">
      <w:pPr>
        <w:pStyle w:val="Para"/>
        <w:spacing w:after="0"/>
        <w:ind w:left="2491" w:firstLine="6"/>
        <w:rPr>
          <w:lang w:val="en-GB"/>
        </w:rPr>
      </w:pPr>
      <w:r w:rsidRPr="009E007C">
        <w:rPr>
          <w:lang w:val="en-GB"/>
        </w:rPr>
        <w:t>Approval withdrawn</w:t>
      </w:r>
    </w:p>
    <w:p w:rsidR="00214AFA" w:rsidRPr="009E007C" w:rsidRDefault="00214AFA" w:rsidP="00107C2C">
      <w:pPr>
        <w:pStyle w:val="Para"/>
        <w:ind w:left="2489" w:firstLine="2"/>
        <w:rPr>
          <w:lang w:val="en-GB"/>
        </w:rPr>
      </w:pPr>
      <w:r w:rsidRPr="009E007C">
        <w:rPr>
          <w:lang w:val="en-GB"/>
        </w:rPr>
        <w:t>Production definitively discontinued</w:t>
      </w:r>
    </w:p>
    <w:p w:rsidR="00214AFA" w:rsidRPr="00AF0EB1" w:rsidRDefault="00214AFA" w:rsidP="00107C2C">
      <w:pPr>
        <w:pStyle w:val="SingleTxtG"/>
        <w:rPr>
          <w:lang w:val="en-GB"/>
        </w:rPr>
      </w:pPr>
      <w:r w:rsidRPr="00AF0EB1">
        <w:rPr>
          <w:lang w:val="en-GB"/>
        </w:rPr>
        <w:t>of a type of LPG equipment pursuant to Regulation No. 67</w:t>
      </w:r>
    </w:p>
    <w:p w:rsidR="00214AFA" w:rsidRPr="00AF0EB1" w:rsidRDefault="00214AFA" w:rsidP="00107C2C">
      <w:pPr>
        <w:pStyle w:val="SingleTxtG"/>
        <w:rPr>
          <w:lang w:val="en-GB"/>
        </w:rPr>
      </w:pPr>
      <w:r w:rsidRPr="00AF0EB1">
        <w:rPr>
          <w:lang w:val="en-GB"/>
        </w:rPr>
        <w:t xml:space="preserve">Approval No.: ................................... </w:t>
      </w:r>
      <w:r w:rsidRPr="00AF0EB1">
        <w:rPr>
          <w:lang w:val="en-GB"/>
        </w:rPr>
        <w:tab/>
        <w:t>Extension No.: .......................................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>1.</w:t>
      </w:r>
      <w:r w:rsidRPr="00AF0EB1">
        <w:rPr>
          <w:lang w:val="en-GB"/>
        </w:rPr>
        <w:tab/>
        <w:t>LPG equipment considered:</w:t>
      </w:r>
      <w:r w:rsidRPr="00AF0EB1">
        <w:rPr>
          <w:vertAlign w:val="superscript"/>
          <w:lang w:val="en-GB"/>
        </w:rPr>
        <w:t>2</w:t>
      </w:r>
      <w:r w:rsidRPr="00AF0EB1">
        <w:rPr>
          <w:lang w:val="en-GB"/>
        </w:rPr>
        <w:t xml:space="preserve"> 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ind w:left="1701" w:hanging="567"/>
        <w:rPr>
          <w:lang w:val="en-GB"/>
        </w:rPr>
      </w:pPr>
      <w:r w:rsidRPr="00AF0EB1">
        <w:rPr>
          <w:lang w:val="en-GB"/>
        </w:rPr>
        <w:tab/>
        <w:t>Container including the configuration of accessories fitted to the container, as laid down in Appendix 1 to this annex.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80 per cent stop valve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Level indicator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Pressure relief valve (discharge valve)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Pressure relief device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Remotely controlled service valve with excess flow valve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Multivalve, including the following accessories: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Gas-tight housing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Power supply bushing (pump/actuators)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lastRenderedPageBreak/>
        <w:tab/>
        <w:t>Fuel pump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Vaporizer/pressure regulator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Shut-off valve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Non-return valve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Gas-tube pressure relief valve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Service coupling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Flexible hose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Remote filling unit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Gas injection device or injector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Fuel rail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Gas dosage unit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Gas mixing piece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Electronic control unit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Pressure/temperature sensor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>LPG filter unit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ab/>
        <w:t xml:space="preserve">Multi-component 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b/>
          <w:color w:val="FF0000"/>
          <w:lang w:val="en-GB"/>
        </w:rPr>
      </w:pPr>
      <w:r w:rsidRPr="00AF0EB1">
        <w:rPr>
          <w:b/>
          <w:color w:val="FF0000"/>
          <w:lang w:val="en-GB"/>
        </w:rPr>
        <w:t xml:space="preserve">2. </w:t>
      </w:r>
      <w:r w:rsidRPr="00AF0EB1">
        <w:rPr>
          <w:b/>
          <w:color w:val="FF0000"/>
          <w:lang w:val="en-GB"/>
        </w:rPr>
        <w:tab/>
        <w:t>Type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b/>
          <w:color w:val="FF0000"/>
          <w:lang w:val="en-GB"/>
        </w:rPr>
      </w:pPr>
      <w:r w:rsidRPr="00AF0EB1">
        <w:rPr>
          <w:b/>
          <w:color w:val="FF0000"/>
          <w:lang w:val="en-GB"/>
        </w:rPr>
        <w:t>3.</w:t>
      </w:r>
      <w:r w:rsidRPr="00AF0EB1">
        <w:rPr>
          <w:b/>
          <w:color w:val="FF0000"/>
          <w:lang w:val="en-GB"/>
        </w:rPr>
        <w:tab/>
        <w:t>Variant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b/>
          <w:color w:val="FF0000"/>
          <w:lang w:val="en-GB"/>
        </w:rPr>
      </w:pPr>
      <w:r w:rsidRPr="00AF0EB1">
        <w:rPr>
          <w:b/>
          <w:color w:val="FF0000"/>
          <w:lang w:val="en-GB"/>
        </w:rPr>
        <w:t xml:space="preserve">4. </w:t>
      </w:r>
      <w:r w:rsidRPr="00AF0EB1">
        <w:rPr>
          <w:b/>
          <w:color w:val="FF0000"/>
          <w:lang w:val="en-GB"/>
        </w:rPr>
        <w:tab/>
        <w:t>Version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b/>
          <w:color w:val="FF0000"/>
          <w:lang w:val="en-GB"/>
        </w:rPr>
      </w:pPr>
      <w:r w:rsidRPr="00AF0EB1">
        <w:rPr>
          <w:b/>
          <w:color w:val="FF0000"/>
          <w:lang w:val="en-GB"/>
        </w:rPr>
        <w:t xml:space="preserve">5. </w:t>
      </w:r>
      <w:r w:rsidRPr="00AF0EB1">
        <w:rPr>
          <w:b/>
          <w:color w:val="FF0000"/>
          <w:lang w:val="en-GB"/>
        </w:rPr>
        <w:tab/>
        <w:t>Class / WP (WP only for class 0 components)</w:t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2.</w:t>
      </w:r>
      <w:r w:rsidRPr="00AF0EB1">
        <w:rPr>
          <w:b/>
          <w:color w:val="FF0000"/>
          <w:lang w:val="en-GB"/>
        </w:rPr>
        <w:t>6</w:t>
      </w:r>
      <w:r w:rsidRPr="00AF0EB1">
        <w:rPr>
          <w:lang w:val="en-GB"/>
        </w:rPr>
        <w:t>.</w:t>
      </w:r>
      <w:r w:rsidRPr="00AF0EB1">
        <w:rPr>
          <w:lang w:val="en-GB"/>
        </w:rPr>
        <w:tab/>
        <w:t xml:space="preserve">Trade name or mark: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3.</w:t>
      </w:r>
      <w:r w:rsidRPr="00AF0EB1">
        <w:rPr>
          <w:b/>
          <w:color w:val="FF0000"/>
          <w:lang w:val="en-GB"/>
        </w:rPr>
        <w:t>7.</w:t>
      </w:r>
      <w:r w:rsidRPr="00AF0EB1">
        <w:rPr>
          <w:lang w:val="en-GB"/>
        </w:rPr>
        <w:tab/>
        <w:t>Manufacturer's name and address: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dstrike/>
          <w:lang w:val="en-GB"/>
        </w:rPr>
        <w:t>4.</w:t>
      </w:r>
      <w:r w:rsidRPr="00AF0EB1">
        <w:rPr>
          <w:b/>
          <w:color w:val="FF0000"/>
          <w:lang w:val="en-GB"/>
        </w:rPr>
        <w:t>8.</w:t>
      </w:r>
      <w:r w:rsidRPr="00AF0EB1">
        <w:rPr>
          <w:lang w:val="en-GB"/>
        </w:rPr>
        <w:tab/>
        <w:t>If applicable, name and address of manufacturer's representative: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5.</w:t>
      </w:r>
      <w:r w:rsidRPr="00AF0EB1">
        <w:rPr>
          <w:b/>
          <w:color w:val="FF0000"/>
          <w:lang w:val="en-GB"/>
        </w:rPr>
        <w:t>9.</w:t>
      </w:r>
      <w:r w:rsidRPr="00AF0EB1">
        <w:rPr>
          <w:lang w:val="en-GB"/>
        </w:rPr>
        <w:tab/>
        <w:t xml:space="preserve">Submitted for approval on: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6.</w:t>
      </w:r>
      <w:r w:rsidRPr="00AF0EB1">
        <w:rPr>
          <w:b/>
          <w:color w:val="FF0000"/>
          <w:lang w:val="en-GB"/>
        </w:rPr>
        <w:t>10.</w:t>
      </w:r>
      <w:r w:rsidRPr="00AF0EB1">
        <w:rPr>
          <w:lang w:val="en-GB"/>
        </w:rPr>
        <w:tab/>
        <w:t>Technical Service responsible for conducting approval tests: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7.</w:t>
      </w:r>
      <w:r w:rsidRPr="00AF0EB1">
        <w:rPr>
          <w:b/>
          <w:color w:val="FF0000"/>
          <w:lang w:val="en-GB"/>
        </w:rPr>
        <w:t>11.</w:t>
      </w:r>
      <w:r w:rsidRPr="00AF0EB1">
        <w:rPr>
          <w:lang w:val="en-GB"/>
        </w:rPr>
        <w:tab/>
        <w:t xml:space="preserve">Date of report issued by that Service: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8.</w:t>
      </w:r>
      <w:r w:rsidRPr="00AF0EB1">
        <w:rPr>
          <w:b/>
          <w:color w:val="FF0000"/>
          <w:lang w:val="en-GB"/>
        </w:rPr>
        <w:t>12.</w:t>
      </w:r>
      <w:r w:rsidRPr="00AF0EB1">
        <w:rPr>
          <w:lang w:val="en-GB"/>
        </w:rPr>
        <w:tab/>
        <w:t xml:space="preserve">No. of report issued by that Service: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9.</w:t>
      </w:r>
      <w:r w:rsidRPr="00AF0EB1">
        <w:rPr>
          <w:b/>
          <w:color w:val="FF0000"/>
          <w:lang w:val="en-GB"/>
        </w:rPr>
        <w:t>13.</w:t>
      </w:r>
      <w:r w:rsidRPr="00AF0EB1">
        <w:rPr>
          <w:lang w:val="en-GB"/>
        </w:rPr>
        <w:tab/>
        <w:t>Approval granted/refused/extended/withdrawn:</w:t>
      </w:r>
      <w:r w:rsidRPr="00AF0EB1">
        <w:rPr>
          <w:vertAlign w:val="superscript"/>
          <w:lang w:val="en-GB"/>
        </w:rPr>
        <w:t>2</w:t>
      </w:r>
      <w:r w:rsidRPr="00AF0EB1">
        <w:rPr>
          <w:lang w:val="en-GB"/>
        </w:rPr>
        <w:t xml:space="preserve">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lang w:val="en-GB"/>
        </w:rPr>
        <w:t>1</w:t>
      </w:r>
      <w:r w:rsidRPr="00AF0EB1">
        <w:rPr>
          <w:strike/>
          <w:lang w:val="en-GB"/>
        </w:rPr>
        <w:t>0</w:t>
      </w:r>
      <w:r w:rsidRPr="00AF0EB1">
        <w:rPr>
          <w:lang w:val="en-GB"/>
        </w:rPr>
        <w:t>.</w:t>
      </w:r>
      <w:r w:rsidRPr="00AF0EB1">
        <w:rPr>
          <w:b/>
          <w:color w:val="FF0000"/>
          <w:lang w:val="en-GB"/>
        </w:rPr>
        <w:t>14.</w:t>
      </w:r>
      <w:r w:rsidRPr="00AF0EB1">
        <w:rPr>
          <w:lang w:val="en-GB"/>
        </w:rPr>
        <w:tab/>
        <w:t xml:space="preserve">Reason(s) of extension (if applicable):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11.</w:t>
      </w:r>
      <w:r w:rsidRPr="00AF0EB1">
        <w:rPr>
          <w:b/>
          <w:color w:val="FF0000"/>
          <w:lang w:val="en-GB"/>
        </w:rPr>
        <w:t>15.</w:t>
      </w:r>
      <w:r w:rsidRPr="00AF0EB1">
        <w:rPr>
          <w:lang w:val="en-GB"/>
        </w:rPr>
        <w:tab/>
        <w:t xml:space="preserve">Place: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12.</w:t>
      </w:r>
      <w:r w:rsidRPr="00AF0EB1">
        <w:rPr>
          <w:b/>
          <w:color w:val="FF0000"/>
          <w:lang w:val="en-GB"/>
        </w:rPr>
        <w:t>16.</w:t>
      </w:r>
      <w:r w:rsidRPr="00AF0EB1">
        <w:rPr>
          <w:lang w:val="en-GB"/>
        </w:rPr>
        <w:tab/>
        <w:t xml:space="preserve">Date: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rPr>
          <w:lang w:val="en-GB"/>
        </w:rPr>
      </w:pPr>
      <w:r w:rsidRPr="00AF0EB1">
        <w:rPr>
          <w:strike/>
          <w:lang w:val="en-GB"/>
        </w:rPr>
        <w:t>13.</w:t>
      </w:r>
      <w:r w:rsidRPr="00AF0EB1">
        <w:rPr>
          <w:b/>
          <w:color w:val="FF0000"/>
          <w:lang w:val="en-GB"/>
        </w:rPr>
        <w:t>17.</w:t>
      </w:r>
      <w:r w:rsidRPr="00AF0EB1">
        <w:rPr>
          <w:lang w:val="en-GB"/>
        </w:rPr>
        <w:tab/>
        <w:t xml:space="preserve">Signature: </w:t>
      </w:r>
      <w:r w:rsidRPr="00AF0EB1">
        <w:rPr>
          <w:lang w:val="en-GB"/>
        </w:rPr>
        <w:tab/>
      </w:r>
    </w:p>
    <w:p w:rsidR="00214AFA" w:rsidRPr="00AF0EB1" w:rsidRDefault="00214AFA" w:rsidP="00107C2C">
      <w:pPr>
        <w:pStyle w:val="SingleTxtG"/>
        <w:tabs>
          <w:tab w:val="left" w:pos="1700"/>
          <w:tab w:val="right" w:leader="dot" w:pos="8505"/>
          <w:tab w:val="right" w:leader="dot" w:pos="9639"/>
        </w:tabs>
        <w:suppressAutoHyphens/>
        <w:spacing w:line="240" w:lineRule="atLeast"/>
        <w:ind w:left="1701" w:hanging="567"/>
        <w:rPr>
          <w:lang w:val="en-GB"/>
        </w:rPr>
      </w:pPr>
      <w:r w:rsidRPr="00AF0EB1">
        <w:rPr>
          <w:strike/>
          <w:lang w:val="en-GB"/>
        </w:rPr>
        <w:t>14.</w:t>
      </w:r>
      <w:r w:rsidRPr="00AF0EB1">
        <w:rPr>
          <w:b/>
          <w:color w:val="FF0000"/>
          <w:lang w:val="en-GB"/>
        </w:rPr>
        <w:t>18.</w:t>
      </w:r>
      <w:r w:rsidRPr="00AF0EB1">
        <w:rPr>
          <w:lang w:val="en-GB"/>
        </w:rPr>
        <w:tab/>
        <w:t>The documents filed with the application or extension of approval can be obtained upon request.</w:t>
      </w:r>
    </w:p>
    <w:p w:rsidR="00214AFA" w:rsidRPr="00AF0EB1" w:rsidRDefault="00214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EB1">
        <w:rPr>
          <w:rFonts w:ascii="Times New Roman" w:hAnsi="Times New Roman"/>
          <w:b/>
          <w:sz w:val="24"/>
          <w:szCs w:val="24"/>
        </w:rPr>
        <w:br w:type="page"/>
      </w:r>
    </w:p>
    <w:p w:rsidR="00214AFA" w:rsidRPr="00AF0EB1" w:rsidRDefault="00214AFA" w:rsidP="00165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EB1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AF0EB1">
        <w:rPr>
          <w:rFonts w:ascii="Times New Roman" w:hAnsi="Times New Roman"/>
          <w:b/>
          <w:sz w:val="24"/>
          <w:szCs w:val="24"/>
        </w:rPr>
        <w:tab/>
        <w:t>JUSTIFICATION</w:t>
      </w:r>
    </w:p>
    <w:p w:rsidR="00214AFA" w:rsidRPr="00AF0EB1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AF0EB1" w:rsidRDefault="00214AFA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 xml:space="preserve">This proposal concerns amendments to the UN Regulation No. 67 with regard to </w:t>
      </w:r>
      <w:r w:rsidR="00170414">
        <w:rPr>
          <w:rFonts w:ascii="Times New Roman" w:hAnsi="Times New Roman"/>
          <w:sz w:val="24"/>
          <w:szCs w:val="24"/>
        </w:rPr>
        <w:t xml:space="preserve">the </w:t>
      </w:r>
      <w:r w:rsidR="00C336D2">
        <w:rPr>
          <w:rFonts w:ascii="Times New Roman" w:hAnsi="Times New Roman"/>
          <w:sz w:val="24"/>
          <w:szCs w:val="24"/>
        </w:rPr>
        <w:t>layout of</w:t>
      </w:r>
      <w:r w:rsidR="00170414">
        <w:rPr>
          <w:rFonts w:ascii="Times New Roman" w:hAnsi="Times New Roman"/>
          <w:sz w:val="24"/>
          <w:szCs w:val="24"/>
        </w:rPr>
        <w:t xml:space="preserve"> the </w:t>
      </w:r>
      <w:r w:rsidRPr="00AF0EB1">
        <w:rPr>
          <w:rFonts w:ascii="Times New Roman" w:hAnsi="Times New Roman"/>
          <w:sz w:val="24"/>
          <w:szCs w:val="24"/>
        </w:rPr>
        <w:t>type-approval certificate, published in Annex 2B.</w:t>
      </w:r>
    </w:p>
    <w:p w:rsidR="00214AFA" w:rsidRPr="00AF0EB1" w:rsidRDefault="00214AFA" w:rsidP="0040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07C" w:rsidRDefault="00214AFA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 xml:space="preserve">The </w:t>
      </w:r>
      <w:r w:rsidR="00391119">
        <w:rPr>
          <w:rFonts w:ascii="Times New Roman" w:hAnsi="Times New Roman"/>
          <w:sz w:val="24"/>
          <w:szCs w:val="24"/>
        </w:rPr>
        <w:t xml:space="preserve">present </w:t>
      </w:r>
      <w:r w:rsidRPr="00AF0EB1">
        <w:rPr>
          <w:rFonts w:ascii="Times New Roman" w:hAnsi="Times New Roman"/>
          <w:sz w:val="24"/>
          <w:szCs w:val="24"/>
        </w:rPr>
        <w:t>layout</w:t>
      </w:r>
      <w:r w:rsidR="003C7C41" w:rsidRPr="003C7C41">
        <w:rPr>
          <w:rFonts w:ascii="Times New Roman" w:hAnsi="Times New Roman"/>
          <w:sz w:val="24"/>
          <w:szCs w:val="24"/>
        </w:rPr>
        <w:t xml:space="preserve"> </w:t>
      </w:r>
      <w:r w:rsidR="003C7C41" w:rsidRPr="00391119">
        <w:rPr>
          <w:rFonts w:ascii="Times New Roman" w:hAnsi="Times New Roman"/>
          <w:sz w:val="24"/>
          <w:szCs w:val="24"/>
        </w:rPr>
        <w:t xml:space="preserve">of the </w:t>
      </w:r>
      <w:r w:rsidR="0011276F" w:rsidRPr="00391119">
        <w:rPr>
          <w:rFonts w:ascii="Times New Roman" w:hAnsi="Times New Roman"/>
          <w:sz w:val="24"/>
          <w:szCs w:val="24"/>
        </w:rPr>
        <w:t>type-</w:t>
      </w:r>
      <w:r w:rsidR="003C7C41" w:rsidRPr="00391119">
        <w:rPr>
          <w:rFonts w:ascii="Times New Roman" w:hAnsi="Times New Roman"/>
          <w:sz w:val="24"/>
          <w:szCs w:val="24"/>
        </w:rPr>
        <w:t>approval certificate</w:t>
      </w:r>
      <w:r w:rsidRPr="00AF0EB1">
        <w:rPr>
          <w:rFonts w:ascii="Times New Roman" w:hAnsi="Times New Roman"/>
          <w:sz w:val="24"/>
          <w:szCs w:val="24"/>
        </w:rPr>
        <w:t xml:space="preserve">, does not contain </w:t>
      </w:r>
      <w:r w:rsidR="00391119">
        <w:rPr>
          <w:rFonts w:ascii="Times New Roman" w:hAnsi="Times New Roman"/>
          <w:sz w:val="24"/>
          <w:szCs w:val="24"/>
        </w:rPr>
        <w:t xml:space="preserve">points </w:t>
      </w:r>
      <w:r w:rsidRPr="00AF0EB1">
        <w:rPr>
          <w:rFonts w:ascii="Times New Roman" w:hAnsi="Times New Roman"/>
          <w:sz w:val="24"/>
          <w:szCs w:val="24"/>
        </w:rPr>
        <w:t xml:space="preserve">to </w:t>
      </w:r>
      <w:r w:rsidR="00391119">
        <w:rPr>
          <w:rFonts w:ascii="Times New Roman" w:hAnsi="Times New Roman"/>
          <w:sz w:val="24"/>
          <w:szCs w:val="24"/>
        </w:rPr>
        <w:t xml:space="preserve">describe </w:t>
      </w:r>
      <w:r w:rsidRPr="00AF0EB1">
        <w:rPr>
          <w:rFonts w:ascii="Times New Roman" w:hAnsi="Times New Roman"/>
          <w:sz w:val="24"/>
          <w:szCs w:val="24"/>
        </w:rPr>
        <w:t xml:space="preserve">the approved </w:t>
      </w:r>
      <w:r w:rsidR="003166B8">
        <w:rPr>
          <w:rFonts w:ascii="Times New Roman" w:hAnsi="Times New Roman"/>
          <w:sz w:val="24"/>
          <w:szCs w:val="24"/>
        </w:rPr>
        <w:t>equipment</w:t>
      </w:r>
      <w:r w:rsidR="00C336D2">
        <w:rPr>
          <w:rFonts w:ascii="Times New Roman" w:hAnsi="Times New Roman"/>
          <w:sz w:val="24"/>
          <w:szCs w:val="24"/>
        </w:rPr>
        <w:t>(s)</w:t>
      </w:r>
      <w:r w:rsidR="003166B8">
        <w:rPr>
          <w:rFonts w:ascii="Times New Roman" w:hAnsi="Times New Roman"/>
          <w:sz w:val="24"/>
          <w:szCs w:val="24"/>
        </w:rPr>
        <w:t xml:space="preserve"> considered in point 1.</w:t>
      </w:r>
    </w:p>
    <w:p w:rsidR="00214AFA" w:rsidRPr="00AF0EB1" w:rsidRDefault="00214AFA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br/>
        <w:t>For this reason the type-approval authorities have been tackling this problem in their own way by:</w:t>
      </w:r>
    </w:p>
    <w:p w:rsidR="00214AFA" w:rsidRPr="00AF0EB1" w:rsidRDefault="00214AFA" w:rsidP="004022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entering the type name in the point 1 – “LPG equipment considered”,</w:t>
      </w:r>
    </w:p>
    <w:p w:rsidR="00214AFA" w:rsidRPr="00AF0EB1" w:rsidRDefault="00214AFA" w:rsidP="004022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entering the type name in the point 2 – “Trade mark or mark”,</w:t>
      </w:r>
    </w:p>
    <w:p w:rsidR="00214AFA" w:rsidRPr="00AF0EB1" w:rsidRDefault="00214AFA" w:rsidP="004022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introducing additional points to the certificate not provided by the Regulation,</w:t>
      </w:r>
    </w:p>
    <w:p w:rsidR="00214AFA" w:rsidRPr="00AF0EB1" w:rsidRDefault="00214AFA" w:rsidP="004022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issuing the type-approval certificates without the type name.</w:t>
      </w:r>
      <w:r w:rsidRPr="00AF0EB1">
        <w:rPr>
          <w:rFonts w:ascii="Times New Roman" w:hAnsi="Times New Roman"/>
          <w:sz w:val="24"/>
          <w:szCs w:val="24"/>
        </w:rPr>
        <w:br/>
      </w:r>
    </w:p>
    <w:p w:rsidR="0011276F" w:rsidRPr="00A17FD0" w:rsidRDefault="0011276F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proposed </w:t>
      </w:r>
      <w:r w:rsidRPr="00AF0EB1">
        <w:rPr>
          <w:rFonts w:ascii="Times New Roman" w:hAnsi="Times New Roman"/>
          <w:sz w:val="24"/>
          <w:szCs w:val="24"/>
        </w:rPr>
        <w:t>to enter</w:t>
      </w:r>
      <w:r w:rsidRPr="0011276F">
        <w:rPr>
          <w:rFonts w:ascii="Times New Roman" w:hAnsi="Times New Roman"/>
          <w:sz w:val="24"/>
          <w:szCs w:val="24"/>
        </w:rPr>
        <w:t xml:space="preserve"> </w:t>
      </w:r>
      <w:r w:rsidRPr="00AF0EB1">
        <w:rPr>
          <w:rFonts w:ascii="Times New Roman" w:hAnsi="Times New Roman"/>
          <w:sz w:val="24"/>
          <w:szCs w:val="24"/>
        </w:rPr>
        <w:t>additional points</w:t>
      </w:r>
      <w:r>
        <w:rPr>
          <w:rFonts w:ascii="Times New Roman" w:hAnsi="Times New Roman"/>
          <w:sz w:val="24"/>
          <w:szCs w:val="24"/>
        </w:rPr>
        <w:t xml:space="preserve">: </w:t>
      </w:r>
      <w:r w:rsidR="003166B8">
        <w:rPr>
          <w:rFonts w:ascii="Times New Roman" w:hAnsi="Times New Roman"/>
          <w:sz w:val="24"/>
          <w:szCs w:val="24"/>
        </w:rPr>
        <w:t xml:space="preserve">Type (point 2-type </w:t>
      </w:r>
      <w:r>
        <w:rPr>
          <w:rFonts w:ascii="Times New Roman" w:hAnsi="Times New Roman"/>
          <w:sz w:val="24"/>
          <w:szCs w:val="24"/>
        </w:rPr>
        <w:t xml:space="preserve">of </w:t>
      </w:r>
      <w:r w:rsidR="003166B8">
        <w:rPr>
          <w:rFonts w:ascii="Times New Roman" w:hAnsi="Times New Roman"/>
          <w:sz w:val="24"/>
          <w:szCs w:val="24"/>
        </w:rPr>
        <w:t>equipment)</w:t>
      </w:r>
      <w:r>
        <w:rPr>
          <w:rFonts w:ascii="Times New Roman" w:hAnsi="Times New Roman"/>
          <w:sz w:val="24"/>
          <w:szCs w:val="24"/>
        </w:rPr>
        <w:t>, its version</w:t>
      </w:r>
      <w:r w:rsidR="003166B8">
        <w:rPr>
          <w:rFonts w:ascii="Times New Roman" w:hAnsi="Times New Roman"/>
          <w:sz w:val="24"/>
          <w:szCs w:val="24"/>
        </w:rPr>
        <w:t xml:space="preserve"> (point 3)</w:t>
      </w:r>
      <w:r w:rsidR="00391119">
        <w:rPr>
          <w:rFonts w:ascii="Times New Roman" w:hAnsi="Times New Roman"/>
          <w:sz w:val="24"/>
          <w:szCs w:val="24"/>
        </w:rPr>
        <w:t xml:space="preserve">, variant </w:t>
      </w:r>
      <w:r w:rsidR="003166B8">
        <w:rPr>
          <w:rFonts w:ascii="Times New Roman" w:hAnsi="Times New Roman"/>
          <w:sz w:val="24"/>
          <w:szCs w:val="24"/>
        </w:rPr>
        <w:t xml:space="preserve">(point 4) </w:t>
      </w:r>
      <w:r w:rsidR="00391119">
        <w:rPr>
          <w:rFonts w:ascii="Times New Roman" w:hAnsi="Times New Roman"/>
          <w:sz w:val="24"/>
          <w:szCs w:val="24"/>
        </w:rPr>
        <w:t>and pressure classification (</w:t>
      </w:r>
      <w:r w:rsidR="003166B8">
        <w:rPr>
          <w:rFonts w:ascii="Times New Roman" w:hAnsi="Times New Roman"/>
          <w:sz w:val="24"/>
          <w:szCs w:val="24"/>
        </w:rPr>
        <w:t xml:space="preserve">point 5 - </w:t>
      </w:r>
      <w:r w:rsidR="00391119">
        <w:rPr>
          <w:rFonts w:ascii="Times New Roman" w:hAnsi="Times New Roman"/>
          <w:sz w:val="24"/>
          <w:szCs w:val="24"/>
        </w:rPr>
        <w:t xml:space="preserve">include </w:t>
      </w:r>
      <w:r w:rsidR="00391119" w:rsidRPr="00AF0EB1">
        <w:rPr>
          <w:rFonts w:ascii="Times New Roman" w:hAnsi="Times New Roman"/>
          <w:sz w:val="24"/>
          <w:szCs w:val="24"/>
        </w:rPr>
        <w:t>the component's working pressure</w:t>
      </w:r>
      <w:r w:rsidR="00391119" w:rsidRPr="00391119">
        <w:rPr>
          <w:rFonts w:ascii="Times New Roman" w:hAnsi="Times New Roman"/>
          <w:sz w:val="24"/>
          <w:szCs w:val="24"/>
        </w:rPr>
        <w:t xml:space="preserve"> </w:t>
      </w:r>
      <w:r w:rsidR="00391119">
        <w:rPr>
          <w:rFonts w:ascii="Times New Roman" w:hAnsi="Times New Roman"/>
          <w:sz w:val="24"/>
          <w:szCs w:val="24"/>
        </w:rPr>
        <w:t>f</w:t>
      </w:r>
      <w:r w:rsidR="00391119" w:rsidRPr="00AF0EB1">
        <w:rPr>
          <w:rFonts w:ascii="Times New Roman" w:hAnsi="Times New Roman"/>
          <w:sz w:val="24"/>
          <w:szCs w:val="24"/>
        </w:rPr>
        <w:t xml:space="preserve">or </w:t>
      </w:r>
      <w:r w:rsidR="00391119" w:rsidRPr="00A17FD0">
        <w:rPr>
          <w:rFonts w:ascii="Times New Roman" w:hAnsi="Times New Roman"/>
          <w:sz w:val="24"/>
          <w:szCs w:val="24"/>
        </w:rPr>
        <w:t>class 0</w:t>
      </w:r>
      <w:r w:rsidR="00A17FD0" w:rsidRPr="00A17FD0">
        <w:rPr>
          <w:rFonts w:ascii="Times New Roman" w:hAnsi="Times New Roman"/>
          <w:sz w:val="24"/>
          <w:szCs w:val="24"/>
        </w:rPr>
        <w:t xml:space="preserve">) and </w:t>
      </w:r>
      <w:r w:rsidR="00A17FD0">
        <w:rPr>
          <w:rFonts w:ascii="Times New Roman" w:hAnsi="Times New Roman"/>
          <w:sz w:val="24"/>
          <w:szCs w:val="24"/>
        </w:rPr>
        <w:t>r</w:t>
      </w:r>
      <w:r w:rsidR="00A17FD0" w:rsidRPr="00A17FD0">
        <w:rPr>
          <w:rFonts w:ascii="Times New Roman" w:hAnsi="Times New Roman"/>
          <w:sz w:val="24"/>
          <w:szCs w:val="24"/>
        </w:rPr>
        <w:t xml:space="preserve">enumber </w:t>
      </w:r>
      <w:r w:rsidR="00A17FD0">
        <w:rPr>
          <w:rFonts w:ascii="Times New Roman" w:hAnsi="Times New Roman"/>
          <w:sz w:val="24"/>
          <w:szCs w:val="24"/>
        </w:rPr>
        <w:t>points 2-14</w:t>
      </w:r>
      <w:r w:rsidR="00A17FD0" w:rsidRPr="00A17FD0">
        <w:rPr>
          <w:rFonts w:ascii="Times New Roman" w:hAnsi="Times New Roman"/>
          <w:sz w:val="24"/>
          <w:szCs w:val="24"/>
        </w:rPr>
        <w:t xml:space="preserve"> as </w:t>
      </w:r>
      <w:r w:rsidR="00A17FD0">
        <w:rPr>
          <w:rFonts w:ascii="Times New Roman" w:hAnsi="Times New Roman"/>
          <w:sz w:val="24"/>
          <w:szCs w:val="24"/>
        </w:rPr>
        <w:t>points 6-18</w:t>
      </w:r>
      <w:r w:rsidR="00A17FD0" w:rsidRPr="00A17FD0">
        <w:rPr>
          <w:rFonts w:ascii="Times New Roman" w:hAnsi="Times New Roman"/>
          <w:sz w:val="24"/>
          <w:szCs w:val="24"/>
        </w:rPr>
        <w:t>.</w:t>
      </w:r>
    </w:p>
    <w:p w:rsidR="00391119" w:rsidRDefault="00391119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72033" w:rsidRPr="0040227A" w:rsidRDefault="00214AFA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227A">
        <w:rPr>
          <w:rFonts w:ascii="Times New Roman" w:hAnsi="Times New Roman"/>
          <w:sz w:val="24"/>
          <w:szCs w:val="24"/>
        </w:rPr>
        <w:t>It is also proposed to change the footnote 2 by replacing “Strike out</w:t>
      </w:r>
      <w:r w:rsidR="00B57CD8" w:rsidRPr="0040227A">
        <w:rPr>
          <w:rFonts w:ascii="Times New Roman" w:hAnsi="Times New Roman"/>
          <w:sz w:val="24"/>
          <w:szCs w:val="24"/>
        </w:rPr>
        <w:t xml:space="preserve"> what</w:t>
      </w:r>
      <w:r w:rsidR="00B57CD8" w:rsidRPr="0040227A">
        <w:rPr>
          <w:rFonts w:ascii="Times New Roman" w:hAnsi="Times New Roman"/>
          <w:sz w:val="24"/>
          <w:szCs w:val="24"/>
          <w:lang w:val="pl-PL" w:eastAsia="pl-PL"/>
        </w:rPr>
        <w:t xml:space="preserve"> does not apply</w:t>
      </w:r>
      <w:r w:rsidRPr="0040227A">
        <w:rPr>
          <w:rFonts w:ascii="Times New Roman" w:hAnsi="Times New Roman"/>
          <w:sz w:val="24"/>
          <w:szCs w:val="24"/>
        </w:rPr>
        <w:t>” with “Erase</w:t>
      </w:r>
      <w:r w:rsidR="00B57CD8" w:rsidRPr="0040227A">
        <w:rPr>
          <w:rFonts w:ascii="Times New Roman" w:hAnsi="Times New Roman"/>
          <w:sz w:val="24"/>
          <w:szCs w:val="24"/>
        </w:rPr>
        <w:t xml:space="preserve"> where </w:t>
      </w:r>
      <w:r w:rsidR="00B57CD8" w:rsidRPr="0040227A">
        <w:rPr>
          <w:rFonts w:ascii="Times New Roman" w:hAnsi="Times New Roman"/>
          <w:sz w:val="24"/>
          <w:szCs w:val="24"/>
          <w:lang w:val="pl-PL" w:eastAsia="pl-PL"/>
        </w:rPr>
        <w:t>does not apply</w:t>
      </w:r>
      <w:r w:rsidRPr="0040227A">
        <w:rPr>
          <w:rFonts w:ascii="Times New Roman" w:hAnsi="Times New Roman"/>
          <w:sz w:val="24"/>
          <w:szCs w:val="24"/>
        </w:rPr>
        <w:t>”</w:t>
      </w:r>
      <w:r w:rsidR="00D72033" w:rsidRPr="0040227A">
        <w:rPr>
          <w:rFonts w:ascii="Times New Roman" w:hAnsi="Times New Roman"/>
          <w:sz w:val="24"/>
          <w:szCs w:val="24"/>
        </w:rPr>
        <w:t xml:space="preserve"> or “Delete where not applicable”</w:t>
      </w:r>
      <w:r w:rsidRPr="0040227A">
        <w:rPr>
          <w:rFonts w:ascii="Times New Roman" w:hAnsi="Times New Roman"/>
          <w:sz w:val="24"/>
          <w:szCs w:val="24"/>
        </w:rPr>
        <w:t xml:space="preserve">. </w:t>
      </w:r>
    </w:p>
    <w:p w:rsidR="00D72033" w:rsidRPr="0040227A" w:rsidRDefault="00170414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present </w:t>
      </w:r>
      <w:r w:rsidR="00D72033" w:rsidRPr="0040227A">
        <w:rPr>
          <w:rFonts w:ascii="Times New Roman" w:hAnsi="Times New Roman"/>
          <w:sz w:val="24"/>
          <w:szCs w:val="24"/>
        </w:rPr>
        <w:t>type-approval certificates</w:t>
      </w:r>
      <w:r w:rsidR="00BB18BD" w:rsidRPr="0040227A">
        <w:rPr>
          <w:rFonts w:ascii="Times New Roman" w:hAnsi="Times New Roman"/>
          <w:sz w:val="24"/>
          <w:szCs w:val="24"/>
        </w:rPr>
        <w:t xml:space="preserve"> with str</w:t>
      </w:r>
      <w:r w:rsidR="000836B1" w:rsidRPr="0040227A">
        <w:rPr>
          <w:rFonts w:ascii="Times New Roman" w:hAnsi="Times New Roman"/>
          <w:sz w:val="24"/>
          <w:szCs w:val="24"/>
        </w:rPr>
        <w:t>uck</w:t>
      </w:r>
      <w:r w:rsidR="00BB18BD" w:rsidRPr="0040227A">
        <w:rPr>
          <w:rFonts w:ascii="Times New Roman" w:hAnsi="Times New Roman"/>
          <w:sz w:val="24"/>
          <w:szCs w:val="24"/>
        </w:rPr>
        <w:t xml:space="preserve"> out</w:t>
      </w:r>
      <w:r w:rsidR="00E8571F">
        <w:rPr>
          <w:rFonts w:ascii="Times New Roman" w:hAnsi="Times New Roman"/>
          <w:sz w:val="24"/>
          <w:szCs w:val="24"/>
        </w:rPr>
        <w:t xml:space="preserve"> non-</w:t>
      </w:r>
      <w:r w:rsidR="00BB18BD" w:rsidRPr="0040227A">
        <w:rPr>
          <w:rFonts w:ascii="Times New Roman" w:hAnsi="Times New Roman"/>
          <w:sz w:val="24"/>
          <w:szCs w:val="24"/>
        </w:rPr>
        <w:t>applicable equipment are not legible.</w:t>
      </w:r>
    </w:p>
    <w:p w:rsidR="000836B1" w:rsidRPr="0040227A" w:rsidRDefault="000836B1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227A">
        <w:rPr>
          <w:rFonts w:ascii="Times New Roman" w:hAnsi="Times New Roman"/>
          <w:sz w:val="24"/>
          <w:szCs w:val="24"/>
        </w:rPr>
        <w:t>The str</w:t>
      </w:r>
      <w:r w:rsidR="00170414">
        <w:rPr>
          <w:rFonts w:ascii="Times New Roman" w:hAnsi="Times New Roman"/>
          <w:sz w:val="24"/>
          <w:szCs w:val="24"/>
        </w:rPr>
        <w:t>i</w:t>
      </w:r>
      <w:r w:rsidRPr="0040227A">
        <w:rPr>
          <w:rFonts w:ascii="Times New Roman" w:hAnsi="Times New Roman"/>
          <w:sz w:val="24"/>
          <w:szCs w:val="24"/>
        </w:rPr>
        <w:t>k</w:t>
      </w:r>
      <w:r w:rsidR="00170414">
        <w:rPr>
          <w:rFonts w:ascii="Times New Roman" w:hAnsi="Times New Roman"/>
          <w:sz w:val="24"/>
          <w:szCs w:val="24"/>
        </w:rPr>
        <w:t xml:space="preserve">ing </w:t>
      </w:r>
      <w:r w:rsidR="00EC6B5F">
        <w:rPr>
          <w:rFonts w:ascii="Times New Roman" w:hAnsi="Times New Roman"/>
          <w:sz w:val="24"/>
          <w:szCs w:val="24"/>
        </w:rPr>
        <w:t>out non-applicable equipment</w:t>
      </w:r>
      <w:bookmarkStart w:id="4" w:name="_GoBack"/>
      <w:bookmarkEnd w:id="4"/>
      <w:r w:rsidRPr="00402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227A">
        <w:rPr>
          <w:rFonts w:ascii="Times New Roman" w:hAnsi="Times New Roman"/>
          <w:sz w:val="24"/>
          <w:szCs w:val="24"/>
        </w:rPr>
        <w:t>take</w:t>
      </w:r>
      <w:proofErr w:type="gramEnd"/>
      <w:r w:rsidRPr="0040227A">
        <w:rPr>
          <w:rFonts w:ascii="Times New Roman" w:hAnsi="Times New Roman"/>
          <w:sz w:val="24"/>
          <w:szCs w:val="24"/>
        </w:rPr>
        <w:t xml:space="preserve"> up to 50% of the type-approval certificate.</w:t>
      </w:r>
    </w:p>
    <w:p w:rsidR="00BB18BD" w:rsidRDefault="00BB18BD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14AFA" w:rsidRPr="00AF0EB1" w:rsidRDefault="00214AFA" w:rsidP="00402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 xml:space="preserve">This proposal will improve the legibility of the type-approval certificate </w:t>
      </w:r>
      <w:r w:rsidR="0040227A">
        <w:rPr>
          <w:rFonts w:ascii="Times New Roman" w:hAnsi="Times New Roman"/>
          <w:sz w:val="24"/>
          <w:szCs w:val="24"/>
        </w:rPr>
        <w:t>and</w:t>
      </w:r>
      <w:r w:rsidRPr="00AF0EB1">
        <w:rPr>
          <w:rFonts w:ascii="Times New Roman" w:hAnsi="Times New Roman"/>
          <w:sz w:val="24"/>
          <w:szCs w:val="24"/>
        </w:rPr>
        <w:t xml:space="preserve"> reduc</w:t>
      </w:r>
      <w:r w:rsidR="0040227A">
        <w:rPr>
          <w:rFonts w:ascii="Times New Roman" w:hAnsi="Times New Roman"/>
          <w:sz w:val="24"/>
          <w:szCs w:val="24"/>
        </w:rPr>
        <w:t>e</w:t>
      </w:r>
      <w:r w:rsidRPr="00AF0EB1">
        <w:rPr>
          <w:rFonts w:ascii="Times New Roman" w:hAnsi="Times New Roman"/>
          <w:sz w:val="24"/>
          <w:szCs w:val="24"/>
        </w:rPr>
        <w:t xml:space="preserve"> its size</w:t>
      </w:r>
      <w:r w:rsidR="00A90714">
        <w:rPr>
          <w:rFonts w:ascii="Times New Roman" w:hAnsi="Times New Roman"/>
          <w:sz w:val="24"/>
          <w:szCs w:val="24"/>
        </w:rPr>
        <w:t xml:space="preserve"> (number of pages)</w:t>
      </w:r>
      <w:r w:rsidRPr="00AF0EB1">
        <w:rPr>
          <w:rFonts w:ascii="Times New Roman" w:hAnsi="Times New Roman"/>
          <w:sz w:val="24"/>
          <w:szCs w:val="24"/>
        </w:rPr>
        <w:t>.</w:t>
      </w:r>
    </w:p>
    <w:p w:rsidR="00214AFA" w:rsidRDefault="00214AFA" w:rsidP="009A3BC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_____</w:t>
      </w:r>
    </w:p>
    <w:p w:rsidR="002F76C0" w:rsidRDefault="002F76C0" w:rsidP="009A3BC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2F76C0" w:rsidSect="00A538AC">
      <w:footerReference w:type="default" r:id="rId10"/>
      <w:pgSz w:w="11906" w:h="16838"/>
      <w:pgMar w:top="567" w:right="85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A" w:rsidRDefault="0085461A" w:rsidP="007F1DBD">
      <w:pPr>
        <w:spacing w:after="0" w:line="240" w:lineRule="auto"/>
      </w:pPr>
      <w:r>
        <w:separator/>
      </w:r>
    </w:p>
  </w:endnote>
  <w:endnote w:type="continuationSeparator" w:id="0">
    <w:p w:rsidR="0085461A" w:rsidRDefault="0085461A" w:rsidP="007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A" w:rsidRDefault="004170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B5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A" w:rsidRDefault="0085461A" w:rsidP="007F1DBD">
      <w:pPr>
        <w:spacing w:after="0" w:line="240" w:lineRule="auto"/>
      </w:pPr>
      <w:r>
        <w:separator/>
      </w:r>
    </w:p>
  </w:footnote>
  <w:footnote w:type="continuationSeparator" w:id="0">
    <w:p w:rsidR="0085461A" w:rsidRDefault="0085461A" w:rsidP="007F1DBD">
      <w:pPr>
        <w:spacing w:after="0" w:line="240" w:lineRule="auto"/>
      </w:pPr>
      <w:r>
        <w:continuationSeparator/>
      </w:r>
    </w:p>
  </w:footnote>
  <w:footnote w:id="1">
    <w:p w:rsidR="00214AFA" w:rsidRDefault="00214AFA" w:rsidP="00107C2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>
        <w:rPr>
          <w:lang w:val="en-GB"/>
        </w:rPr>
        <w:t>Distinguishing number of the country which has granted/extended/refused/withdrawn approval (see approval provisions in the Regulation.)</w:t>
      </w:r>
      <w:proofErr w:type="gramEnd"/>
    </w:p>
  </w:footnote>
  <w:footnote w:id="2">
    <w:p w:rsidR="00214AFA" w:rsidRDefault="00214AFA" w:rsidP="00107C2C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</w:r>
      <w:r w:rsidRPr="00AA725E">
        <w:rPr>
          <w:bCs/>
          <w:strike/>
          <w:color w:val="FF0000"/>
          <w:lang w:val="en-GB"/>
        </w:rPr>
        <w:t>Strike out</w:t>
      </w:r>
      <w:r w:rsidRPr="00AA725E">
        <w:rPr>
          <w:bCs/>
          <w:color w:val="FF0000"/>
          <w:lang w:val="en-GB"/>
        </w:rPr>
        <w:t xml:space="preserve"> </w:t>
      </w:r>
      <w:r w:rsidR="00B57CD8" w:rsidRPr="00B57CD8">
        <w:rPr>
          <w:bCs/>
          <w:strike/>
          <w:color w:val="FF0000"/>
          <w:lang w:val="en-GB"/>
        </w:rPr>
        <w:t>what</w:t>
      </w:r>
      <w:r w:rsidR="00B57CD8">
        <w:rPr>
          <w:bCs/>
          <w:color w:val="FF0000"/>
          <w:lang w:val="en-GB"/>
        </w:rPr>
        <w:t xml:space="preserve"> </w:t>
      </w:r>
      <w:r w:rsidR="00B57CD8" w:rsidRPr="00B57CD8">
        <w:rPr>
          <w:bCs/>
          <w:strike/>
          <w:color w:val="FF0000"/>
          <w:lang w:val="en-GB"/>
        </w:rPr>
        <w:t>does not apply</w:t>
      </w:r>
      <w:r w:rsidR="00B57CD8">
        <w:rPr>
          <w:bCs/>
          <w:color w:val="FF0000"/>
          <w:lang w:val="en-GB"/>
        </w:rPr>
        <w:t xml:space="preserve"> </w:t>
      </w:r>
      <w:r w:rsidRPr="00B57CD8">
        <w:rPr>
          <w:bCs/>
          <w:color w:val="FF0000"/>
          <w:lang w:val="en-GB"/>
        </w:rPr>
        <w:t>Erase wh</w:t>
      </w:r>
      <w:r w:rsidR="0011276F" w:rsidRPr="00B57CD8">
        <w:rPr>
          <w:bCs/>
          <w:color w:val="FF0000"/>
          <w:lang w:val="en-GB"/>
        </w:rPr>
        <w:t>ere</w:t>
      </w:r>
      <w:r w:rsidRPr="00B57CD8">
        <w:rPr>
          <w:bCs/>
          <w:color w:val="FF0000"/>
          <w:lang w:val="en-GB"/>
        </w:rPr>
        <w:t xml:space="preserve"> does not apply</w:t>
      </w:r>
      <w:r w:rsidR="00B57CD8" w:rsidRPr="00B57CD8">
        <w:rPr>
          <w:bCs/>
          <w:color w:val="FF0000"/>
          <w:lang w:val="en-GB"/>
        </w:rPr>
        <w:t xml:space="preserve"> / </w:t>
      </w:r>
      <w:r w:rsidR="003C7C41" w:rsidRPr="00B57CD8">
        <w:rPr>
          <w:bCs/>
          <w:color w:val="FF0000"/>
          <w:lang w:val="en-GB"/>
        </w:rPr>
        <w:t>Delete where not applicable.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36"/>
    <w:multiLevelType w:val="hybridMultilevel"/>
    <w:tmpl w:val="3E603D80"/>
    <w:lvl w:ilvl="0" w:tplc="7C94A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346F04"/>
    <w:multiLevelType w:val="hybridMultilevel"/>
    <w:tmpl w:val="ACDCEAE2"/>
    <w:lvl w:ilvl="0" w:tplc="36BAC48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66645509"/>
    <w:multiLevelType w:val="hybridMultilevel"/>
    <w:tmpl w:val="27F43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85693E"/>
    <w:multiLevelType w:val="hybridMultilevel"/>
    <w:tmpl w:val="661CA7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BD6A1D"/>
    <w:multiLevelType w:val="hybridMultilevel"/>
    <w:tmpl w:val="400C8DB4"/>
    <w:lvl w:ilvl="0" w:tplc="A26A43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0"/>
    <w:rsid w:val="00002DB2"/>
    <w:rsid w:val="000645F8"/>
    <w:rsid w:val="00075886"/>
    <w:rsid w:val="000836B1"/>
    <w:rsid w:val="00092580"/>
    <w:rsid w:val="000C5918"/>
    <w:rsid w:val="000F7D5E"/>
    <w:rsid w:val="00107C2C"/>
    <w:rsid w:val="0011276F"/>
    <w:rsid w:val="0012695A"/>
    <w:rsid w:val="001427A5"/>
    <w:rsid w:val="00165F40"/>
    <w:rsid w:val="00166762"/>
    <w:rsid w:val="00170414"/>
    <w:rsid w:val="00180DC6"/>
    <w:rsid w:val="00181440"/>
    <w:rsid w:val="001827F5"/>
    <w:rsid w:val="001A5A3B"/>
    <w:rsid w:val="001C3EDD"/>
    <w:rsid w:val="001D3B92"/>
    <w:rsid w:val="001E4549"/>
    <w:rsid w:val="00214AFA"/>
    <w:rsid w:val="00245618"/>
    <w:rsid w:val="00263D90"/>
    <w:rsid w:val="00267EBA"/>
    <w:rsid w:val="00275C49"/>
    <w:rsid w:val="002965DE"/>
    <w:rsid w:val="002D1A9C"/>
    <w:rsid w:val="002D7643"/>
    <w:rsid w:val="002F76C0"/>
    <w:rsid w:val="00313BDA"/>
    <w:rsid w:val="003166B8"/>
    <w:rsid w:val="0032682C"/>
    <w:rsid w:val="00351306"/>
    <w:rsid w:val="00382EF5"/>
    <w:rsid w:val="00391119"/>
    <w:rsid w:val="003A2B91"/>
    <w:rsid w:val="003A6C65"/>
    <w:rsid w:val="003B0A9B"/>
    <w:rsid w:val="003B7602"/>
    <w:rsid w:val="003C0C96"/>
    <w:rsid w:val="003C7C41"/>
    <w:rsid w:val="003E1C52"/>
    <w:rsid w:val="00400562"/>
    <w:rsid w:val="0040227A"/>
    <w:rsid w:val="0041705B"/>
    <w:rsid w:val="00432EBE"/>
    <w:rsid w:val="00452E90"/>
    <w:rsid w:val="00462208"/>
    <w:rsid w:val="004818EC"/>
    <w:rsid w:val="004A0084"/>
    <w:rsid w:val="004A1786"/>
    <w:rsid w:val="004C4AF8"/>
    <w:rsid w:val="00535D1F"/>
    <w:rsid w:val="00537B9B"/>
    <w:rsid w:val="005A6293"/>
    <w:rsid w:val="005A740B"/>
    <w:rsid w:val="005C5725"/>
    <w:rsid w:val="005C573A"/>
    <w:rsid w:val="005E4E1C"/>
    <w:rsid w:val="005F1C79"/>
    <w:rsid w:val="005F30D6"/>
    <w:rsid w:val="00600534"/>
    <w:rsid w:val="0061336E"/>
    <w:rsid w:val="0066501D"/>
    <w:rsid w:val="006779DD"/>
    <w:rsid w:val="006833F8"/>
    <w:rsid w:val="00693A27"/>
    <w:rsid w:val="006940ED"/>
    <w:rsid w:val="00697574"/>
    <w:rsid w:val="006C6E5E"/>
    <w:rsid w:val="00740218"/>
    <w:rsid w:val="00744DB4"/>
    <w:rsid w:val="00770976"/>
    <w:rsid w:val="00771F8C"/>
    <w:rsid w:val="00775B94"/>
    <w:rsid w:val="0079704C"/>
    <w:rsid w:val="007A44AD"/>
    <w:rsid w:val="007C4356"/>
    <w:rsid w:val="007D087F"/>
    <w:rsid w:val="007E286D"/>
    <w:rsid w:val="007F1DBD"/>
    <w:rsid w:val="008000FE"/>
    <w:rsid w:val="00805A63"/>
    <w:rsid w:val="00850AD1"/>
    <w:rsid w:val="0085461A"/>
    <w:rsid w:val="00856E1E"/>
    <w:rsid w:val="008A20CC"/>
    <w:rsid w:val="008B5595"/>
    <w:rsid w:val="008D1509"/>
    <w:rsid w:val="008D2843"/>
    <w:rsid w:val="00914CD9"/>
    <w:rsid w:val="00920DBF"/>
    <w:rsid w:val="00961704"/>
    <w:rsid w:val="00962939"/>
    <w:rsid w:val="009A3BCD"/>
    <w:rsid w:val="009B5B7E"/>
    <w:rsid w:val="009E007C"/>
    <w:rsid w:val="00A17FD0"/>
    <w:rsid w:val="00A22E03"/>
    <w:rsid w:val="00A538AC"/>
    <w:rsid w:val="00A54F2F"/>
    <w:rsid w:val="00A707C4"/>
    <w:rsid w:val="00A84880"/>
    <w:rsid w:val="00A90714"/>
    <w:rsid w:val="00AA725E"/>
    <w:rsid w:val="00AD5DA7"/>
    <w:rsid w:val="00AF0EB1"/>
    <w:rsid w:val="00B253A8"/>
    <w:rsid w:val="00B25BF3"/>
    <w:rsid w:val="00B43633"/>
    <w:rsid w:val="00B44B9E"/>
    <w:rsid w:val="00B532AC"/>
    <w:rsid w:val="00B57CD8"/>
    <w:rsid w:val="00B64810"/>
    <w:rsid w:val="00BB18BD"/>
    <w:rsid w:val="00BB710A"/>
    <w:rsid w:val="00BC22A0"/>
    <w:rsid w:val="00BD3EA9"/>
    <w:rsid w:val="00BE216B"/>
    <w:rsid w:val="00C126C8"/>
    <w:rsid w:val="00C26E3E"/>
    <w:rsid w:val="00C336D2"/>
    <w:rsid w:val="00CA0A44"/>
    <w:rsid w:val="00CA6564"/>
    <w:rsid w:val="00CB0979"/>
    <w:rsid w:val="00CB3237"/>
    <w:rsid w:val="00CF46A2"/>
    <w:rsid w:val="00D05439"/>
    <w:rsid w:val="00D46A8D"/>
    <w:rsid w:val="00D72033"/>
    <w:rsid w:val="00D81927"/>
    <w:rsid w:val="00D8210A"/>
    <w:rsid w:val="00DA6133"/>
    <w:rsid w:val="00DC394C"/>
    <w:rsid w:val="00DD0D58"/>
    <w:rsid w:val="00DF1E9C"/>
    <w:rsid w:val="00DF248B"/>
    <w:rsid w:val="00E03415"/>
    <w:rsid w:val="00E05C4B"/>
    <w:rsid w:val="00E2211B"/>
    <w:rsid w:val="00E236F9"/>
    <w:rsid w:val="00E36589"/>
    <w:rsid w:val="00E41123"/>
    <w:rsid w:val="00E66A15"/>
    <w:rsid w:val="00E8571F"/>
    <w:rsid w:val="00E90166"/>
    <w:rsid w:val="00EA42E4"/>
    <w:rsid w:val="00EC6B5F"/>
    <w:rsid w:val="00EF16C0"/>
    <w:rsid w:val="00F269D8"/>
    <w:rsid w:val="00F42173"/>
    <w:rsid w:val="00F42952"/>
    <w:rsid w:val="00F6480A"/>
    <w:rsid w:val="00FA3393"/>
    <w:rsid w:val="00FB37DA"/>
    <w:rsid w:val="00FC69EB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4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A48B-6CEC-4824-9A42-55B8E208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This proposal concerns changes to the UN Regulation 67 with regard to the area of definition of the LPG container type approved accessories</vt:lpstr>
      <vt:lpstr>This proposal concerns changes to the UN Regulation 67 with regard to the area of definition of the LPG container type approved accessories</vt:lpstr>
    </vt:vector>
  </TitlesOfParts>
  <Company>ECE-ISU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proposal concerns changes to the UN Regulation 67 with regard to the area of definition of the LPG container type approved accessories</dc:title>
  <dc:creator>Adam</dc:creator>
  <cp:lastModifiedBy>Hubert Romain</cp:lastModifiedBy>
  <cp:revision>3</cp:revision>
  <cp:lastPrinted>2017-09-13T12:09:00Z</cp:lastPrinted>
  <dcterms:created xsi:type="dcterms:W3CDTF">2017-09-26T08:48:00Z</dcterms:created>
  <dcterms:modified xsi:type="dcterms:W3CDTF">2017-09-26T09:13:00Z</dcterms:modified>
</cp:coreProperties>
</file>