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5C2EC6">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GRSG-112-</w:t>
            </w:r>
            <w:r w:rsidR="005C2EC6">
              <w:rPr>
                <w:b/>
                <w:bCs/>
                <w:sz w:val="20"/>
                <w:szCs w:val="20"/>
                <w:lang w:val="en-GB"/>
              </w:rPr>
              <w:t>31</w:t>
            </w:r>
          </w:p>
          <w:p w:rsidR="00D11958" w:rsidRPr="00A00013" w:rsidRDefault="00A00013">
            <w:pPr>
              <w:pStyle w:val="En-tte"/>
              <w:ind w:left="742"/>
              <w:rPr>
                <w:lang w:val="en-GB"/>
              </w:rPr>
            </w:pPr>
            <w:r>
              <w:rPr>
                <w:sz w:val="20"/>
                <w:szCs w:val="20"/>
                <w:lang w:val="en-GB"/>
              </w:rPr>
              <w:t>(112</w:t>
            </w:r>
            <w:r>
              <w:rPr>
                <w:sz w:val="20"/>
                <w:szCs w:val="20"/>
                <w:vertAlign w:val="superscript"/>
                <w:lang w:val="en-GB"/>
              </w:rPr>
              <w:t>th</w:t>
            </w:r>
            <w:r>
              <w:rPr>
                <w:sz w:val="20"/>
                <w:szCs w:val="20"/>
                <w:lang w:val="en-GB"/>
              </w:rPr>
              <w:t xml:space="preserve"> GRSG, 24-28 April 2017</w:t>
            </w:r>
          </w:p>
          <w:p w:rsidR="00D11958" w:rsidRPr="005C2EC6" w:rsidRDefault="00A00013" w:rsidP="00581F75">
            <w:pPr>
              <w:pStyle w:val="En-tte"/>
              <w:ind w:left="742"/>
              <w:rPr>
                <w:lang w:val="en-GB"/>
              </w:rPr>
            </w:pPr>
            <w:r>
              <w:rPr>
                <w:sz w:val="20"/>
                <w:szCs w:val="20"/>
                <w:lang w:val="en-GB"/>
              </w:rPr>
              <w:t xml:space="preserve">agenda </w:t>
            </w:r>
            <w:r w:rsidRPr="00581F75">
              <w:rPr>
                <w:sz w:val="20"/>
                <w:szCs w:val="20"/>
                <w:lang w:val="en-GB"/>
              </w:rPr>
              <w:t xml:space="preserve">item </w:t>
            </w:r>
            <w:r w:rsidR="00581F75" w:rsidRPr="00581F75">
              <w:rPr>
                <w:sz w:val="20"/>
                <w:szCs w:val="20"/>
                <w:lang w:val="en-GB"/>
              </w:rPr>
              <w:t>7</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D11958" w:rsidRPr="00A00013" w:rsidRDefault="00A00013" w:rsidP="00D86D71">
      <w:pPr>
        <w:spacing w:line="300" w:lineRule="exact"/>
        <w:ind w:right="1091"/>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Pr>
          <w:b/>
          <w:bCs/>
          <w:sz w:val="28"/>
          <w:szCs w:val="28"/>
          <w:lang w:val="en-GB"/>
        </w:rPr>
        <w:t> </w:t>
      </w:r>
      <w:r w:rsidR="001614DA">
        <w:rPr>
          <w:b/>
          <w:bCs/>
          <w:sz w:val="28"/>
          <w:szCs w:val="28"/>
          <w:lang w:val="en-GB"/>
        </w:rPr>
        <w:t>67</w:t>
      </w:r>
      <w:r w:rsidRPr="00A00013">
        <w:rPr>
          <w:b/>
          <w:bCs/>
          <w:spacing w:val="1"/>
          <w:sz w:val="28"/>
          <w:szCs w:val="28"/>
          <w:lang w:val="en-GB"/>
        </w:rPr>
        <w:t xml:space="preserve"> </w:t>
      </w:r>
      <w:r w:rsidRPr="00A00013">
        <w:rPr>
          <w:b/>
          <w:bCs/>
          <w:sz w:val="28"/>
          <w:szCs w:val="28"/>
          <w:lang w:val="en-GB"/>
        </w:rPr>
        <w:t>(</w:t>
      </w:r>
      <w:r w:rsidR="00581F75">
        <w:rPr>
          <w:b/>
          <w:bCs/>
          <w:sz w:val="28"/>
          <w:szCs w:val="28"/>
          <w:lang w:val="en-GB"/>
        </w:rPr>
        <w:t>LPG vehicles</w:t>
      </w:r>
      <w:r w:rsidRPr="00A00013">
        <w:rPr>
          <w:b/>
          <w:bCs/>
          <w:sz w:val="28"/>
          <w:szCs w:val="28"/>
          <w:lang w:val="en-GB"/>
        </w:rPr>
        <w:t>)</w:t>
      </w:r>
    </w:p>
    <w:p w:rsidR="00D11958" w:rsidRPr="00A00013" w:rsidRDefault="00D11958" w:rsidP="00D86D71">
      <w:pPr>
        <w:spacing w:before="6" w:line="240" w:lineRule="exact"/>
        <w:rPr>
          <w:lang w:val="en-GB"/>
        </w:rPr>
      </w:pPr>
    </w:p>
    <w:p w:rsidR="00D11958" w:rsidRPr="00A00013" w:rsidRDefault="00A00013" w:rsidP="00D86D71">
      <w:pPr>
        <w:spacing w:line="249" w:lineRule="auto"/>
        <w:ind w:right="1192"/>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0013">
        <w:rPr>
          <w:spacing w:val="1"/>
          <w:sz w:val="20"/>
          <w:szCs w:val="20"/>
          <w:lang w:val="en-GB"/>
        </w:rPr>
        <w:t>pr</w:t>
      </w:r>
      <w:r w:rsidRPr="00A00013">
        <w:rPr>
          <w:sz w:val="20"/>
          <w:szCs w:val="20"/>
          <w:lang w:val="en-GB"/>
        </w:rPr>
        <w:t>e</w:t>
      </w:r>
      <w:r w:rsidRPr="00A00013">
        <w:rPr>
          <w:spacing w:val="1"/>
          <w:sz w:val="20"/>
          <w:szCs w:val="20"/>
          <w:lang w:val="en-GB"/>
        </w:rPr>
        <w:t>p</w:t>
      </w:r>
      <w:r w:rsidRPr="00A00013">
        <w:rPr>
          <w:sz w:val="20"/>
          <w:szCs w:val="20"/>
          <w:lang w:val="en-GB"/>
        </w:rPr>
        <w:t>a</w:t>
      </w:r>
      <w:r w:rsidRPr="00A00013">
        <w:rPr>
          <w:spacing w:val="1"/>
          <w:sz w:val="20"/>
          <w:szCs w:val="20"/>
          <w:lang w:val="en-GB"/>
        </w:rPr>
        <w:t>r</w:t>
      </w:r>
      <w:r w:rsidRPr="00A00013">
        <w:rPr>
          <w:sz w:val="20"/>
          <w:szCs w:val="20"/>
          <w:lang w:val="en-GB"/>
        </w:rPr>
        <w:t>ed</w:t>
      </w:r>
      <w:r w:rsidRPr="00A00013">
        <w:rPr>
          <w:spacing w:val="1"/>
          <w:sz w:val="20"/>
          <w:szCs w:val="20"/>
          <w:lang w:val="en-GB"/>
        </w:rPr>
        <w:t xml:space="preserve"> b</w:t>
      </w:r>
      <w:r w:rsidRPr="00A00013">
        <w:rPr>
          <w:sz w:val="20"/>
          <w:szCs w:val="20"/>
          <w:lang w:val="en-GB"/>
        </w:rPr>
        <w:t>y</w:t>
      </w:r>
      <w:r w:rsidRPr="00A00013">
        <w:rPr>
          <w:spacing w:val="4"/>
          <w:sz w:val="20"/>
          <w:szCs w:val="20"/>
          <w:lang w:val="en-GB"/>
        </w:rPr>
        <w:t xml:space="preserve"> </w:t>
      </w:r>
      <w:r w:rsidRPr="00A00013">
        <w:rPr>
          <w:sz w:val="20"/>
          <w:szCs w:val="20"/>
          <w:lang w:val="en-GB"/>
        </w:rPr>
        <w:t>the</w:t>
      </w:r>
      <w:r w:rsidRPr="00A00013">
        <w:rPr>
          <w:spacing w:val="7"/>
          <w:sz w:val="20"/>
          <w:szCs w:val="20"/>
          <w:lang w:val="en-GB"/>
        </w:rPr>
        <w:t xml:space="preserve"> </w:t>
      </w:r>
      <w:r w:rsidRPr="00A00013">
        <w:rPr>
          <w:spacing w:val="3"/>
          <w:sz w:val="20"/>
          <w:szCs w:val="20"/>
          <w:lang w:val="en-GB"/>
        </w:rPr>
        <w:t>e</w:t>
      </w:r>
      <w:r w:rsidRPr="00A00013">
        <w:rPr>
          <w:sz w:val="20"/>
          <w:szCs w:val="20"/>
          <w:lang w:val="en-GB"/>
        </w:rPr>
        <w:t>x</w:t>
      </w:r>
      <w:r w:rsidRPr="00A00013">
        <w:rPr>
          <w:spacing w:val="1"/>
          <w:sz w:val="20"/>
          <w:szCs w:val="20"/>
          <w:lang w:val="en-GB"/>
        </w:rPr>
        <w:t>p</w:t>
      </w:r>
      <w:r w:rsidRPr="00A00013">
        <w:rPr>
          <w:sz w:val="20"/>
          <w:szCs w:val="20"/>
          <w:lang w:val="en-GB"/>
        </w:rPr>
        <w:t>e</w:t>
      </w:r>
      <w:r w:rsidRPr="00A00013">
        <w:rPr>
          <w:spacing w:val="1"/>
          <w:sz w:val="20"/>
          <w:szCs w:val="20"/>
          <w:lang w:val="en-GB"/>
        </w:rPr>
        <w:t>r</w:t>
      </w:r>
      <w:r w:rsidRPr="00A00013">
        <w:rPr>
          <w:spacing w:val="6"/>
          <w:sz w:val="20"/>
          <w:szCs w:val="20"/>
          <w:lang w:val="en-GB"/>
        </w:rPr>
        <w:t>t</w:t>
      </w:r>
      <w:r w:rsidRPr="00A00013">
        <w:rPr>
          <w:sz w:val="20"/>
          <w:szCs w:val="20"/>
          <w:lang w:val="en-GB"/>
        </w:rPr>
        <w:t>s</w:t>
      </w:r>
      <w:r w:rsidRPr="00A00013">
        <w:rPr>
          <w:spacing w:val="3"/>
          <w:sz w:val="20"/>
          <w:szCs w:val="20"/>
          <w:lang w:val="en-GB"/>
        </w:rPr>
        <w:t xml:space="preserve"> </w:t>
      </w:r>
      <w:r w:rsidRPr="00A00013">
        <w:rPr>
          <w:sz w:val="20"/>
          <w:szCs w:val="20"/>
          <w:lang w:val="en-GB"/>
        </w:rPr>
        <w:t>f</w:t>
      </w:r>
      <w:r w:rsidRPr="00A00013">
        <w:rPr>
          <w:spacing w:val="3"/>
          <w:sz w:val="20"/>
          <w:szCs w:val="20"/>
          <w:lang w:val="en-GB"/>
        </w:rPr>
        <w:t>r</w:t>
      </w:r>
      <w:r w:rsidRPr="00A00013">
        <w:rPr>
          <w:spacing w:val="1"/>
          <w:sz w:val="20"/>
          <w:szCs w:val="20"/>
          <w:lang w:val="en-GB"/>
        </w:rPr>
        <w:t>o</w:t>
      </w:r>
      <w:r w:rsidRPr="00A00013">
        <w:rPr>
          <w:sz w:val="20"/>
          <w:szCs w:val="20"/>
          <w:lang w:val="en-GB"/>
        </w:rPr>
        <w:t>m</w:t>
      </w:r>
      <w:r w:rsidRPr="00A00013">
        <w:rPr>
          <w:spacing w:val="1"/>
          <w:sz w:val="20"/>
          <w:szCs w:val="20"/>
          <w:lang w:val="en-GB"/>
        </w:rPr>
        <w:t xml:space="preserve"> </w:t>
      </w:r>
      <w:r w:rsidR="001614DA">
        <w:rPr>
          <w:spacing w:val="2"/>
          <w:sz w:val="20"/>
          <w:szCs w:val="20"/>
          <w:lang w:val="en-GB"/>
        </w:rPr>
        <w:t>Germany</w:t>
      </w:r>
      <w:r w:rsidRPr="00A00013">
        <w:rPr>
          <w:spacing w:val="2"/>
          <w:sz w:val="20"/>
          <w:szCs w:val="20"/>
          <w:lang w:val="en-GB"/>
        </w:rPr>
        <w:t xml:space="preserve">. </w:t>
      </w:r>
      <w:r w:rsidRPr="00A00013">
        <w:rPr>
          <w:spacing w:val="1"/>
          <w:sz w:val="20"/>
          <w:szCs w:val="20"/>
          <w:lang w:val="en-GB"/>
        </w:rPr>
        <w:t>I</w:t>
      </w:r>
      <w:r w:rsidRPr="00A00013">
        <w:rPr>
          <w:sz w:val="20"/>
          <w:szCs w:val="20"/>
          <w:lang w:val="en-GB"/>
        </w:rPr>
        <w:t>t</w:t>
      </w:r>
      <w:r w:rsidRPr="00A00013">
        <w:rPr>
          <w:spacing w:val="7"/>
          <w:sz w:val="20"/>
          <w:szCs w:val="20"/>
          <w:lang w:val="en-GB"/>
        </w:rPr>
        <w:t xml:space="preserve"> </w:t>
      </w:r>
      <w:r w:rsidRPr="00A00013">
        <w:rPr>
          <w:spacing w:val="1"/>
          <w:sz w:val="20"/>
          <w:szCs w:val="20"/>
          <w:lang w:val="en-GB"/>
        </w:rPr>
        <w:t>propo</w:t>
      </w:r>
      <w:r w:rsidRPr="00A00013">
        <w:rPr>
          <w:sz w:val="20"/>
          <w:szCs w:val="20"/>
          <w:lang w:val="en-GB"/>
        </w:rPr>
        <w:t>ses a</w:t>
      </w:r>
      <w:r w:rsidR="001614DA">
        <w:rPr>
          <w:sz w:val="20"/>
          <w:szCs w:val="20"/>
          <w:lang w:val="en-GB"/>
        </w:rPr>
        <w:t xml:space="preserve"> new series of amendments to</w:t>
      </w:r>
      <w:r w:rsidRPr="00A00013">
        <w:rPr>
          <w:spacing w:val="26"/>
          <w:sz w:val="20"/>
          <w:szCs w:val="20"/>
          <w:lang w:val="en-GB"/>
        </w:rPr>
        <w:t xml:space="preserve"> </w:t>
      </w:r>
      <w:r w:rsidRPr="00A00013">
        <w:rPr>
          <w:sz w:val="20"/>
          <w:szCs w:val="20"/>
          <w:lang w:val="en-GB"/>
        </w:rPr>
        <w:t>UN</w:t>
      </w:r>
      <w:r w:rsidRPr="00A00013">
        <w:rPr>
          <w:spacing w:val="25"/>
          <w:sz w:val="20"/>
          <w:szCs w:val="20"/>
          <w:lang w:val="en-GB"/>
        </w:rPr>
        <w:t xml:space="preserve"> </w:t>
      </w:r>
      <w:r w:rsidRPr="00A00013">
        <w:rPr>
          <w:sz w:val="20"/>
          <w:szCs w:val="20"/>
          <w:lang w:val="en-GB"/>
        </w:rPr>
        <w:t>Re</w:t>
      </w:r>
      <w:r w:rsidRPr="00A00013">
        <w:rPr>
          <w:spacing w:val="1"/>
          <w:sz w:val="20"/>
          <w:szCs w:val="20"/>
          <w:lang w:val="en-GB"/>
        </w:rPr>
        <w:t>g</w:t>
      </w:r>
      <w:r w:rsidRPr="00A00013">
        <w:rPr>
          <w:sz w:val="20"/>
          <w:szCs w:val="20"/>
          <w:lang w:val="en-GB"/>
        </w:rPr>
        <w:t>ula</w:t>
      </w:r>
      <w:r w:rsidRPr="00A00013">
        <w:rPr>
          <w:spacing w:val="2"/>
          <w:sz w:val="20"/>
          <w:szCs w:val="20"/>
          <w:lang w:val="en-GB"/>
        </w:rPr>
        <w:t>t</w:t>
      </w:r>
      <w:r w:rsidRPr="00A00013">
        <w:rPr>
          <w:sz w:val="20"/>
          <w:szCs w:val="20"/>
          <w:lang w:val="en-GB"/>
        </w:rPr>
        <w:t>i</w:t>
      </w:r>
      <w:r w:rsidRPr="00A00013">
        <w:rPr>
          <w:spacing w:val="1"/>
          <w:sz w:val="20"/>
          <w:szCs w:val="20"/>
          <w:lang w:val="en-GB"/>
        </w:rPr>
        <w:t>o</w:t>
      </w:r>
      <w:r w:rsidRPr="00A00013">
        <w:rPr>
          <w:sz w:val="20"/>
          <w:szCs w:val="20"/>
          <w:lang w:val="en-GB"/>
        </w:rPr>
        <w:t>n</w:t>
      </w:r>
      <w:r w:rsidRPr="00A00013">
        <w:rPr>
          <w:spacing w:val="16"/>
          <w:sz w:val="20"/>
          <w:szCs w:val="20"/>
          <w:lang w:val="en-GB"/>
        </w:rPr>
        <w:t xml:space="preserve"> </w:t>
      </w:r>
      <w:r w:rsidRPr="00581F75">
        <w:rPr>
          <w:sz w:val="20"/>
          <w:szCs w:val="20"/>
          <w:lang w:val="en-GB"/>
        </w:rPr>
        <w:t>N</w:t>
      </w:r>
      <w:r w:rsidRPr="00581F75">
        <w:rPr>
          <w:spacing w:val="1"/>
          <w:sz w:val="20"/>
          <w:szCs w:val="20"/>
          <w:lang w:val="en-GB"/>
        </w:rPr>
        <w:t>o</w:t>
      </w:r>
      <w:r w:rsidRPr="00581F75">
        <w:rPr>
          <w:sz w:val="20"/>
          <w:szCs w:val="20"/>
          <w:lang w:val="en-GB"/>
        </w:rPr>
        <w:t>.</w:t>
      </w:r>
      <w:r w:rsidRPr="00581F75">
        <w:rPr>
          <w:spacing w:val="24"/>
          <w:sz w:val="20"/>
          <w:szCs w:val="20"/>
          <w:lang w:val="en-GB"/>
        </w:rPr>
        <w:t xml:space="preserve"> </w:t>
      </w:r>
      <w:r w:rsidR="001614DA" w:rsidRPr="00581F75">
        <w:rPr>
          <w:spacing w:val="24"/>
          <w:sz w:val="20"/>
          <w:szCs w:val="20"/>
          <w:lang w:val="en-GB"/>
        </w:rPr>
        <w:t xml:space="preserve">67 </w:t>
      </w:r>
      <w:r w:rsidR="00BF2860" w:rsidRPr="00581F75">
        <w:rPr>
          <w:sz w:val="20"/>
          <w:szCs w:val="20"/>
          <w:lang w:val="en-GB"/>
        </w:rPr>
        <w:t xml:space="preserve">to </w:t>
      </w:r>
      <w:r w:rsidR="00AC1A8D" w:rsidRPr="00A0612B">
        <w:rPr>
          <w:sz w:val="20"/>
          <w:szCs w:val="20"/>
          <w:lang w:val="en-GB"/>
        </w:rPr>
        <w:t xml:space="preserve">improve the </w:t>
      </w:r>
      <w:r w:rsidR="00AC1A8D">
        <w:rPr>
          <w:sz w:val="20"/>
          <w:szCs w:val="20"/>
          <w:lang w:val="en-GB"/>
        </w:rPr>
        <w:t xml:space="preserve">specifications for </w:t>
      </w:r>
      <w:r w:rsidR="00E87294">
        <w:rPr>
          <w:sz w:val="20"/>
          <w:szCs w:val="20"/>
          <w:lang w:val="en-GB"/>
        </w:rPr>
        <w:t>the LPG-Multi-valve</w:t>
      </w:r>
      <w:r w:rsidR="00BF2860" w:rsidRPr="00581F75">
        <w:rPr>
          <w:sz w:val="20"/>
          <w:szCs w:val="20"/>
          <w:lang w:val="en-GB"/>
        </w:rPr>
        <w:t xml:space="preserve">. </w:t>
      </w:r>
      <w:r w:rsidRPr="00581F75">
        <w:rPr>
          <w:spacing w:val="3"/>
          <w:sz w:val="20"/>
          <w:szCs w:val="20"/>
          <w:lang w:val="en-GB"/>
        </w:rPr>
        <w:t>T</w:t>
      </w:r>
      <w:r w:rsidRPr="00581F75">
        <w:rPr>
          <w:spacing w:val="1"/>
          <w:sz w:val="20"/>
          <w:szCs w:val="20"/>
          <w:lang w:val="en-GB"/>
        </w:rPr>
        <w:t xml:space="preserve">he modifications to the current text of UN Regulation No. </w:t>
      </w:r>
      <w:r w:rsidR="00BF2860" w:rsidRPr="00581F75">
        <w:rPr>
          <w:spacing w:val="1"/>
          <w:sz w:val="20"/>
          <w:szCs w:val="20"/>
          <w:lang w:val="en-GB"/>
        </w:rPr>
        <w:t xml:space="preserve">67 </w:t>
      </w:r>
      <w:r w:rsidRPr="00581F75">
        <w:rPr>
          <w:spacing w:val="1"/>
          <w:sz w:val="20"/>
          <w:szCs w:val="20"/>
          <w:lang w:val="en-GB"/>
        </w:rPr>
        <w:t>are marked</w:t>
      </w:r>
      <w:r w:rsidRPr="00A00013">
        <w:rPr>
          <w:spacing w:val="1"/>
          <w:sz w:val="20"/>
          <w:szCs w:val="20"/>
          <w:lang w:val="en-GB"/>
        </w:rPr>
        <w:t xml:space="preserve"> </w:t>
      </w:r>
      <w:r w:rsidRPr="00A00013">
        <w:rPr>
          <w:sz w:val="20"/>
          <w:szCs w:val="20"/>
          <w:lang w:val="en-GB"/>
        </w:rPr>
        <w:t>in</w:t>
      </w:r>
      <w:r w:rsidRPr="00A00013">
        <w:rPr>
          <w:spacing w:val="23"/>
          <w:sz w:val="20"/>
          <w:szCs w:val="20"/>
          <w:lang w:val="en-GB"/>
        </w:rPr>
        <w:t xml:space="preserve"> </w:t>
      </w:r>
      <w:r w:rsidRPr="00A00013">
        <w:rPr>
          <w:spacing w:val="1"/>
          <w:sz w:val="20"/>
          <w:szCs w:val="20"/>
          <w:lang w:val="en-GB"/>
        </w:rPr>
        <w:t>bo</w:t>
      </w:r>
      <w:r w:rsidRPr="00A00013">
        <w:rPr>
          <w:sz w:val="20"/>
          <w:szCs w:val="20"/>
          <w:lang w:val="en-GB"/>
        </w:rPr>
        <w:t>ld</w:t>
      </w:r>
      <w:r w:rsidRPr="00A00013">
        <w:rPr>
          <w:spacing w:val="23"/>
          <w:sz w:val="20"/>
          <w:szCs w:val="20"/>
          <w:lang w:val="en-GB"/>
        </w:rPr>
        <w:t xml:space="preserve"> </w:t>
      </w:r>
      <w:r w:rsidRPr="00A00013">
        <w:rPr>
          <w:sz w:val="20"/>
          <w:szCs w:val="20"/>
          <w:lang w:val="en-GB"/>
        </w:rPr>
        <w:t>f</w:t>
      </w:r>
      <w:r w:rsidRPr="00A00013">
        <w:rPr>
          <w:spacing w:val="1"/>
          <w:sz w:val="20"/>
          <w:szCs w:val="20"/>
          <w:lang w:val="en-GB"/>
        </w:rPr>
        <w:t>o</w:t>
      </w:r>
      <w:r w:rsidRPr="00A00013">
        <w:rPr>
          <w:sz w:val="20"/>
          <w:szCs w:val="20"/>
          <w:lang w:val="en-GB"/>
        </w:rPr>
        <w:t>r</w:t>
      </w:r>
      <w:r w:rsidRPr="00A00013">
        <w:rPr>
          <w:spacing w:val="25"/>
          <w:sz w:val="20"/>
          <w:szCs w:val="20"/>
          <w:lang w:val="en-GB"/>
        </w:rPr>
        <w:t xml:space="preserve"> </w:t>
      </w:r>
      <w:r w:rsidRPr="00A00013">
        <w:rPr>
          <w:sz w:val="20"/>
          <w:szCs w:val="20"/>
          <w:lang w:val="en-GB"/>
        </w:rPr>
        <w:t>n</w:t>
      </w:r>
      <w:r w:rsidRPr="00A00013">
        <w:rPr>
          <w:spacing w:val="3"/>
          <w:sz w:val="20"/>
          <w:szCs w:val="20"/>
          <w:lang w:val="en-GB"/>
        </w:rPr>
        <w:t>e</w:t>
      </w:r>
      <w:r w:rsidRPr="00A00013">
        <w:rPr>
          <w:sz w:val="20"/>
          <w:szCs w:val="20"/>
          <w:lang w:val="en-GB"/>
        </w:rPr>
        <w:t>w</w:t>
      </w:r>
      <w:r w:rsidRPr="00A00013">
        <w:rPr>
          <w:spacing w:val="22"/>
          <w:sz w:val="20"/>
          <w:szCs w:val="20"/>
          <w:lang w:val="en-GB"/>
        </w:rPr>
        <w:t xml:space="preserve"> </w:t>
      </w:r>
      <w:r w:rsidRPr="00A00013">
        <w:rPr>
          <w:spacing w:val="3"/>
          <w:sz w:val="20"/>
          <w:szCs w:val="20"/>
          <w:lang w:val="en-GB"/>
        </w:rPr>
        <w:t>c</w:t>
      </w:r>
      <w:r w:rsidRPr="00A00013">
        <w:rPr>
          <w:sz w:val="20"/>
          <w:szCs w:val="20"/>
          <w:lang w:val="en-GB"/>
        </w:rPr>
        <w:t>ha</w:t>
      </w:r>
      <w:r w:rsidRPr="00A00013">
        <w:rPr>
          <w:spacing w:val="1"/>
          <w:sz w:val="20"/>
          <w:szCs w:val="20"/>
          <w:lang w:val="en-GB"/>
        </w:rPr>
        <w:t>r</w:t>
      </w:r>
      <w:r w:rsidRPr="00A00013">
        <w:rPr>
          <w:sz w:val="20"/>
          <w:szCs w:val="20"/>
          <w:lang w:val="en-GB"/>
        </w:rPr>
        <w:t>a</w:t>
      </w:r>
      <w:r w:rsidRPr="00A00013">
        <w:rPr>
          <w:spacing w:val="1"/>
          <w:sz w:val="20"/>
          <w:szCs w:val="20"/>
          <w:lang w:val="en-GB"/>
        </w:rPr>
        <w:t>c</w:t>
      </w:r>
      <w:r w:rsidRPr="00A00013">
        <w:rPr>
          <w:sz w:val="20"/>
          <w:szCs w:val="20"/>
          <w:lang w:val="en-GB"/>
        </w:rPr>
        <w:t>te</w:t>
      </w:r>
      <w:r w:rsidRPr="00A00013">
        <w:rPr>
          <w:spacing w:val="1"/>
          <w:sz w:val="20"/>
          <w:szCs w:val="20"/>
          <w:lang w:val="en-GB"/>
        </w:rPr>
        <w:t>r</w:t>
      </w:r>
      <w:r w:rsidRPr="00A00013">
        <w:rPr>
          <w:sz w:val="20"/>
          <w:szCs w:val="20"/>
          <w:lang w:val="en-GB"/>
        </w:rPr>
        <w:t>s</w:t>
      </w:r>
      <w:r w:rsidRPr="00A00013">
        <w:rPr>
          <w:spacing w:val="18"/>
          <w:sz w:val="20"/>
          <w:szCs w:val="20"/>
          <w:lang w:val="en-GB"/>
        </w:rPr>
        <w:t xml:space="preserve"> </w:t>
      </w:r>
      <w:r w:rsidRPr="00A00013">
        <w:rPr>
          <w:sz w:val="20"/>
          <w:szCs w:val="20"/>
          <w:lang w:val="en-GB"/>
        </w:rPr>
        <w:t>and</w:t>
      </w:r>
      <w:r w:rsidRPr="00A00013">
        <w:rPr>
          <w:spacing w:val="25"/>
          <w:sz w:val="20"/>
          <w:szCs w:val="20"/>
          <w:lang w:val="en-GB"/>
        </w:rPr>
        <w:t xml:space="preserve"> </w:t>
      </w:r>
      <w:r w:rsidRPr="00A00013">
        <w:rPr>
          <w:spacing w:val="2"/>
          <w:sz w:val="20"/>
          <w:szCs w:val="20"/>
          <w:lang w:val="en-GB"/>
        </w:rPr>
        <w:t>s</w:t>
      </w:r>
      <w:r w:rsidRPr="00A00013">
        <w:rPr>
          <w:sz w:val="20"/>
          <w:szCs w:val="20"/>
          <w:lang w:val="en-GB"/>
        </w:rPr>
        <w:t>trike</w:t>
      </w:r>
      <w:r w:rsidRPr="00A00013">
        <w:rPr>
          <w:spacing w:val="2"/>
          <w:sz w:val="20"/>
          <w:szCs w:val="20"/>
          <w:lang w:val="en-GB"/>
        </w:rPr>
        <w:t>t</w:t>
      </w:r>
      <w:r w:rsidRPr="00A00013">
        <w:rPr>
          <w:sz w:val="20"/>
          <w:szCs w:val="20"/>
          <w:lang w:val="en-GB"/>
        </w:rPr>
        <w:t>h</w:t>
      </w:r>
      <w:r w:rsidRPr="00A00013">
        <w:rPr>
          <w:spacing w:val="1"/>
          <w:sz w:val="20"/>
          <w:szCs w:val="20"/>
          <w:lang w:val="en-GB"/>
        </w:rPr>
        <w:t>rou</w:t>
      </w:r>
      <w:r w:rsidRPr="00A00013">
        <w:rPr>
          <w:sz w:val="20"/>
          <w:szCs w:val="20"/>
          <w:lang w:val="en-GB"/>
        </w:rPr>
        <w:t>gh</w:t>
      </w:r>
      <w:r w:rsidRPr="00A00013">
        <w:rPr>
          <w:spacing w:val="17"/>
          <w:sz w:val="20"/>
          <w:szCs w:val="20"/>
          <w:lang w:val="en-GB"/>
        </w:rPr>
        <w:t xml:space="preserve"> </w:t>
      </w:r>
      <w:r w:rsidRPr="00A00013">
        <w:rPr>
          <w:sz w:val="20"/>
          <w:szCs w:val="20"/>
          <w:lang w:val="en-GB"/>
        </w:rPr>
        <w:t>f</w:t>
      </w:r>
      <w:r w:rsidRPr="00A00013">
        <w:rPr>
          <w:spacing w:val="1"/>
          <w:sz w:val="20"/>
          <w:szCs w:val="20"/>
          <w:lang w:val="en-GB"/>
        </w:rPr>
        <w:t>o</w:t>
      </w:r>
      <w:r w:rsidRPr="00A00013">
        <w:rPr>
          <w:sz w:val="20"/>
          <w:szCs w:val="20"/>
          <w:lang w:val="en-GB"/>
        </w:rPr>
        <w:t>r</w:t>
      </w:r>
      <w:r w:rsidRPr="00A00013">
        <w:rPr>
          <w:spacing w:val="25"/>
          <w:sz w:val="20"/>
          <w:szCs w:val="20"/>
          <w:lang w:val="en-GB"/>
        </w:rPr>
        <w:t xml:space="preserve"> </w:t>
      </w:r>
      <w:r w:rsidRPr="00A00013">
        <w:rPr>
          <w:spacing w:val="1"/>
          <w:sz w:val="20"/>
          <w:szCs w:val="20"/>
          <w:lang w:val="en-GB"/>
        </w:rPr>
        <w:t>d</w:t>
      </w:r>
      <w:r w:rsidRPr="00A00013">
        <w:rPr>
          <w:sz w:val="20"/>
          <w:szCs w:val="20"/>
          <w:lang w:val="en-GB"/>
        </w:rPr>
        <w:t>elet</w:t>
      </w:r>
      <w:r w:rsidRPr="00A00013">
        <w:rPr>
          <w:spacing w:val="3"/>
          <w:sz w:val="20"/>
          <w:szCs w:val="20"/>
          <w:lang w:val="en-GB"/>
        </w:rPr>
        <w:t>e</w:t>
      </w:r>
      <w:r w:rsidRPr="00A00013">
        <w:rPr>
          <w:sz w:val="20"/>
          <w:szCs w:val="20"/>
          <w:lang w:val="en-GB"/>
        </w:rPr>
        <w:t>d cha</w:t>
      </w:r>
      <w:r w:rsidRPr="00A00013">
        <w:rPr>
          <w:spacing w:val="1"/>
          <w:sz w:val="20"/>
          <w:szCs w:val="20"/>
          <w:lang w:val="en-GB"/>
        </w:rPr>
        <w:t>r</w:t>
      </w:r>
      <w:r w:rsidRPr="00A00013">
        <w:rPr>
          <w:sz w:val="20"/>
          <w:szCs w:val="20"/>
          <w:lang w:val="en-GB"/>
        </w:rPr>
        <w:t>a</w:t>
      </w:r>
      <w:r w:rsidRPr="00A00013">
        <w:rPr>
          <w:spacing w:val="1"/>
          <w:sz w:val="20"/>
          <w:szCs w:val="20"/>
          <w:lang w:val="en-GB"/>
        </w:rPr>
        <w:t>c</w:t>
      </w:r>
      <w:r w:rsidRPr="00A00013">
        <w:rPr>
          <w:sz w:val="20"/>
          <w:szCs w:val="20"/>
          <w:lang w:val="en-GB"/>
        </w:rPr>
        <w:t>te</w:t>
      </w:r>
      <w:r w:rsidRPr="00A00013">
        <w:rPr>
          <w:spacing w:val="1"/>
          <w:sz w:val="20"/>
          <w:szCs w:val="20"/>
          <w:lang w:val="en-GB"/>
        </w:rPr>
        <w:t>r</w:t>
      </w:r>
      <w:r w:rsidRPr="00A00013">
        <w:rPr>
          <w:sz w:val="20"/>
          <w:szCs w:val="20"/>
          <w:lang w:val="en-GB"/>
        </w:rPr>
        <w:t>s.</w:t>
      </w:r>
    </w:p>
    <w:p w:rsidR="00D11958" w:rsidRPr="00A00013" w:rsidRDefault="00D11958">
      <w:pPr>
        <w:spacing w:line="200" w:lineRule="exact"/>
        <w:rPr>
          <w:sz w:val="20"/>
          <w:szCs w:val="20"/>
          <w:lang w:val="en-GB"/>
        </w:rPr>
      </w:pPr>
    </w:p>
    <w:p w:rsidR="00D11958" w:rsidRPr="00A00013" w:rsidRDefault="00A00013" w:rsidP="00D86D71">
      <w:pPr>
        <w:tabs>
          <w:tab w:val="left" w:pos="709"/>
        </w:tabs>
        <w:spacing w:before="24"/>
        <w:ind w:right="6840"/>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pPr>
        <w:spacing w:before="7" w:line="240" w:lineRule="exact"/>
        <w:rPr>
          <w:lang w:val="en-GB"/>
        </w:rPr>
      </w:pPr>
    </w:p>
    <w:p w:rsidR="00EA799E" w:rsidRDefault="00E87294" w:rsidP="00D86D71">
      <w:pPr>
        <w:spacing w:line="249" w:lineRule="auto"/>
        <w:ind w:left="1843" w:right="1161" w:hanging="1135"/>
        <w:jc w:val="both"/>
        <w:rPr>
          <w:sz w:val="20"/>
          <w:szCs w:val="20"/>
          <w:lang w:val="en-GB"/>
        </w:rPr>
      </w:pPr>
      <w:r>
        <w:rPr>
          <w:sz w:val="20"/>
          <w:szCs w:val="20"/>
          <w:lang w:val="en-GB"/>
        </w:rPr>
        <w:t>P</w:t>
      </w:r>
      <w:r w:rsidR="00EA799E">
        <w:rPr>
          <w:sz w:val="20"/>
          <w:szCs w:val="20"/>
          <w:lang w:val="en-GB"/>
        </w:rPr>
        <w:t>aragraph 1</w:t>
      </w:r>
      <w:r>
        <w:rPr>
          <w:sz w:val="20"/>
          <w:szCs w:val="20"/>
          <w:lang w:val="en-GB"/>
        </w:rPr>
        <w:t>6.5.8.1.</w:t>
      </w:r>
      <w:r w:rsidR="00EA799E">
        <w:rPr>
          <w:sz w:val="20"/>
          <w:szCs w:val="20"/>
          <w:lang w:val="en-GB"/>
        </w:rPr>
        <w:t>,</w:t>
      </w:r>
      <w:r>
        <w:rPr>
          <w:sz w:val="20"/>
          <w:szCs w:val="20"/>
          <w:lang w:val="en-GB"/>
        </w:rPr>
        <w:t xml:space="preserve"> </w:t>
      </w:r>
      <w:r w:rsidRPr="00E87294">
        <w:rPr>
          <w:i/>
          <w:sz w:val="20"/>
          <w:szCs w:val="20"/>
          <w:lang w:val="en-GB"/>
        </w:rPr>
        <w:t>amend</w:t>
      </w:r>
      <w:r>
        <w:rPr>
          <w:sz w:val="20"/>
          <w:szCs w:val="20"/>
          <w:lang w:val="en-GB"/>
        </w:rPr>
        <w:t xml:space="preserve"> </w:t>
      </w:r>
      <w:r w:rsidR="00EA799E">
        <w:rPr>
          <w:sz w:val="20"/>
          <w:szCs w:val="20"/>
          <w:lang w:val="en-GB"/>
        </w:rPr>
        <w:t>to read:</w:t>
      </w:r>
    </w:p>
    <w:p w:rsidR="00EA799E" w:rsidRDefault="00EA799E" w:rsidP="00D86D71">
      <w:pPr>
        <w:spacing w:line="249" w:lineRule="auto"/>
        <w:ind w:left="1843" w:right="1161" w:hanging="1135"/>
        <w:jc w:val="both"/>
        <w:rPr>
          <w:sz w:val="20"/>
          <w:szCs w:val="20"/>
          <w:lang w:val="en-GB"/>
        </w:rPr>
      </w:pPr>
    </w:p>
    <w:p w:rsidR="00E87294" w:rsidRPr="00E87294" w:rsidRDefault="00D86D71" w:rsidP="00D86D71">
      <w:pPr>
        <w:spacing w:line="249" w:lineRule="auto"/>
        <w:ind w:left="1843" w:right="1161" w:hanging="1135"/>
        <w:jc w:val="both"/>
        <w:rPr>
          <w:i/>
          <w:sz w:val="20"/>
          <w:szCs w:val="20"/>
          <w:lang w:val="en-US"/>
        </w:rPr>
      </w:pPr>
      <w:r>
        <w:rPr>
          <w:i/>
          <w:sz w:val="20"/>
          <w:szCs w:val="20"/>
          <w:lang w:val="en-US"/>
        </w:rPr>
        <w:t>"</w:t>
      </w:r>
      <w:r w:rsidR="00E87294" w:rsidRPr="00E87294">
        <w:rPr>
          <w:i/>
          <w:sz w:val="20"/>
          <w:szCs w:val="20"/>
          <w:lang w:val="en-US"/>
        </w:rPr>
        <w:t xml:space="preserve">6.15.8. </w:t>
      </w:r>
      <w:r w:rsidR="00E87294" w:rsidRPr="00E87294">
        <w:rPr>
          <w:i/>
          <w:sz w:val="20"/>
          <w:szCs w:val="20"/>
          <w:lang w:val="en-US"/>
        </w:rPr>
        <w:tab/>
        <w:t>Provisions Regarding the Pressure Relief Valve (Discharge Valve)</w:t>
      </w:r>
    </w:p>
    <w:p w:rsidR="00E87294" w:rsidRPr="00E87294" w:rsidRDefault="00E87294" w:rsidP="00D86D71">
      <w:pPr>
        <w:spacing w:line="249" w:lineRule="auto"/>
        <w:ind w:left="1843" w:right="1161" w:hanging="1135"/>
        <w:jc w:val="both"/>
        <w:rPr>
          <w:i/>
          <w:sz w:val="20"/>
          <w:szCs w:val="20"/>
          <w:lang w:val="en-US"/>
        </w:rPr>
      </w:pPr>
    </w:p>
    <w:p w:rsidR="00E87294" w:rsidRDefault="00E87294" w:rsidP="00D86D71">
      <w:pPr>
        <w:spacing w:line="249" w:lineRule="auto"/>
        <w:ind w:left="1843" w:right="1161" w:hanging="1135"/>
        <w:jc w:val="both"/>
        <w:rPr>
          <w:b/>
          <w:sz w:val="20"/>
          <w:szCs w:val="20"/>
          <w:lang w:val="en-US"/>
        </w:rPr>
      </w:pPr>
      <w:r w:rsidRPr="00E87294">
        <w:rPr>
          <w:sz w:val="20"/>
          <w:szCs w:val="20"/>
          <w:lang w:val="en-US"/>
        </w:rPr>
        <w:t xml:space="preserve">6.15.8.1. </w:t>
      </w:r>
      <w:r w:rsidRPr="00E87294">
        <w:rPr>
          <w:sz w:val="20"/>
          <w:szCs w:val="20"/>
          <w:lang w:val="en-US"/>
        </w:rPr>
        <w:tab/>
        <w:t>The pressure relief valve shall be mounted inside the container or on the container, in the area where the fuel is in gaseous state.</w:t>
      </w:r>
      <w:r w:rsidRPr="00E87294">
        <w:rPr>
          <w:b/>
          <w:sz w:val="20"/>
          <w:szCs w:val="20"/>
          <w:lang w:val="en-US"/>
        </w:rPr>
        <w:t xml:space="preserve"> </w:t>
      </w:r>
      <w:r w:rsidRPr="00E87294">
        <w:rPr>
          <w:b/>
          <w:bCs/>
          <w:sz w:val="20"/>
          <w:szCs w:val="20"/>
          <w:lang w:val="en-US"/>
        </w:rPr>
        <w:t>Any components connecting the pressure relief valve with the gaseous phase shall be made of metallic material.</w:t>
      </w:r>
      <w:r w:rsidRPr="00E87294">
        <w:rPr>
          <w:b/>
          <w:sz w:val="20"/>
          <w:szCs w:val="20"/>
          <w:lang w:val="en-US"/>
        </w:rPr>
        <w:t xml:space="preserve"> </w:t>
      </w:r>
      <w:r w:rsidR="00D86D71">
        <w:rPr>
          <w:b/>
          <w:sz w:val="20"/>
          <w:szCs w:val="20"/>
          <w:lang w:val="en-US"/>
        </w:rPr>
        <w:t>"</w:t>
      </w:r>
    </w:p>
    <w:p w:rsidR="00E87294" w:rsidRDefault="00E87294" w:rsidP="00D86D71">
      <w:pPr>
        <w:spacing w:line="249" w:lineRule="auto"/>
        <w:ind w:left="1843" w:right="1161" w:hanging="1135"/>
        <w:jc w:val="both"/>
        <w:rPr>
          <w:sz w:val="20"/>
          <w:szCs w:val="20"/>
          <w:lang w:val="en-GB"/>
        </w:rPr>
      </w:pPr>
    </w:p>
    <w:p w:rsidR="00E87294" w:rsidRDefault="00E87294" w:rsidP="00D86D71">
      <w:pPr>
        <w:spacing w:line="249" w:lineRule="auto"/>
        <w:ind w:left="1843" w:right="1161" w:hanging="1135"/>
        <w:jc w:val="both"/>
        <w:rPr>
          <w:sz w:val="20"/>
          <w:szCs w:val="20"/>
          <w:lang w:val="en-GB"/>
        </w:rPr>
      </w:pPr>
      <w:r>
        <w:rPr>
          <w:sz w:val="20"/>
          <w:szCs w:val="20"/>
          <w:lang w:val="en-GB"/>
        </w:rPr>
        <w:t xml:space="preserve">Paragraph 6.15.8.7., </w:t>
      </w:r>
      <w:r w:rsidRPr="00E87294">
        <w:rPr>
          <w:i/>
          <w:sz w:val="20"/>
          <w:szCs w:val="20"/>
          <w:lang w:val="en-GB"/>
        </w:rPr>
        <w:t>amend</w:t>
      </w:r>
      <w:r>
        <w:rPr>
          <w:sz w:val="20"/>
          <w:szCs w:val="20"/>
          <w:lang w:val="en-GB"/>
        </w:rPr>
        <w:t xml:space="preserve"> to read:</w:t>
      </w:r>
    </w:p>
    <w:p w:rsidR="00E87294" w:rsidRPr="00E87294" w:rsidRDefault="00E87294" w:rsidP="00D86D71">
      <w:pPr>
        <w:spacing w:line="249" w:lineRule="auto"/>
        <w:ind w:left="1843" w:right="1161" w:hanging="1135"/>
        <w:jc w:val="both"/>
        <w:rPr>
          <w:b/>
          <w:sz w:val="20"/>
          <w:szCs w:val="20"/>
          <w:lang w:val="en-US"/>
        </w:rPr>
      </w:pPr>
    </w:p>
    <w:p w:rsidR="00E87294" w:rsidRPr="00E87294" w:rsidRDefault="00D86D71" w:rsidP="00D86D71">
      <w:pPr>
        <w:spacing w:line="249" w:lineRule="auto"/>
        <w:ind w:left="1843" w:right="1161" w:hanging="1135"/>
        <w:jc w:val="both"/>
        <w:rPr>
          <w:b/>
          <w:sz w:val="20"/>
          <w:szCs w:val="20"/>
          <w:lang w:val="en-US"/>
        </w:rPr>
      </w:pPr>
      <w:r>
        <w:rPr>
          <w:sz w:val="20"/>
          <w:szCs w:val="20"/>
          <w:lang w:val="en-US"/>
        </w:rPr>
        <w:t>"</w:t>
      </w:r>
      <w:r w:rsidR="00E87294" w:rsidRPr="00E87294">
        <w:rPr>
          <w:sz w:val="20"/>
          <w:szCs w:val="20"/>
          <w:lang w:val="en-US"/>
        </w:rPr>
        <w:t xml:space="preserve">6.15.8.7. </w:t>
      </w:r>
      <w:r w:rsidR="00E87294" w:rsidRPr="00E87294">
        <w:rPr>
          <w:sz w:val="20"/>
          <w:szCs w:val="20"/>
          <w:lang w:val="en-US"/>
        </w:rPr>
        <w:tab/>
        <w:t>The pressure relief device shall be mounted on the container in the gaseous zone</w:t>
      </w:r>
      <w:r w:rsidR="00E87294" w:rsidRPr="00E87294">
        <w:rPr>
          <w:b/>
          <w:sz w:val="20"/>
          <w:szCs w:val="20"/>
          <w:lang w:val="en-US"/>
        </w:rPr>
        <w:t xml:space="preserve">. </w:t>
      </w:r>
      <w:r w:rsidR="00E87294" w:rsidRPr="00E87294">
        <w:rPr>
          <w:b/>
          <w:bCs/>
          <w:sz w:val="20"/>
          <w:szCs w:val="20"/>
          <w:lang w:val="en-US"/>
        </w:rPr>
        <w:t>Any components connecting the pressure relief device with the gaseous phase shall be made of metallic material.</w:t>
      </w:r>
      <w:r w:rsidR="00E87294" w:rsidRPr="00E87294">
        <w:rPr>
          <w:b/>
          <w:sz w:val="20"/>
          <w:szCs w:val="20"/>
          <w:lang w:val="en-US"/>
        </w:rPr>
        <w:t xml:space="preserve"> </w:t>
      </w:r>
      <w:r>
        <w:rPr>
          <w:b/>
          <w:sz w:val="20"/>
          <w:szCs w:val="20"/>
          <w:lang w:val="en-US"/>
        </w:rPr>
        <w:t>"</w:t>
      </w:r>
    </w:p>
    <w:p w:rsidR="00EA799E" w:rsidRPr="00E87294" w:rsidRDefault="00EA799E" w:rsidP="00D86D71">
      <w:pPr>
        <w:spacing w:line="249" w:lineRule="auto"/>
        <w:ind w:left="1843" w:right="1161" w:hanging="1135"/>
        <w:jc w:val="both"/>
        <w:rPr>
          <w:b/>
          <w:sz w:val="20"/>
          <w:szCs w:val="20"/>
          <w:lang w:val="en-US"/>
        </w:rPr>
      </w:pPr>
    </w:p>
    <w:p w:rsidR="00D11958" w:rsidRPr="003E0D60" w:rsidRDefault="00D11958">
      <w:pPr>
        <w:spacing w:before="72" w:line="203" w:lineRule="exact"/>
        <w:ind w:right="91"/>
        <w:jc w:val="right"/>
        <w:rPr>
          <w:b/>
          <w:bCs/>
          <w:spacing w:val="1"/>
          <w:sz w:val="18"/>
          <w:szCs w:val="18"/>
          <w:highlight w:val="yellow"/>
          <w:lang w:val="en-US"/>
        </w:rPr>
      </w:pPr>
    </w:p>
    <w:p w:rsidR="00D11958" w:rsidRPr="00A00013" w:rsidRDefault="00A00013" w:rsidP="00D86D71">
      <w:pPr>
        <w:tabs>
          <w:tab w:val="left" w:pos="680"/>
          <w:tab w:val="left" w:pos="8647"/>
        </w:tabs>
        <w:spacing w:before="24"/>
        <w:ind w:left="117"/>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rsidP="00D86D71">
      <w:pPr>
        <w:tabs>
          <w:tab w:val="left" w:pos="8647"/>
        </w:tabs>
        <w:spacing w:line="226" w:lineRule="exact"/>
        <w:ind w:left="686" w:right="1813"/>
        <w:jc w:val="both"/>
        <w:rPr>
          <w:spacing w:val="1"/>
          <w:sz w:val="20"/>
          <w:szCs w:val="20"/>
          <w:lang w:val="en-GB"/>
        </w:rPr>
      </w:pPr>
    </w:p>
    <w:p w:rsidR="006D128F" w:rsidRDefault="00B15F52" w:rsidP="00D86D71">
      <w:pPr>
        <w:tabs>
          <w:tab w:val="left" w:pos="8647"/>
        </w:tabs>
        <w:spacing w:line="226" w:lineRule="exact"/>
        <w:ind w:left="686" w:right="1019"/>
        <w:jc w:val="both"/>
        <w:rPr>
          <w:sz w:val="20"/>
          <w:szCs w:val="20"/>
          <w:lang w:val="en-GB"/>
        </w:rPr>
      </w:pPr>
      <w:r>
        <w:rPr>
          <w:sz w:val="20"/>
          <w:szCs w:val="20"/>
          <w:lang w:val="en-GB"/>
        </w:rPr>
        <w:t xml:space="preserve">With this Informal Document the expert from Germany wants to address the necessity to improve the requirements of the regulation and to invite other contracting parties to share their experience, aiming </w:t>
      </w:r>
      <w:r w:rsidR="00127EC6">
        <w:rPr>
          <w:sz w:val="20"/>
          <w:szCs w:val="20"/>
          <w:lang w:val="en-GB"/>
        </w:rPr>
        <w:t>at</w:t>
      </w:r>
      <w:r>
        <w:rPr>
          <w:sz w:val="20"/>
          <w:szCs w:val="20"/>
          <w:lang w:val="en-GB"/>
        </w:rPr>
        <w:t xml:space="preserve"> preparing a working document for the next GRSG session. </w:t>
      </w:r>
    </w:p>
    <w:p w:rsidR="006D128F" w:rsidRDefault="006D128F" w:rsidP="00D86D71">
      <w:pPr>
        <w:tabs>
          <w:tab w:val="left" w:pos="8647"/>
        </w:tabs>
        <w:spacing w:line="226" w:lineRule="exact"/>
        <w:ind w:left="686" w:right="1019"/>
        <w:jc w:val="both"/>
        <w:rPr>
          <w:sz w:val="20"/>
          <w:szCs w:val="20"/>
          <w:lang w:val="en-GB"/>
        </w:rPr>
      </w:pPr>
    </w:p>
    <w:p w:rsidR="00E87294" w:rsidRDefault="00E87294" w:rsidP="00D86D71">
      <w:pPr>
        <w:tabs>
          <w:tab w:val="left" w:pos="8647"/>
        </w:tabs>
        <w:spacing w:line="226" w:lineRule="exact"/>
        <w:ind w:left="686" w:right="1019"/>
        <w:jc w:val="both"/>
        <w:rPr>
          <w:sz w:val="20"/>
          <w:szCs w:val="20"/>
          <w:lang w:val="en-GB"/>
        </w:rPr>
      </w:pPr>
      <w:r>
        <w:rPr>
          <w:sz w:val="20"/>
          <w:szCs w:val="20"/>
          <w:lang w:val="en-GB"/>
        </w:rPr>
        <w:t>In 20</w:t>
      </w:r>
      <w:r w:rsidR="00221EE6">
        <w:rPr>
          <w:sz w:val="20"/>
          <w:szCs w:val="20"/>
          <w:lang w:val="en-GB"/>
        </w:rPr>
        <w:t>14</w:t>
      </w:r>
      <w:r>
        <w:rPr>
          <w:sz w:val="20"/>
          <w:szCs w:val="20"/>
          <w:lang w:val="en-GB"/>
        </w:rPr>
        <w:t xml:space="preserve"> an incident happened in Germany where a LPG-vehicle was set on fire as a result of an accident.</w:t>
      </w:r>
      <w:r w:rsidR="003E0D60">
        <w:rPr>
          <w:sz w:val="20"/>
          <w:szCs w:val="20"/>
          <w:lang w:val="en-GB"/>
        </w:rPr>
        <w:t xml:space="preserve"> During the rescue operations,</w:t>
      </w:r>
      <w:r w:rsidR="00041431">
        <w:rPr>
          <w:sz w:val="20"/>
          <w:szCs w:val="20"/>
          <w:lang w:val="en-GB"/>
        </w:rPr>
        <w:t xml:space="preserve"> </w:t>
      </w:r>
      <w:r>
        <w:rPr>
          <w:sz w:val="20"/>
          <w:szCs w:val="20"/>
          <w:lang w:val="en-GB"/>
        </w:rPr>
        <w:t xml:space="preserve">the LPG-container exploded, resulting in </w:t>
      </w:r>
      <w:r w:rsidR="003E0D60">
        <w:rPr>
          <w:sz w:val="20"/>
          <w:szCs w:val="20"/>
          <w:lang w:val="en-GB"/>
        </w:rPr>
        <w:t xml:space="preserve">10 partial serious </w:t>
      </w:r>
      <w:r w:rsidR="00041431">
        <w:rPr>
          <w:sz w:val="20"/>
          <w:szCs w:val="20"/>
          <w:lang w:val="en-GB"/>
        </w:rPr>
        <w:t>injured fire</w:t>
      </w:r>
      <w:r w:rsidR="00D86D71">
        <w:rPr>
          <w:sz w:val="20"/>
          <w:szCs w:val="20"/>
          <w:lang w:val="en-GB"/>
        </w:rPr>
        <w:t xml:space="preserve"> </w:t>
      </w:r>
      <w:proofErr w:type="spellStart"/>
      <w:r>
        <w:rPr>
          <w:sz w:val="20"/>
          <w:szCs w:val="20"/>
          <w:lang w:val="en-GB"/>
        </w:rPr>
        <w:t>figthers</w:t>
      </w:r>
      <w:proofErr w:type="spellEnd"/>
      <w:r>
        <w:rPr>
          <w:sz w:val="20"/>
          <w:szCs w:val="20"/>
          <w:lang w:val="en-GB"/>
        </w:rPr>
        <w:t>.</w:t>
      </w:r>
    </w:p>
    <w:p w:rsidR="00E87294" w:rsidRDefault="00E87294" w:rsidP="00D86D71">
      <w:pPr>
        <w:tabs>
          <w:tab w:val="left" w:pos="8647"/>
        </w:tabs>
        <w:spacing w:line="226" w:lineRule="exact"/>
        <w:ind w:left="686" w:right="1019"/>
        <w:jc w:val="both"/>
        <w:rPr>
          <w:sz w:val="20"/>
          <w:szCs w:val="20"/>
          <w:lang w:val="en-GB"/>
        </w:rPr>
      </w:pPr>
      <w:r>
        <w:rPr>
          <w:sz w:val="20"/>
          <w:szCs w:val="20"/>
          <w:lang w:val="en-GB"/>
        </w:rPr>
        <w:t xml:space="preserve">The analysis of the incident, triggered by </w:t>
      </w:r>
      <w:r w:rsidR="006D128F">
        <w:rPr>
          <w:sz w:val="20"/>
          <w:szCs w:val="20"/>
          <w:lang w:val="en-GB"/>
        </w:rPr>
        <w:t>the German Type Approval Authority (</w:t>
      </w:r>
      <w:r>
        <w:rPr>
          <w:sz w:val="20"/>
          <w:szCs w:val="20"/>
          <w:lang w:val="en-GB"/>
        </w:rPr>
        <w:t>KBA</w:t>
      </w:r>
      <w:r w:rsidR="006D128F">
        <w:rPr>
          <w:sz w:val="20"/>
          <w:szCs w:val="20"/>
          <w:lang w:val="en-GB"/>
        </w:rPr>
        <w:t>)</w:t>
      </w:r>
      <w:r>
        <w:rPr>
          <w:sz w:val="20"/>
          <w:szCs w:val="20"/>
          <w:lang w:val="en-GB"/>
        </w:rPr>
        <w:t>, came</w:t>
      </w:r>
      <w:r w:rsidR="00CD4C63">
        <w:rPr>
          <w:sz w:val="20"/>
          <w:szCs w:val="20"/>
          <w:lang w:val="en-GB"/>
        </w:rPr>
        <w:t xml:space="preserve"> to</w:t>
      </w:r>
      <w:r>
        <w:rPr>
          <w:sz w:val="20"/>
          <w:szCs w:val="20"/>
          <w:lang w:val="en-GB"/>
        </w:rPr>
        <w:t xml:space="preserve"> the conclusion that the hose connecting the PRV/PRD of the multivalve to the gaseous phase</w:t>
      </w:r>
      <w:r w:rsidR="0046267E">
        <w:rPr>
          <w:sz w:val="20"/>
          <w:szCs w:val="20"/>
          <w:lang w:val="en-GB"/>
        </w:rPr>
        <w:t xml:space="preserve"> was fallen apart an</w:t>
      </w:r>
      <w:r w:rsidR="00CD4C63">
        <w:rPr>
          <w:sz w:val="20"/>
          <w:szCs w:val="20"/>
          <w:lang w:val="en-GB"/>
        </w:rPr>
        <w:t>d</w:t>
      </w:r>
      <w:r w:rsidR="0046267E">
        <w:rPr>
          <w:sz w:val="20"/>
          <w:szCs w:val="20"/>
          <w:lang w:val="en-GB"/>
        </w:rPr>
        <w:t xml:space="preserve"> hose-</w:t>
      </w:r>
      <w:r w:rsidR="00550A4A">
        <w:rPr>
          <w:sz w:val="20"/>
          <w:szCs w:val="20"/>
          <w:lang w:val="en-GB"/>
        </w:rPr>
        <w:t>fragments</w:t>
      </w:r>
      <w:r w:rsidR="0046267E">
        <w:rPr>
          <w:sz w:val="20"/>
          <w:szCs w:val="20"/>
          <w:lang w:val="en-GB"/>
        </w:rPr>
        <w:t xml:space="preserve"> blocked both PRV and PRD, so pressure could n</w:t>
      </w:r>
      <w:r w:rsidR="00CD4C63">
        <w:rPr>
          <w:sz w:val="20"/>
          <w:szCs w:val="20"/>
          <w:lang w:val="en-GB"/>
        </w:rPr>
        <w:t>ot</w:t>
      </w:r>
      <w:r w:rsidR="0046267E">
        <w:rPr>
          <w:sz w:val="20"/>
          <w:szCs w:val="20"/>
          <w:lang w:val="en-GB"/>
        </w:rPr>
        <w:t xml:space="preserve"> be reduced in time.</w:t>
      </w:r>
    </w:p>
    <w:p w:rsidR="0046267E" w:rsidRDefault="00CD4C63" w:rsidP="00D86D71">
      <w:pPr>
        <w:tabs>
          <w:tab w:val="left" w:pos="8647"/>
        </w:tabs>
        <w:spacing w:line="226" w:lineRule="exact"/>
        <w:ind w:left="686" w:right="1019"/>
        <w:jc w:val="both"/>
        <w:rPr>
          <w:sz w:val="20"/>
          <w:szCs w:val="20"/>
          <w:lang w:val="en-GB"/>
        </w:rPr>
      </w:pPr>
      <w:r>
        <w:rPr>
          <w:sz w:val="20"/>
          <w:szCs w:val="20"/>
          <w:lang w:val="en-GB"/>
        </w:rPr>
        <w:t>PRV and PRD were activated</w:t>
      </w:r>
      <w:r w:rsidR="0046267E">
        <w:rPr>
          <w:sz w:val="20"/>
          <w:szCs w:val="20"/>
          <w:lang w:val="en-GB"/>
        </w:rPr>
        <w:t xml:space="preserve">, but the </w:t>
      </w:r>
      <w:r w:rsidR="00550A4A">
        <w:rPr>
          <w:sz w:val="20"/>
          <w:szCs w:val="20"/>
          <w:lang w:val="en-GB"/>
        </w:rPr>
        <w:t xml:space="preserve">fragments </w:t>
      </w:r>
      <w:r w:rsidR="0046267E">
        <w:rPr>
          <w:sz w:val="20"/>
          <w:szCs w:val="20"/>
          <w:lang w:val="en-GB"/>
        </w:rPr>
        <w:t xml:space="preserve">reduced the effective section </w:t>
      </w:r>
      <w:r>
        <w:rPr>
          <w:sz w:val="20"/>
          <w:szCs w:val="20"/>
          <w:lang w:val="en-GB"/>
        </w:rPr>
        <w:t xml:space="preserve">of the relevant piping </w:t>
      </w:r>
      <w:r w:rsidR="0046267E">
        <w:rPr>
          <w:sz w:val="20"/>
          <w:szCs w:val="20"/>
          <w:lang w:val="en-GB"/>
        </w:rPr>
        <w:t>too much</w:t>
      </w:r>
      <w:r>
        <w:rPr>
          <w:sz w:val="20"/>
          <w:szCs w:val="20"/>
          <w:lang w:val="en-GB"/>
        </w:rPr>
        <w:t xml:space="preserve"> to release the pressure</w:t>
      </w:r>
      <w:r w:rsidR="0046267E">
        <w:rPr>
          <w:sz w:val="20"/>
          <w:szCs w:val="20"/>
          <w:lang w:val="en-GB"/>
        </w:rPr>
        <w:t>.</w:t>
      </w:r>
    </w:p>
    <w:p w:rsidR="00CD4C63" w:rsidRDefault="00CD4C63" w:rsidP="00D86D71">
      <w:pPr>
        <w:spacing w:line="226" w:lineRule="exact"/>
        <w:ind w:left="686" w:right="1019"/>
        <w:jc w:val="both"/>
        <w:rPr>
          <w:sz w:val="20"/>
          <w:szCs w:val="20"/>
          <w:lang w:val="en-GB"/>
        </w:rPr>
      </w:pPr>
    </w:p>
    <w:tbl>
      <w:tblPr>
        <w:tblStyle w:val="TableGrid"/>
        <w:tblW w:w="8820" w:type="dxa"/>
        <w:tblInd w:w="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8" w:space="0" w:color="363636"/>
          <w:insideV w:val="single" w:sz="8" w:space="0" w:color="363636"/>
        </w:tblBorders>
        <w:tblLook w:val="04A0" w:firstRow="1" w:lastRow="0" w:firstColumn="1" w:lastColumn="0" w:noHBand="0" w:noVBand="1"/>
      </w:tblPr>
      <w:tblGrid>
        <w:gridCol w:w="4320"/>
        <w:gridCol w:w="4500"/>
      </w:tblGrid>
      <w:tr w:rsidR="00221EE6" w:rsidRPr="00AA53EE" w:rsidTr="00221EE6">
        <w:trPr>
          <w:cantSplit/>
        </w:trPr>
        <w:tc>
          <w:tcPr>
            <w:tcW w:w="4320" w:type="dxa"/>
            <w:vMerge w:val="restart"/>
          </w:tcPr>
          <w:p w:rsidR="00221EE6" w:rsidRPr="005C2EC6" w:rsidRDefault="00221EE6" w:rsidP="00221EE6">
            <w:pPr>
              <w:rPr>
                <w:color w:val="auto"/>
                <w:lang w:val="en-GB"/>
              </w:rPr>
            </w:pPr>
            <w:r w:rsidRPr="009B509F">
              <w:rPr>
                <w:color w:val="auto"/>
                <w:sz w:val="20"/>
                <w:szCs w:val="20"/>
                <w:lang w:val="en-GB"/>
              </w:rPr>
              <w:lastRenderedPageBreak/>
              <w:t>This section shows the relevant part of the component with PRV, PRD and the hose connecting both with the gaseous phase</w:t>
            </w:r>
            <w:r w:rsidRPr="005C2EC6">
              <w:rPr>
                <w:color w:val="auto"/>
                <w:szCs w:val="20"/>
                <w:lang w:val="en-GB"/>
              </w:rPr>
              <w:t>:</w:t>
            </w:r>
          </w:p>
          <w:p w:rsidR="00221EE6" w:rsidRPr="00AA53EE" w:rsidRDefault="00221EE6" w:rsidP="00221EE6">
            <w:pPr>
              <w:rPr>
                <w:color w:val="auto"/>
              </w:rPr>
            </w:pPr>
            <w:r>
              <w:rPr>
                <w:noProof/>
                <w:lang w:val="en-GB" w:eastAsia="en-GB"/>
              </w:rPr>
              <w:drawing>
                <wp:inline distT="0" distB="0" distL="0" distR="0" wp14:anchorId="569DC0AE" wp14:editId="7CF5B97C">
                  <wp:extent cx="2547871" cy="3493523"/>
                  <wp:effectExtent l="19050" t="0" r="4829" b="0"/>
                  <wp:docPr id="2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550634" cy="3497312"/>
                          </a:xfrm>
                          <a:prstGeom prst="rect">
                            <a:avLst/>
                          </a:prstGeom>
                          <a:noFill/>
                          <a:ln w="9525">
                            <a:noFill/>
                            <a:miter lim="800000"/>
                            <a:headEnd/>
                            <a:tailEnd/>
                          </a:ln>
                        </pic:spPr>
                      </pic:pic>
                    </a:graphicData>
                  </a:graphic>
                </wp:inline>
              </w:drawing>
            </w:r>
          </w:p>
        </w:tc>
        <w:tc>
          <w:tcPr>
            <w:tcW w:w="4500" w:type="dxa"/>
          </w:tcPr>
          <w:p w:rsidR="00221EE6" w:rsidRPr="005C2EC6" w:rsidRDefault="00221EE6" w:rsidP="00221EE6">
            <w:pPr>
              <w:rPr>
                <w:color w:val="auto"/>
                <w:sz w:val="20"/>
                <w:szCs w:val="20"/>
                <w:lang w:val="en-GB"/>
              </w:rPr>
            </w:pPr>
            <w:r w:rsidRPr="005C2EC6">
              <w:rPr>
                <w:color w:val="auto"/>
                <w:sz w:val="20"/>
                <w:szCs w:val="20"/>
                <w:lang w:val="en-GB"/>
              </w:rPr>
              <w:t>View through PRD-port (direction of arrow) with rubber-fragment:</w:t>
            </w:r>
          </w:p>
          <w:p w:rsidR="00221EE6" w:rsidRPr="009B509F" w:rsidRDefault="00221EE6" w:rsidP="00221EE6">
            <w:pPr>
              <w:jc w:val="center"/>
              <w:rPr>
                <w:color w:val="auto"/>
              </w:rPr>
            </w:pPr>
            <w:r w:rsidRPr="009B509F">
              <w:rPr>
                <w:noProof/>
                <w:color w:val="auto"/>
                <w:lang w:val="en-GB" w:eastAsia="en-GB"/>
              </w:rPr>
              <w:drawing>
                <wp:inline distT="0" distB="0" distL="0" distR="0" wp14:anchorId="79D9C7EC" wp14:editId="32D7AEEF">
                  <wp:extent cx="2055495" cy="1806575"/>
                  <wp:effectExtent l="19050" t="0" r="1905" b="0"/>
                  <wp:docPr id="2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055495" cy="1806575"/>
                          </a:xfrm>
                          <a:prstGeom prst="rect">
                            <a:avLst/>
                          </a:prstGeom>
                          <a:noFill/>
                          <a:ln w="9525">
                            <a:noFill/>
                            <a:miter lim="800000"/>
                            <a:headEnd/>
                            <a:tailEnd/>
                          </a:ln>
                        </pic:spPr>
                      </pic:pic>
                    </a:graphicData>
                  </a:graphic>
                </wp:inline>
              </w:drawing>
            </w:r>
          </w:p>
        </w:tc>
      </w:tr>
      <w:tr w:rsidR="00221EE6" w:rsidRPr="00AA53EE" w:rsidTr="00221EE6">
        <w:trPr>
          <w:cantSplit/>
        </w:trPr>
        <w:tc>
          <w:tcPr>
            <w:tcW w:w="4320" w:type="dxa"/>
            <w:vMerge/>
          </w:tcPr>
          <w:p w:rsidR="00221EE6" w:rsidRDefault="00221EE6" w:rsidP="00221EE6"/>
        </w:tc>
        <w:tc>
          <w:tcPr>
            <w:tcW w:w="4500" w:type="dxa"/>
          </w:tcPr>
          <w:p w:rsidR="00221EE6" w:rsidRPr="005C2EC6" w:rsidRDefault="00221EE6" w:rsidP="00221EE6">
            <w:pPr>
              <w:rPr>
                <w:sz w:val="20"/>
                <w:szCs w:val="20"/>
                <w:lang w:val="en-GB"/>
              </w:rPr>
            </w:pPr>
            <w:r w:rsidRPr="005C2EC6">
              <w:rPr>
                <w:sz w:val="20"/>
                <w:szCs w:val="20"/>
                <w:lang w:val="en-GB"/>
              </w:rPr>
              <w:t xml:space="preserve">View </w:t>
            </w:r>
            <w:r w:rsidR="006D128F" w:rsidRPr="006D128F">
              <w:rPr>
                <w:sz w:val="20"/>
                <w:szCs w:val="20"/>
                <w:lang w:val="en-US"/>
              </w:rPr>
              <w:t>from connection piece from PRV</w:t>
            </w:r>
            <w:r w:rsidR="006D128F">
              <w:rPr>
                <w:sz w:val="20"/>
                <w:szCs w:val="20"/>
                <w:lang w:val="en-US"/>
              </w:rPr>
              <w:t>-side</w:t>
            </w:r>
            <w:r w:rsidRPr="005C2EC6">
              <w:rPr>
                <w:sz w:val="20"/>
                <w:szCs w:val="20"/>
                <w:lang w:val="en-GB"/>
              </w:rPr>
              <w:t xml:space="preserve"> </w:t>
            </w:r>
            <w:r w:rsidR="006D128F" w:rsidRPr="006D128F">
              <w:rPr>
                <w:sz w:val="20"/>
                <w:szCs w:val="20"/>
                <w:lang w:val="en-US"/>
              </w:rPr>
              <w:t>bl</w:t>
            </w:r>
            <w:r w:rsidR="006D128F">
              <w:rPr>
                <w:sz w:val="20"/>
                <w:szCs w:val="20"/>
                <w:lang w:val="en-US"/>
              </w:rPr>
              <w:t>ocked by hose</w:t>
            </w:r>
            <w:r w:rsidRPr="005C2EC6">
              <w:rPr>
                <w:sz w:val="20"/>
                <w:szCs w:val="20"/>
                <w:lang w:val="en-GB"/>
              </w:rPr>
              <w:t xml:space="preserve"> fragment:</w:t>
            </w:r>
          </w:p>
          <w:p w:rsidR="00221EE6" w:rsidRPr="009B509F" w:rsidRDefault="00221EE6" w:rsidP="00221EE6">
            <w:pPr>
              <w:jc w:val="center"/>
            </w:pPr>
            <w:r w:rsidRPr="009B509F">
              <w:rPr>
                <w:noProof/>
                <w:lang w:val="en-GB" w:eastAsia="en-GB"/>
              </w:rPr>
              <w:drawing>
                <wp:inline distT="0" distB="0" distL="0" distR="0" wp14:anchorId="175EC697" wp14:editId="29F55870">
                  <wp:extent cx="2075180" cy="1837055"/>
                  <wp:effectExtent l="19050" t="0" r="1270" b="0"/>
                  <wp:docPr id="2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075180" cy="1837055"/>
                          </a:xfrm>
                          <a:prstGeom prst="rect">
                            <a:avLst/>
                          </a:prstGeom>
                          <a:noFill/>
                          <a:ln w="9525">
                            <a:noFill/>
                            <a:miter lim="800000"/>
                            <a:headEnd/>
                            <a:tailEnd/>
                          </a:ln>
                        </pic:spPr>
                      </pic:pic>
                    </a:graphicData>
                  </a:graphic>
                </wp:inline>
              </w:drawing>
            </w:r>
          </w:p>
        </w:tc>
      </w:tr>
    </w:tbl>
    <w:p w:rsidR="00CD4C63" w:rsidRDefault="00CD4C63" w:rsidP="003559BF">
      <w:pPr>
        <w:spacing w:line="226" w:lineRule="exact"/>
        <w:ind w:left="686" w:right="1813"/>
        <w:jc w:val="both"/>
        <w:rPr>
          <w:sz w:val="20"/>
          <w:szCs w:val="20"/>
          <w:lang w:val="en-GB"/>
        </w:rPr>
      </w:pPr>
    </w:p>
    <w:p w:rsidR="0046267E" w:rsidRDefault="0046267E" w:rsidP="00D86D71">
      <w:pPr>
        <w:spacing w:line="226" w:lineRule="exact"/>
        <w:ind w:left="686" w:right="1161"/>
        <w:jc w:val="both"/>
        <w:rPr>
          <w:sz w:val="20"/>
          <w:szCs w:val="20"/>
          <w:lang w:val="en-GB"/>
        </w:rPr>
      </w:pPr>
      <w:r>
        <w:rPr>
          <w:sz w:val="20"/>
          <w:szCs w:val="20"/>
          <w:lang w:val="en-GB"/>
        </w:rPr>
        <w:t xml:space="preserve">Tests performed on other (identical) multi-valves reproduced the results. </w:t>
      </w:r>
    </w:p>
    <w:p w:rsidR="0046267E" w:rsidRDefault="0046267E" w:rsidP="00D86D71">
      <w:pPr>
        <w:spacing w:line="226" w:lineRule="exact"/>
        <w:ind w:left="686" w:right="1161"/>
        <w:jc w:val="both"/>
        <w:rPr>
          <w:sz w:val="20"/>
          <w:szCs w:val="20"/>
          <w:lang w:val="en-GB"/>
        </w:rPr>
      </w:pPr>
      <w:r>
        <w:rPr>
          <w:sz w:val="20"/>
          <w:szCs w:val="20"/>
          <w:lang w:val="en-GB"/>
        </w:rPr>
        <w:t>Recall and optimization was an immediate action.</w:t>
      </w:r>
    </w:p>
    <w:p w:rsidR="0046267E" w:rsidRDefault="0046267E" w:rsidP="00D86D71">
      <w:pPr>
        <w:spacing w:line="226" w:lineRule="exact"/>
        <w:ind w:left="686" w:right="1161"/>
        <w:jc w:val="both"/>
        <w:rPr>
          <w:sz w:val="20"/>
          <w:szCs w:val="20"/>
          <w:lang w:val="en-GB"/>
        </w:rPr>
      </w:pPr>
    </w:p>
    <w:p w:rsidR="0046267E" w:rsidRDefault="0046267E" w:rsidP="00D86D71">
      <w:pPr>
        <w:spacing w:line="226" w:lineRule="exact"/>
        <w:ind w:left="686" w:right="1161"/>
        <w:jc w:val="both"/>
        <w:rPr>
          <w:sz w:val="20"/>
          <w:szCs w:val="20"/>
          <w:lang w:val="en-GB"/>
        </w:rPr>
      </w:pPr>
      <w:r>
        <w:rPr>
          <w:sz w:val="20"/>
          <w:szCs w:val="20"/>
          <w:lang w:val="en-GB"/>
        </w:rPr>
        <w:t xml:space="preserve">Since the hose had passed the type approval tests (e.g. LPG compatibility) but the effect was reproducible, </w:t>
      </w:r>
      <w:r w:rsidR="003E0D60">
        <w:rPr>
          <w:sz w:val="20"/>
          <w:szCs w:val="20"/>
          <w:lang w:val="en-GB"/>
        </w:rPr>
        <w:t>it leads to the conclusion</w:t>
      </w:r>
      <w:r w:rsidR="00041431">
        <w:rPr>
          <w:sz w:val="20"/>
          <w:szCs w:val="20"/>
          <w:lang w:val="en-GB"/>
        </w:rPr>
        <w:t xml:space="preserve"> </w:t>
      </w:r>
      <w:r>
        <w:rPr>
          <w:sz w:val="20"/>
          <w:szCs w:val="20"/>
          <w:lang w:val="en-GB"/>
        </w:rPr>
        <w:t>that these tests might not be sufficient especially for non-metallic materials permanently in cont</w:t>
      </w:r>
      <w:bookmarkStart w:id="0" w:name="_GoBack"/>
      <w:bookmarkEnd w:id="0"/>
      <w:r>
        <w:rPr>
          <w:sz w:val="20"/>
          <w:szCs w:val="20"/>
          <w:lang w:val="en-GB"/>
        </w:rPr>
        <w:t xml:space="preserve">act with especially liquid LPG. </w:t>
      </w:r>
    </w:p>
    <w:p w:rsidR="0046267E" w:rsidRDefault="0046267E" w:rsidP="00D86D71">
      <w:pPr>
        <w:spacing w:line="226" w:lineRule="exact"/>
        <w:ind w:left="686" w:right="1161"/>
        <w:jc w:val="both"/>
        <w:rPr>
          <w:sz w:val="20"/>
          <w:szCs w:val="20"/>
          <w:lang w:val="en-GB"/>
        </w:rPr>
      </w:pPr>
      <w:r>
        <w:rPr>
          <w:sz w:val="20"/>
          <w:szCs w:val="20"/>
          <w:lang w:val="en-GB"/>
        </w:rPr>
        <w:t xml:space="preserve">The composition of LPG </w:t>
      </w:r>
      <w:r w:rsidR="003E0D60">
        <w:rPr>
          <w:sz w:val="20"/>
          <w:szCs w:val="20"/>
          <w:lang w:val="en-GB"/>
        </w:rPr>
        <w:t xml:space="preserve">may </w:t>
      </w:r>
      <w:r w:rsidR="00387961">
        <w:rPr>
          <w:sz w:val="20"/>
          <w:szCs w:val="20"/>
          <w:lang w:val="en-GB"/>
        </w:rPr>
        <w:t xml:space="preserve">vary pretty much, plus additives and/or </w:t>
      </w:r>
      <w:proofErr w:type="spellStart"/>
      <w:r w:rsidR="00387961">
        <w:rPr>
          <w:sz w:val="20"/>
          <w:szCs w:val="20"/>
          <w:lang w:val="en-GB"/>
        </w:rPr>
        <w:t>odorisation</w:t>
      </w:r>
      <w:proofErr w:type="spellEnd"/>
      <w:r w:rsidR="00387961">
        <w:rPr>
          <w:sz w:val="20"/>
          <w:szCs w:val="20"/>
          <w:lang w:val="en-GB"/>
        </w:rPr>
        <w:t xml:space="preserve"> of LPG affect non-metallic material in a way that might not be sufficiently covered by the specifications given in UN-R67.</w:t>
      </w:r>
    </w:p>
    <w:p w:rsidR="00387961" w:rsidRDefault="00357290" w:rsidP="00D86D71">
      <w:pPr>
        <w:spacing w:line="226" w:lineRule="exact"/>
        <w:ind w:left="686" w:right="1161"/>
        <w:jc w:val="both"/>
        <w:rPr>
          <w:sz w:val="20"/>
          <w:szCs w:val="20"/>
          <w:lang w:val="en-GB"/>
        </w:rPr>
      </w:pPr>
      <w:r>
        <w:rPr>
          <w:sz w:val="20"/>
          <w:szCs w:val="20"/>
          <w:lang w:val="en-GB"/>
        </w:rPr>
        <w:t xml:space="preserve">The mandatory </w:t>
      </w:r>
      <w:r w:rsidR="00387961">
        <w:rPr>
          <w:sz w:val="20"/>
          <w:szCs w:val="20"/>
          <w:lang w:val="en-GB"/>
        </w:rPr>
        <w:t xml:space="preserve">use of metallic material for the hose under discussion would </w:t>
      </w:r>
      <w:r w:rsidR="003E0D60">
        <w:rPr>
          <w:sz w:val="20"/>
          <w:szCs w:val="20"/>
          <w:lang w:val="en-GB"/>
        </w:rPr>
        <w:t xml:space="preserve">exclude </w:t>
      </w:r>
      <w:r>
        <w:rPr>
          <w:sz w:val="20"/>
          <w:szCs w:val="20"/>
          <w:lang w:val="en-GB"/>
        </w:rPr>
        <w:t>that hose-fragments could block the PRV and PRD and will therefore increase the safety level.</w:t>
      </w:r>
    </w:p>
    <w:p w:rsidR="00D11958" w:rsidRDefault="00D11958" w:rsidP="00D86D71">
      <w:pPr>
        <w:spacing w:line="226" w:lineRule="exact"/>
        <w:ind w:left="686" w:right="1161"/>
        <w:jc w:val="both"/>
        <w:rPr>
          <w:sz w:val="20"/>
          <w:szCs w:val="20"/>
          <w:lang w:val="en-GB"/>
        </w:rPr>
      </w:pPr>
    </w:p>
    <w:p w:rsidR="000F03F9" w:rsidRPr="00A00013" w:rsidRDefault="000F03F9" w:rsidP="000F03F9">
      <w:pPr>
        <w:spacing w:line="226" w:lineRule="exact"/>
        <w:ind w:left="686" w:right="1813"/>
        <w:jc w:val="center"/>
        <w:rPr>
          <w:sz w:val="20"/>
          <w:szCs w:val="20"/>
          <w:lang w:val="en-GB"/>
        </w:rPr>
      </w:pPr>
      <w:r>
        <w:rPr>
          <w:sz w:val="20"/>
          <w:szCs w:val="20"/>
          <w:lang w:val="en-GB"/>
        </w:rPr>
        <w:t>____________</w:t>
      </w:r>
    </w:p>
    <w:sectPr w:rsidR="000F03F9" w:rsidRPr="00A00013" w:rsidSect="00633299">
      <w:footerReference w:type="default" r:id="rId10"/>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8F" w:rsidRDefault="006D128F" w:rsidP="00A00013">
      <w:r>
        <w:separator/>
      </w:r>
    </w:p>
  </w:endnote>
  <w:endnote w:type="continuationSeparator" w:id="0">
    <w:p w:rsidR="006D128F" w:rsidRDefault="006D128F"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D86D71">
          <w:rPr>
            <w:noProof/>
          </w:rPr>
          <w:t>1</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8F" w:rsidRDefault="006D128F" w:rsidP="00A00013">
      <w:r>
        <w:separator/>
      </w:r>
    </w:p>
  </w:footnote>
  <w:footnote w:type="continuationSeparator" w:id="0">
    <w:p w:rsidR="006D128F" w:rsidRDefault="006D128F" w:rsidP="00A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17EF9"/>
    <w:rsid w:val="00041431"/>
    <w:rsid w:val="000F03F9"/>
    <w:rsid w:val="00127EC6"/>
    <w:rsid w:val="001614DA"/>
    <w:rsid w:val="001A45A4"/>
    <w:rsid w:val="001B67BB"/>
    <w:rsid w:val="001C7AE7"/>
    <w:rsid w:val="00221EE6"/>
    <w:rsid w:val="0025036C"/>
    <w:rsid w:val="002A272D"/>
    <w:rsid w:val="00313562"/>
    <w:rsid w:val="003559BF"/>
    <w:rsid w:val="00357290"/>
    <w:rsid w:val="00387961"/>
    <w:rsid w:val="003E0D60"/>
    <w:rsid w:val="0046267E"/>
    <w:rsid w:val="00493C07"/>
    <w:rsid w:val="004C5081"/>
    <w:rsid w:val="0052074B"/>
    <w:rsid w:val="00550A4A"/>
    <w:rsid w:val="00581F75"/>
    <w:rsid w:val="005C2EC6"/>
    <w:rsid w:val="00633299"/>
    <w:rsid w:val="00660A65"/>
    <w:rsid w:val="00673223"/>
    <w:rsid w:val="006D128F"/>
    <w:rsid w:val="006D1E7C"/>
    <w:rsid w:val="007662CE"/>
    <w:rsid w:val="008723A8"/>
    <w:rsid w:val="008A4243"/>
    <w:rsid w:val="00942590"/>
    <w:rsid w:val="00951BD9"/>
    <w:rsid w:val="00A00013"/>
    <w:rsid w:val="00A37460"/>
    <w:rsid w:val="00A92D8A"/>
    <w:rsid w:val="00AC1A8D"/>
    <w:rsid w:val="00B0269A"/>
    <w:rsid w:val="00B15F52"/>
    <w:rsid w:val="00B85AAE"/>
    <w:rsid w:val="00BF2860"/>
    <w:rsid w:val="00C6728C"/>
    <w:rsid w:val="00CD4C63"/>
    <w:rsid w:val="00D11958"/>
    <w:rsid w:val="00D86D71"/>
    <w:rsid w:val="00E551A2"/>
    <w:rsid w:val="00E84EE2"/>
    <w:rsid w:val="00E87294"/>
    <w:rsid w:val="00EA799E"/>
    <w:rsid w:val="00EC2C08"/>
    <w:rsid w:val="00F570C7"/>
    <w:rsid w:val="00FC3E60"/>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4</cp:revision>
  <cp:lastPrinted>2017-04-24T16:14:00Z</cp:lastPrinted>
  <dcterms:created xsi:type="dcterms:W3CDTF">2017-04-24T16:14:00Z</dcterms:created>
  <dcterms:modified xsi:type="dcterms:W3CDTF">2017-04-24T16:39:00Z</dcterms:modified>
  <dc:language>fr-FR</dc:language>
</cp:coreProperties>
</file>