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0039F3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0039F3" w:rsidRDefault="002D5AAC" w:rsidP="00004DA7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039F3" w:rsidRDefault="00DF71B9" w:rsidP="00387CD4">
            <w:pPr>
              <w:spacing w:after="80" w:line="300" w:lineRule="exact"/>
              <w:rPr>
                <w:sz w:val="28"/>
              </w:rPr>
            </w:pPr>
            <w:r w:rsidRPr="000039F3"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0039F3" w:rsidRDefault="00004DA7" w:rsidP="00004DA7">
            <w:pPr>
              <w:jc w:val="right"/>
            </w:pPr>
            <w:r w:rsidRPr="000039F3">
              <w:rPr>
                <w:sz w:val="40"/>
              </w:rPr>
              <w:t>ECE</w:t>
            </w:r>
            <w:r w:rsidRPr="000039F3">
              <w:t>/TRANS/WP.29/GRSG/2017/26</w:t>
            </w:r>
          </w:p>
        </w:tc>
      </w:tr>
      <w:tr w:rsidR="002D5AAC" w:rsidRPr="009A4388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039F3" w:rsidRDefault="002E5067" w:rsidP="00387CD4">
            <w:pPr>
              <w:spacing w:before="120"/>
              <w:jc w:val="center"/>
            </w:pPr>
            <w:r w:rsidRPr="000039F3"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039F3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0039F3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0039F3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A4388" w:rsidRDefault="00004DA7" w:rsidP="00387CD4">
            <w:pPr>
              <w:spacing w:before="240"/>
              <w:rPr>
                <w:lang w:val="en-US"/>
              </w:rPr>
            </w:pPr>
            <w:r w:rsidRPr="009A4388">
              <w:rPr>
                <w:lang w:val="en-US"/>
              </w:rPr>
              <w:t>Distr.: General</w:t>
            </w:r>
          </w:p>
          <w:p w:rsidR="00004DA7" w:rsidRPr="009A4388" w:rsidRDefault="00004DA7" w:rsidP="00004DA7">
            <w:pPr>
              <w:spacing w:line="240" w:lineRule="exact"/>
              <w:rPr>
                <w:lang w:val="en-US"/>
              </w:rPr>
            </w:pPr>
            <w:r w:rsidRPr="009A4388">
              <w:rPr>
                <w:lang w:val="en-US"/>
              </w:rPr>
              <w:t>28 July 2017</w:t>
            </w:r>
          </w:p>
          <w:p w:rsidR="00004DA7" w:rsidRPr="009A4388" w:rsidRDefault="00004DA7" w:rsidP="00004DA7">
            <w:pPr>
              <w:spacing w:line="240" w:lineRule="exact"/>
              <w:rPr>
                <w:lang w:val="en-US"/>
              </w:rPr>
            </w:pPr>
            <w:r w:rsidRPr="009A4388">
              <w:rPr>
                <w:lang w:val="en-US"/>
              </w:rPr>
              <w:t>Russian</w:t>
            </w:r>
          </w:p>
          <w:p w:rsidR="00004DA7" w:rsidRPr="009A4388" w:rsidRDefault="00004DA7" w:rsidP="00004DA7">
            <w:pPr>
              <w:spacing w:line="240" w:lineRule="exact"/>
              <w:rPr>
                <w:lang w:val="en-US"/>
              </w:rPr>
            </w:pPr>
            <w:r w:rsidRPr="009A4388">
              <w:rPr>
                <w:lang w:val="en-US"/>
              </w:rPr>
              <w:t>Original: English</w:t>
            </w:r>
          </w:p>
        </w:tc>
      </w:tr>
    </w:tbl>
    <w:p w:rsidR="008A37C8" w:rsidRPr="000039F3" w:rsidRDefault="008A37C8" w:rsidP="00255343">
      <w:pPr>
        <w:spacing w:before="120"/>
        <w:rPr>
          <w:b/>
          <w:sz w:val="28"/>
          <w:szCs w:val="28"/>
        </w:rPr>
      </w:pPr>
      <w:r w:rsidRPr="000039F3">
        <w:rPr>
          <w:b/>
          <w:sz w:val="28"/>
          <w:szCs w:val="28"/>
        </w:rPr>
        <w:t>Европейская экономическая комиссия</w:t>
      </w:r>
    </w:p>
    <w:p w:rsidR="000039F3" w:rsidRPr="000039F3" w:rsidRDefault="00004DA7" w:rsidP="000039F3">
      <w:pPr>
        <w:spacing w:before="120" w:after="120"/>
        <w:rPr>
          <w:sz w:val="28"/>
          <w:szCs w:val="28"/>
        </w:rPr>
      </w:pPr>
      <w:r w:rsidRPr="000039F3">
        <w:rPr>
          <w:sz w:val="28"/>
          <w:szCs w:val="28"/>
        </w:rPr>
        <w:t>Комитет по внутреннему транспорту</w:t>
      </w:r>
    </w:p>
    <w:p w:rsidR="000039F3" w:rsidRPr="000039F3" w:rsidRDefault="00004DA7" w:rsidP="000039F3">
      <w:pPr>
        <w:spacing w:before="120" w:after="120"/>
        <w:rPr>
          <w:b/>
          <w:sz w:val="24"/>
          <w:szCs w:val="24"/>
        </w:rPr>
      </w:pPr>
      <w:r w:rsidRPr="000039F3">
        <w:rPr>
          <w:b/>
          <w:sz w:val="24"/>
          <w:szCs w:val="24"/>
        </w:rPr>
        <w:t xml:space="preserve">Всемирный форум для согласования </w:t>
      </w:r>
      <w:r w:rsidRPr="000039F3">
        <w:rPr>
          <w:b/>
          <w:sz w:val="24"/>
          <w:szCs w:val="24"/>
        </w:rPr>
        <w:br/>
        <w:t>правил в области транспортных средств</w:t>
      </w:r>
    </w:p>
    <w:p w:rsidR="000039F3" w:rsidRDefault="00004DA7" w:rsidP="000039F3">
      <w:pPr>
        <w:spacing w:before="120" w:after="120"/>
        <w:rPr>
          <w:b/>
        </w:rPr>
      </w:pPr>
      <w:r w:rsidRPr="000039F3">
        <w:rPr>
          <w:b/>
        </w:rPr>
        <w:t>Рабочая группа по общим предписаниям,</w:t>
      </w:r>
      <w:r w:rsidRPr="000039F3">
        <w:rPr>
          <w:b/>
        </w:rPr>
        <w:br/>
        <w:t>касающимся безопасности</w:t>
      </w:r>
    </w:p>
    <w:p w:rsidR="00004DA7" w:rsidRPr="000039F3" w:rsidRDefault="00004DA7" w:rsidP="000039F3">
      <w:pPr>
        <w:rPr>
          <w:b/>
          <w:bCs/>
        </w:rPr>
      </w:pPr>
      <w:r w:rsidRPr="000039F3">
        <w:rPr>
          <w:b/>
          <w:bCs/>
        </w:rPr>
        <w:t>113-я сессия</w:t>
      </w:r>
    </w:p>
    <w:p w:rsidR="00004DA7" w:rsidRPr="000039F3" w:rsidRDefault="00004DA7" w:rsidP="000039F3">
      <w:r w:rsidRPr="000039F3">
        <w:t>Женева, 10</w:t>
      </w:r>
      <w:r w:rsidR="00B06626">
        <w:t>–</w:t>
      </w:r>
      <w:r w:rsidRPr="000039F3">
        <w:t>13 октября 2017 года</w:t>
      </w:r>
    </w:p>
    <w:p w:rsidR="00004DA7" w:rsidRPr="000039F3" w:rsidRDefault="00004DA7" w:rsidP="000039F3">
      <w:r w:rsidRPr="000039F3">
        <w:t>Пункт 6 a) предварительной повестки дня</w:t>
      </w:r>
    </w:p>
    <w:p w:rsidR="00253BFF" w:rsidRPr="005C369E" w:rsidRDefault="00253BFF" w:rsidP="00253BFF">
      <w:pPr>
        <w:rPr>
          <w:b/>
        </w:rPr>
      </w:pPr>
      <w:r w:rsidRPr="005C369E">
        <w:rPr>
          <w:b/>
        </w:rPr>
        <w:t>Поправки к правилам, касающимся</w:t>
      </w:r>
    </w:p>
    <w:p w:rsidR="00253BFF" w:rsidRPr="005C369E" w:rsidRDefault="00253BFF" w:rsidP="00253BFF">
      <w:pPr>
        <w:rPr>
          <w:b/>
        </w:rPr>
      </w:pPr>
      <w:r w:rsidRPr="005C369E">
        <w:rPr>
          <w:b/>
        </w:rPr>
        <w:t>транспортных средств, работающих на газе:</w:t>
      </w:r>
    </w:p>
    <w:p w:rsidR="00004DA7" w:rsidRPr="000039F3" w:rsidRDefault="00253BFF" w:rsidP="00253BFF">
      <w:pPr>
        <w:rPr>
          <w:b/>
        </w:rPr>
      </w:pPr>
      <w:r w:rsidRPr="005C369E">
        <w:rPr>
          <w:b/>
        </w:rPr>
        <w:t xml:space="preserve">Правила № 67 (транспортные средства, </w:t>
      </w:r>
      <w:r w:rsidRPr="005C369E">
        <w:rPr>
          <w:b/>
        </w:rPr>
        <w:br/>
        <w:t>работающие на СНГ)</w:t>
      </w:r>
    </w:p>
    <w:p w:rsidR="00004DA7" w:rsidRPr="000039F3" w:rsidRDefault="00BE4F25" w:rsidP="00BE4F25">
      <w:pPr>
        <w:pStyle w:val="HChGR"/>
      </w:pPr>
      <w:r>
        <w:tab/>
      </w:r>
      <w:r>
        <w:tab/>
      </w:r>
      <w:r w:rsidR="00004DA7" w:rsidRPr="000039F3">
        <w:t xml:space="preserve">Предложение по дополнению к поправкам серии 01 </w:t>
      </w:r>
      <w:r w:rsidR="00253BFF" w:rsidRPr="005C369E">
        <w:t>к</w:t>
      </w:r>
      <w:r w:rsidR="00D70267">
        <w:t> </w:t>
      </w:r>
      <w:r w:rsidR="00253BFF" w:rsidRPr="005C369E">
        <w:t>Правилам № 67 (</w:t>
      </w:r>
      <w:r w:rsidR="00253BFF" w:rsidRPr="005C369E">
        <w:rPr>
          <w:bCs/>
        </w:rPr>
        <w:t>транспортные средства, работающие на СНГ</w:t>
      </w:r>
      <w:r w:rsidR="00253BFF" w:rsidRPr="005C369E">
        <w:t>)</w:t>
      </w:r>
    </w:p>
    <w:p w:rsidR="00004DA7" w:rsidRPr="000039F3" w:rsidRDefault="00BE4F25" w:rsidP="00BE4F25">
      <w:pPr>
        <w:pStyle w:val="H1GR"/>
        <w:rPr>
          <w:vertAlign w:val="superscript"/>
        </w:rPr>
      </w:pPr>
      <w:r>
        <w:tab/>
      </w:r>
      <w:r>
        <w:tab/>
      </w:r>
      <w:r w:rsidR="00004DA7" w:rsidRPr="000039F3">
        <w:t>Представлено экспертом от Европейской ассоциации по</w:t>
      </w:r>
      <w:r w:rsidR="00FB2F77">
        <w:rPr>
          <w:lang w:val="en-US"/>
        </w:rPr>
        <w:t> </w:t>
      </w:r>
      <w:r w:rsidR="00004DA7" w:rsidRPr="000039F3">
        <w:t>сжиженным нефтяным газам</w:t>
      </w:r>
      <w:r w:rsidR="00004DA7" w:rsidRPr="00BE4F25">
        <w:rPr>
          <w:b w:val="0"/>
          <w:sz w:val="20"/>
        </w:rPr>
        <w:footnoteReference w:customMarkFollows="1" w:id="1"/>
        <w:t>*</w:t>
      </w:r>
    </w:p>
    <w:p w:rsidR="00004DA7" w:rsidRPr="000039F3" w:rsidRDefault="00034C9D" w:rsidP="00004DA7">
      <w:pPr>
        <w:pStyle w:val="SingleTxtGR"/>
      </w:pPr>
      <w:r>
        <w:tab/>
      </w:r>
      <w:r w:rsidR="00004DA7" w:rsidRPr="000039F3">
        <w:t>Воспроизведенный ниже текст был подготовлен экспертом от Европе</w:t>
      </w:r>
      <w:r w:rsidR="00004DA7" w:rsidRPr="000039F3">
        <w:t>й</w:t>
      </w:r>
      <w:r w:rsidR="00004DA7" w:rsidRPr="000039F3">
        <w:t>ской ассоциации по сжиженным нефтяным газам (ЕАСНГ) с целью включения в Правила № 67 ООН, касающиеся систем, работающих на сжиженном нефтяном газе (СНГ) и имеющих гидравлические соединения с бензиновой или дизельной топливной системой, по которым может происходить взаимное проникновение топлива, новых предписаний, касающихся безопасности. Он основан главным образом на документе ECE/TRANS/WP.29/GRSG/2016/15. Изменения к ныне</w:t>
      </w:r>
      <w:r w:rsidR="00004DA7" w:rsidRPr="000039F3">
        <w:t>ш</w:t>
      </w:r>
      <w:r w:rsidR="00004DA7" w:rsidRPr="000039F3">
        <w:t>нему тексту Правил № 67 выделены жирным шрифтом в случае новых полож</w:t>
      </w:r>
      <w:r w:rsidR="00004DA7" w:rsidRPr="000039F3">
        <w:t>е</w:t>
      </w:r>
      <w:r w:rsidR="00004DA7" w:rsidRPr="000039F3">
        <w:t>ний (см. пункт 20 доклада ECE/TRANS/WP.29/GRSG/91).</w:t>
      </w:r>
    </w:p>
    <w:p w:rsidR="00004DA7" w:rsidRPr="000039F3" w:rsidRDefault="00004DA7" w:rsidP="00034C9D">
      <w:pPr>
        <w:pStyle w:val="HChGR"/>
      </w:pPr>
      <w:r w:rsidRPr="000039F3">
        <w:br w:type="page"/>
      </w:r>
      <w:r w:rsidR="00034C9D">
        <w:lastRenderedPageBreak/>
        <w:tab/>
      </w:r>
      <w:r w:rsidRPr="000039F3">
        <w:t>I.</w:t>
      </w:r>
      <w:r w:rsidRPr="000039F3">
        <w:tab/>
        <w:t>Предложение</w:t>
      </w:r>
    </w:p>
    <w:p w:rsidR="00004DA7" w:rsidRPr="000039F3" w:rsidRDefault="00004DA7" w:rsidP="00004DA7">
      <w:pPr>
        <w:pStyle w:val="SingleTxtGR"/>
      </w:pPr>
      <w:r w:rsidRPr="000039F3">
        <w:rPr>
          <w:i/>
        </w:rPr>
        <w:t xml:space="preserve">Содержание, приложения, </w:t>
      </w:r>
      <w:r w:rsidRPr="000039F3">
        <w:rPr>
          <w:iCs/>
        </w:rPr>
        <w:t>изменить следующим образом</w:t>
      </w:r>
      <w:r w:rsidRPr="000039F3">
        <w:t>:</w:t>
      </w:r>
    </w:p>
    <w:p w:rsidR="00004DA7" w:rsidRPr="000039F3" w:rsidRDefault="00004DA7" w:rsidP="00004DA7">
      <w:pPr>
        <w:pStyle w:val="SingleTxtGR"/>
      </w:pPr>
      <w:r w:rsidRPr="000039F3">
        <w:t>«Приложения</w:t>
      </w:r>
    </w:p>
    <w:p w:rsidR="00004DA7" w:rsidRPr="000039F3" w:rsidRDefault="00004DA7" w:rsidP="00004DA7">
      <w:pPr>
        <w:pStyle w:val="SingleTxtGR"/>
      </w:pPr>
      <w:r w:rsidRPr="000039F3">
        <w:t>…</w:t>
      </w:r>
    </w:p>
    <w:p w:rsidR="00004DA7" w:rsidRPr="000039F3" w:rsidRDefault="00004DA7" w:rsidP="00B06626">
      <w:pPr>
        <w:pStyle w:val="SingleTxtGR"/>
        <w:ind w:left="2835" w:hanging="1701"/>
        <w:rPr>
          <w:b/>
        </w:rPr>
      </w:pPr>
      <w:r w:rsidRPr="000039F3">
        <w:rPr>
          <w:b/>
        </w:rPr>
        <w:t>Приложение 18</w:t>
      </w:r>
      <w:r w:rsidRPr="000039F3">
        <w:rPr>
          <w:b/>
        </w:rPr>
        <w:tab/>
        <w:t>Положения о совместимости металлических и немета</w:t>
      </w:r>
      <w:r w:rsidRPr="000039F3">
        <w:rPr>
          <w:b/>
        </w:rPr>
        <w:t>л</w:t>
      </w:r>
      <w:r w:rsidRPr="000039F3">
        <w:rPr>
          <w:b/>
        </w:rPr>
        <w:t>лических элементов оборудования и частей с бензиновым топливом</w:t>
      </w:r>
    </w:p>
    <w:p w:rsidR="00004DA7" w:rsidRPr="000039F3" w:rsidRDefault="00004DA7" w:rsidP="00B06626">
      <w:pPr>
        <w:pStyle w:val="SingleTxtGR"/>
        <w:ind w:left="2835" w:hanging="1701"/>
      </w:pPr>
      <w:r w:rsidRPr="000039F3">
        <w:rPr>
          <w:b/>
        </w:rPr>
        <w:t>Приложение 19</w:t>
      </w:r>
      <w:r w:rsidRPr="000039F3">
        <w:tab/>
      </w:r>
      <w:r w:rsidRPr="000039F3">
        <w:rPr>
          <w:b/>
        </w:rPr>
        <w:t>Положения о сообщающихся системах СНГ</w:t>
      </w:r>
      <w:r w:rsidRPr="000039F3">
        <w:t>»</w:t>
      </w:r>
      <w:r w:rsidR="007330C4">
        <w:t>.</w:t>
      </w:r>
    </w:p>
    <w:p w:rsidR="00004DA7" w:rsidRPr="000039F3" w:rsidRDefault="00004DA7" w:rsidP="00004DA7">
      <w:pPr>
        <w:pStyle w:val="SingleTxtGR"/>
      </w:pPr>
      <w:r w:rsidRPr="000039F3">
        <w:rPr>
          <w:i/>
        </w:rPr>
        <w:t>Включить новые пункты 2.21</w:t>
      </w:r>
      <w:r w:rsidR="00B06626" w:rsidRPr="00B06626">
        <w:rPr>
          <w:i/>
        </w:rPr>
        <w:t>–</w:t>
      </w:r>
      <w:r w:rsidRPr="000039F3">
        <w:rPr>
          <w:i/>
        </w:rPr>
        <w:t>2.23 следующего содержания</w:t>
      </w:r>
      <w:r w:rsidRPr="000039F3">
        <w:t>:</w:t>
      </w:r>
    </w:p>
    <w:p w:rsidR="00004DA7" w:rsidRPr="000039F3" w:rsidRDefault="00004DA7" w:rsidP="00974C9F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t>«</w:t>
      </w:r>
      <w:r w:rsidRPr="000039F3">
        <w:rPr>
          <w:b/>
        </w:rPr>
        <w:t>2.21</w:t>
      </w:r>
      <w:r w:rsidRPr="000039F3">
        <w:rPr>
          <w:b/>
        </w:rPr>
        <w:tab/>
      </w:r>
      <w:r w:rsidRPr="001F3951">
        <w:rPr>
          <w:b/>
        </w:rPr>
        <w:t>"</w:t>
      </w:r>
      <w:r w:rsidRPr="000039F3">
        <w:rPr>
          <w:b/>
          <w:i/>
        </w:rPr>
        <w:t>Система СНГ</w:t>
      </w:r>
      <w:r w:rsidRPr="001F3951">
        <w:rPr>
          <w:b/>
        </w:rPr>
        <w:t>"</w:t>
      </w:r>
      <w:r w:rsidRPr="000039F3">
        <w:rPr>
          <w:b/>
          <w:i/>
        </w:rPr>
        <w:t xml:space="preserve"> </w:t>
      </w:r>
      <w:r w:rsidRPr="000039F3">
        <w:rPr>
          <w:b/>
          <w:iCs/>
        </w:rPr>
        <w:t>означает комплект специального оборудования СНГ, предназначенный для установки на транспортном сре</w:t>
      </w:r>
      <w:r w:rsidRPr="000039F3">
        <w:rPr>
          <w:b/>
          <w:iCs/>
        </w:rPr>
        <w:t>д</w:t>
      </w:r>
      <w:r w:rsidRPr="000039F3">
        <w:rPr>
          <w:b/>
          <w:iCs/>
        </w:rPr>
        <w:t>стве в качестве единого функционального блока с целью обе</w:t>
      </w:r>
      <w:r w:rsidRPr="000039F3">
        <w:rPr>
          <w:b/>
          <w:iCs/>
        </w:rPr>
        <w:t>с</w:t>
      </w:r>
      <w:r w:rsidRPr="000039F3">
        <w:rPr>
          <w:b/>
          <w:iCs/>
        </w:rPr>
        <w:t>печения работы двигателя на СНГ</w:t>
      </w:r>
      <w:r w:rsidRPr="000039F3">
        <w:rPr>
          <w:b/>
          <w:i/>
        </w:rPr>
        <w:t>.</w:t>
      </w:r>
    </w:p>
    <w:p w:rsidR="00004DA7" w:rsidRPr="000039F3" w:rsidRDefault="00004DA7" w:rsidP="00974C9F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rPr>
          <w:b/>
        </w:rPr>
        <w:t>2.22</w:t>
      </w:r>
      <w:r w:rsidRPr="000039F3">
        <w:rPr>
          <w:b/>
        </w:rPr>
        <w:tab/>
        <w:t>"</w:t>
      </w:r>
      <w:r w:rsidRPr="000039F3">
        <w:rPr>
          <w:b/>
          <w:i/>
        </w:rPr>
        <w:t>Сообщающаяся система СНГ</w:t>
      </w:r>
      <w:r w:rsidRPr="000039F3">
        <w:rPr>
          <w:b/>
        </w:rPr>
        <w:t>"</w:t>
      </w:r>
      <w:r w:rsidRPr="000039F3">
        <w:rPr>
          <w:b/>
          <w:iCs/>
        </w:rPr>
        <w:t xml:space="preserve"> означает систему СНГ, име</w:t>
      </w:r>
      <w:r w:rsidRPr="000039F3">
        <w:rPr>
          <w:b/>
          <w:iCs/>
        </w:rPr>
        <w:t>ю</w:t>
      </w:r>
      <w:r w:rsidRPr="000039F3">
        <w:rPr>
          <w:b/>
          <w:iCs/>
        </w:rPr>
        <w:t>щую гидравлические соединения с бензиновой или дизельной топливной системой.</w:t>
      </w:r>
    </w:p>
    <w:p w:rsidR="00004DA7" w:rsidRPr="000039F3" w:rsidRDefault="00004DA7" w:rsidP="00974C9F">
      <w:pPr>
        <w:pStyle w:val="SingleTxtGR"/>
        <w:tabs>
          <w:tab w:val="clear" w:pos="1701"/>
        </w:tabs>
        <w:ind w:left="2268" w:hanging="1134"/>
      </w:pPr>
      <w:r w:rsidRPr="000039F3">
        <w:rPr>
          <w:b/>
        </w:rPr>
        <w:t>2.23</w:t>
      </w:r>
      <w:r w:rsidRPr="000039F3">
        <w:rPr>
          <w:b/>
        </w:rPr>
        <w:tab/>
        <w:t>"</w:t>
      </w:r>
      <w:r w:rsidRPr="000039F3">
        <w:rPr>
          <w:b/>
          <w:i/>
        </w:rPr>
        <w:t>Многофункциональный элемент оборудования</w:t>
      </w:r>
      <w:r w:rsidRPr="001F3951">
        <w:rPr>
          <w:b/>
        </w:rPr>
        <w:t>"</w:t>
      </w:r>
      <w:r w:rsidRPr="000039F3">
        <w:rPr>
          <w:b/>
          <w:i/>
        </w:rPr>
        <w:t xml:space="preserve"> </w:t>
      </w:r>
      <w:r w:rsidRPr="000039F3">
        <w:rPr>
          <w:b/>
          <w:iCs/>
        </w:rPr>
        <w:t>означает любой из упомянутых выше элементов специального оборудования, которые выполнены в одном узле или установлены вместе в качестве элемента оборудования</w:t>
      </w:r>
      <w:r w:rsidR="00A96C98">
        <w:t>.»</w:t>
      </w:r>
    </w:p>
    <w:p w:rsidR="00004DA7" w:rsidRPr="000039F3" w:rsidRDefault="00004DA7" w:rsidP="00004DA7">
      <w:pPr>
        <w:pStyle w:val="SingleTxtGR"/>
      </w:pPr>
      <w:r w:rsidRPr="000039F3">
        <w:rPr>
          <w:i/>
        </w:rPr>
        <w:t>Пункты 6.4</w:t>
      </w:r>
      <w:r w:rsidR="00B06626">
        <w:rPr>
          <w:i/>
        </w:rPr>
        <w:t>–</w:t>
      </w:r>
      <w:r w:rsidRPr="000039F3">
        <w:rPr>
          <w:i/>
        </w:rPr>
        <w:t xml:space="preserve">6.14 (прежние) </w:t>
      </w:r>
      <w:r w:rsidRPr="000039F3">
        <w:t>изменить следующим образом (включив новый пункт 6.15):</w:t>
      </w:r>
    </w:p>
    <w:p w:rsidR="00004DA7" w:rsidRPr="000039F3" w:rsidRDefault="00004DA7" w:rsidP="00974C9F">
      <w:pPr>
        <w:pStyle w:val="SingleTxtGR"/>
        <w:tabs>
          <w:tab w:val="clear" w:pos="1701"/>
        </w:tabs>
        <w:ind w:left="2268" w:hanging="1134"/>
      </w:pPr>
      <w:r w:rsidRPr="000039F3">
        <w:t>«6.4–6.</w:t>
      </w:r>
      <w:r w:rsidRPr="000039F3">
        <w:rPr>
          <w:b/>
        </w:rPr>
        <w:t>15</w:t>
      </w:r>
      <w:r w:rsidRPr="000039F3">
        <w:tab/>
        <w:t>Положения, касающиеся других элементов оборудования</w:t>
      </w:r>
    </w:p>
    <w:p w:rsidR="00004DA7" w:rsidRPr="000039F3" w:rsidRDefault="00004DA7" w:rsidP="00974C9F">
      <w:pPr>
        <w:pStyle w:val="SingleTxtGR"/>
        <w:tabs>
          <w:tab w:val="clear" w:pos="1701"/>
        </w:tabs>
        <w:ind w:left="2268" w:hanging="1134"/>
      </w:pPr>
      <w:r w:rsidRPr="000039F3">
        <w:tab/>
        <w:t>Другие элементы оборудования, перечисленные в таблице 1 … ук</w:t>
      </w:r>
      <w:r w:rsidRPr="000039F3">
        <w:t>а</w:t>
      </w:r>
      <w:r w:rsidRPr="000039F3">
        <w:t xml:space="preserve">занных в таблице. </w:t>
      </w:r>
    </w:p>
    <w:p w:rsidR="00E12C5F" w:rsidRPr="000039F3" w:rsidRDefault="00004DA7" w:rsidP="00004DA7">
      <w:pPr>
        <w:pStyle w:val="SingleTxtGR"/>
      </w:pPr>
      <w:r w:rsidRPr="000039F3">
        <w:t>Таблица 1</w:t>
      </w:r>
    </w:p>
    <w:tbl>
      <w:tblPr>
        <w:tblStyle w:val="TabTxt"/>
        <w:tblW w:w="7370" w:type="dxa"/>
        <w:tblInd w:w="1134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1021"/>
        <w:gridCol w:w="3685"/>
        <w:gridCol w:w="2664"/>
      </w:tblGrid>
      <w:tr w:rsidR="00004DA7" w:rsidRPr="000039F3" w:rsidTr="001E475C">
        <w:trPr>
          <w:tblHeader/>
        </w:trPr>
        <w:tc>
          <w:tcPr>
            <w:tcW w:w="1021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4DA7" w:rsidRPr="000039F3" w:rsidRDefault="00004DA7" w:rsidP="00DD0A47">
            <w:pPr>
              <w:spacing w:before="80" w:after="80" w:line="200" w:lineRule="exact"/>
              <w:rPr>
                <w:i/>
                <w:sz w:val="16"/>
              </w:rPr>
            </w:pPr>
            <w:r w:rsidRPr="000039F3">
              <w:rPr>
                <w:i/>
                <w:sz w:val="16"/>
              </w:rPr>
              <w:t>Пункт</w:t>
            </w:r>
          </w:p>
        </w:tc>
        <w:tc>
          <w:tcPr>
            <w:tcW w:w="3685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04DA7" w:rsidRPr="000039F3" w:rsidRDefault="00004DA7" w:rsidP="00DD0A47">
            <w:pPr>
              <w:spacing w:before="80" w:after="80" w:line="200" w:lineRule="exact"/>
              <w:rPr>
                <w:i/>
                <w:sz w:val="16"/>
              </w:rPr>
            </w:pPr>
            <w:r w:rsidRPr="000039F3">
              <w:rPr>
                <w:i/>
                <w:sz w:val="16"/>
              </w:rPr>
              <w:t>Элемент оборудования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one" w:sz="0" w:space="0" w:color="auto"/>
              <w:bottom w:val="single" w:sz="12" w:space="0" w:color="auto"/>
              <w:tl2br w:val="none" w:sz="0" w:space="0" w:color="auto"/>
              <w:tr2bl w:val="none" w:sz="0" w:space="0" w:color="auto"/>
            </w:tcBorders>
            <w:shd w:val="clear" w:color="auto" w:fill="auto"/>
          </w:tcPr>
          <w:p w:rsidR="00004DA7" w:rsidRPr="000039F3" w:rsidRDefault="00004DA7" w:rsidP="00DD0A47">
            <w:pPr>
              <w:spacing w:before="80" w:after="80" w:line="200" w:lineRule="exact"/>
              <w:rPr>
                <w:i/>
                <w:sz w:val="16"/>
              </w:rPr>
            </w:pPr>
            <w:r w:rsidRPr="000039F3">
              <w:rPr>
                <w:i/>
                <w:sz w:val="16"/>
              </w:rPr>
              <w:t>Приложение</w:t>
            </w:r>
          </w:p>
        </w:tc>
      </w:tr>
      <w:tr w:rsidR="00004DA7" w:rsidRPr="00974C9F" w:rsidTr="00D42883">
        <w:tc>
          <w:tcPr>
            <w:tcW w:w="102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6.4</w:t>
            </w:r>
          </w:p>
        </w:tc>
        <w:tc>
          <w:tcPr>
            <w:tcW w:w="368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Топливный насос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single" w:sz="12" w:space="0" w:color="auto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4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6.5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Испаритель</w:t>
            </w:r>
            <w:r w:rsidRPr="00974C9F">
              <w:rPr>
                <w:sz w:val="18"/>
                <w:szCs w:val="18"/>
                <w:vertAlign w:val="superscript"/>
              </w:rPr>
              <w:t>1</w:t>
            </w:r>
          </w:p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Регулятор давления</w:t>
            </w:r>
            <w:r w:rsidRPr="00974C9F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6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…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6.9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proofErr w:type="spellStart"/>
            <w:r w:rsidRPr="00974C9F">
              <w:rPr>
                <w:sz w:val="18"/>
                <w:szCs w:val="18"/>
              </w:rPr>
              <w:t>Газонагнетатели</w:t>
            </w:r>
            <w:proofErr w:type="spellEnd"/>
            <w:r w:rsidRPr="00974C9F">
              <w:rPr>
                <w:sz w:val="18"/>
                <w:szCs w:val="18"/>
              </w:rPr>
              <w:t>/газосмеситель</w:t>
            </w:r>
            <w:r w:rsidRPr="00974C9F">
              <w:rPr>
                <w:sz w:val="18"/>
                <w:szCs w:val="18"/>
                <w:vertAlign w:val="superscript"/>
              </w:rPr>
              <w:t>3</w:t>
            </w:r>
          </w:p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или</w:t>
            </w:r>
          </w:p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инжекторы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11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6.10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Газовые дозаторы</w:t>
            </w:r>
            <w:r w:rsidRPr="00974C9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12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…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…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6.14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Ограничитель давления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sz w:val="18"/>
                <w:szCs w:val="18"/>
              </w:rPr>
            </w:pPr>
            <w:r w:rsidRPr="00974C9F">
              <w:rPr>
                <w:sz w:val="18"/>
                <w:szCs w:val="18"/>
              </w:rPr>
              <w:t>3</w:t>
            </w:r>
          </w:p>
        </w:tc>
      </w:tr>
      <w:tr w:rsidR="00004DA7" w:rsidRPr="00974C9F" w:rsidTr="00D42883">
        <w:tc>
          <w:tcPr>
            <w:tcW w:w="102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DA7" w:rsidRPr="00974C9F" w:rsidRDefault="00004DA7" w:rsidP="00974C9F">
            <w:pPr>
              <w:spacing w:before="60" w:after="60" w:line="220" w:lineRule="atLeast"/>
              <w:rPr>
                <w:b/>
                <w:sz w:val="18"/>
                <w:szCs w:val="18"/>
              </w:rPr>
            </w:pPr>
            <w:r w:rsidRPr="00974C9F">
              <w:rPr>
                <w:b/>
                <w:sz w:val="18"/>
                <w:szCs w:val="18"/>
              </w:rPr>
              <w:t>6.15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b/>
                <w:iCs/>
                <w:sz w:val="18"/>
                <w:szCs w:val="18"/>
              </w:rPr>
            </w:pPr>
            <w:r w:rsidRPr="00974C9F">
              <w:rPr>
                <w:b/>
                <w:iCs/>
                <w:sz w:val="18"/>
                <w:szCs w:val="18"/>
                <w:lang w:eastAsia="ar-SA"/>
              </w:rPr>
              <w:t>Многофункциональный элемент оборудования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64" w:type="dxa"/>
            <w:tcBorders>
              <w:top w:val="nil"/>
              <w:tl2br w:val="none" w:sz="0" w:space="0" w:color="auto"/>
              <w:tr2bl w:val="none" w:sz="0" w:space="0" w:color="auto"/>
            </w:tcBorders>
          </w:tcPr>
          <w:p w:rsidR="00004DA7" w:rsidRPr="00974C9F" w:rsidRDefault="00004DA7" w:rsidP="00D42883">
            <w:pPr>
              <w:suppressAutoHyphens/>
              <w:spacing w:before="60" w:after="60" w:line="220" w:lineRule="atLeast"/>
              <w:rPr>
                <w:b/>
                <w:sz w:val="18"/>
                <w:szCs w:val="18"/>
              </w:rPr>
            </w:pPr>
            <w:r w:rsidRPr="00974C9F">
              <w:rPr>
                <w:b/>
                <w:sz w:val="18"/>
                <w:szCs w:val="18"/>
              </w:rPr>
              <w:t>Приложения, применимые к</w:t>
            </w:r>
            <w:r w:rsidR="00D42883">
              <w:rPr>
                <w:b/>
                <w:sz w:val="18"/>
                <w:szCs w:val="18"/>
              </w:rPr>
              <w:t> </w:t>
            </w:r>
            <w:r w:rsidRPr="00974C9F">
              <w:rPr>
                <w:b/>
                <w:sz w:val="18"/>
                <w:szCs w:val="18"/>
              </w:rPr>
              <w:t>отдельным элементам оборудования</w:t>
            </w:r>
          </w:p>
        </w:tc>
      </w:tr>
    </w:tbl>
    <w:p w:rsidR="000039F3" w:rsidRPr="00D42883" w:rsidRDefault="000039F3" w:rsidP="00D42883">
      <w:pPr>
        <w:pStyle w:val="SingleTxtGR"/>
        <w:tabs>
          <w:tab w:val="clear" w:pos="1701"/>
          <w:tab w:val="left" w:pos="1560"/>
        </w:tabs>
        <w:suppressAutoHyphens/>
        <w:spacing w:before="120" w:after="0" w:line="220" w:lineRule="atLeast"/>
        <w:ind w:left="1560" w:hanging="284"/>
        <w:jc w:val="left"/>
        <w:rPr>
          <w:b/>
          <w:sz w:val="18"/>
          <w:szCs w:val="18"/>
        </w:rPr>
      </w:pPr>
      <w:r w:rsidRPr="00D42883">
        <w:rPr>
          <w:sz w:val="18"/>
          <w:szCs w:val="18"/>
          <w:vertAlign w:val="superscript"/>
        </w:rPr>
        <w:t>1</w:t>
      </w:r>
      <w:r w:rsidRPr="00D42883">
        <w:rPr>
          <w:sz w:val="18"/>
          <w:szCs w:val="18"/>
        </w:rPr>
        <w:t xml:space="preserve"> </w:t>
      </w:r>
      <w:r w:rsidR="00D42883">
        <w:rPr>
          <w:sz w:val="18"/>
          <w:szCs w:val="18"/>
        </w:rPr>
        <w:tab/>
      </w:r>
      <w:r w:rsidRPr="00D42883">
        <w:rPr>
          <w:sz w:val="18"/>
          <w:szCs w:val="18"/>
        </w:rPr>
        <w:t>Либо совмещены в одном узле, либо имеют раздельную конструкцию.</w:t>
      </w:r>
      <w:r w:rsidRPr="00D42883">
        <w:rPr>
          <w:b/>
          <w:sz w:val="18"/>
          <w:szCs w:val="18"/>
        </w:rPr>
        <w:t xml:space="preserve"> </w:t>
      </w:r>
    </w:p>
    <w:p w:rsidR="000039F3" w:rsidRPr="00D42883" w:rsidRDefault="000039F3" w:rsidP="00D42883">
      <w:pPr>
        <w:pStyle w:val="SingleTxtGR"/>
        <w:tabs>
          <w:tab w:val="clear" w:pos="1701"/>
          <w:tab w:val="left" w:pos="1560"/>
        </w:tabs>
        <w:suppressAutoHyphens/>
        <w:spacing w:after="0" w:line="220" w:lineRule="atLeast"/>
        <w:ind w:left="1560" w:hanging="284"/>
        <w:jc w:val="left"/>
        <w:rPr>
          <w:sz w:val="18"/>
          <w:szCs w:val="18"/>
        </w:rPr>
      </w:pPr>
      <w:r w:rsidRPr="00D42883">
        <w:rPr>
          <w:sz w:val="18"/>
          <w:szCs w:val="18"/>
          <w:vertAlign w:val="superscript"/>
        </w:rPr>
        <w:t>2</w:t>
      </w:r>
      <w:r w:rsidRPr="00D42883">
        <w:rPr>
          <w:sz w:val="18"/>
          <w:szCs w:val="18"/>
        </w:rPr>
        <w:t xml:space="preserve"> </w:t>
      </w:r>
      <w:r w:rsidR="00D42883">
        <w:rPr>
          <w:sz w:val="18"/>
          <w:szCs w:val="18"/>
        </w:rPr>
        <w:tab/>
      </w:r>
      <w:r w:rsidRPr="00D42883">
        <w:rPr>
          <w:sz w:val="18"/>
          <w:szCs w:val="18"/>
        </w:rPr>
        <w:t>Применимо только в том случае, если пускатель газового дозатора не встроен в</w:t>
      </w:r>
      <w:r w:rsidR="00D42883" w:rsidRPr="00D42883">
        <w:rPr>
          <w:sz w:val="18"/>
          <w:szCs w:val="18"/>
        </w:rPr>
        <w:t xml:space="preserve"> </w:t>
      </w:r>
      <w:proofErr w:type="spellStart"/>
      <w:r w:rsidRPr="00D42883">
        <w:rPr>
          <w:sz w:val="18"/>
          <w:szCs w:val="18"/>
        </w:rPr>
        <w:t>газонагнетатель</w:t>
      </w:r>
      <w:proofErr w:type="spellEnd"/>
      <w:r w:rsidRPr="00D42883">
        <w:rPr>
          <w:sz w:val="18"/>
          <w:szCs w:val="18"/>
        </w:rPr>
        <w:t xml:space="preserve">. </w:t>
      </w:r>
    </w:p>
    <w:p w:rsidR="000039F3" w:rsidRPr="00D42883" w:rsidRDefault="000039F3" w:rsidP="00D42883">
      <w:pPr>
        <w:pStyle w:val="SingleTxtGR"/>
        <w:tabs>
          <w:tab w:val="clear" w:pos="1701"/>
          <w:tab w:val="left" w:pos="1560"/>
        </w:tabs>
        <w:suppressAutoHyphens/>
        <w:spacing w:after="0" w:line="220" w:lineRule="atLeast"/>
        <w:ind w:left="1560" w:hanging="284"/>
        <w:jc w:val="left"/>
        <w:rPr>
          <w:sz w:val="18"/>
          <w:szCs w:val="18"/>
        </w:rPr>
      </w:pPr>
      <w:r w:rsidRPr="00D42883">
        <w:rPr>
          <w:sz w:val="18"/>
          <w:szCs w:val="18"/>
          <w:vertAlign w:val="superscript"/>
        </w:rPr>
        <w:t>3</w:t>
      </w:r>
      <w:r w:rsidRPr="00D42883">
        <w:rPr>
          <w:sz w:val="18"/>
          <w:szCs w:val="18"/>
        </w:rPr>
        <w:t xml:space="preserve"> </w:t>
      </w:r>
      <w:r w:rsidR="00D42883">
        <w:rPr>
          <w:sz w:val="18"/>
          <w:szCs w:val="18"/>
        </w:rPr>
        <w:tab/>
      </w:r>
      <w:r w:rsidRPr="00D42883">
        <w:rPr>
          <w:sz w:val="18"/>
          <w:szCs w:val="18"/>
        </w:rPr>
        <w:t xml:space="preserve">Применимо только в том случае, когда рабочее давление </w:t>
      </w:r>
      <w:proofErr w:type="spellStart"/>
      <w:r w:rsidRPr="00D42883">
        <w:rPr>
          <w:sz w:val="18"/>
          <w:szCs w:val="18"/>
        </w:rPr>
        <w:t>газосмесителя</w:t>
      </w:r>
      <w:proofErr w:type="spellEnd"/>
      <w:r w:rsidRPr="00D42883">
        <w:rPr>
          <w:sz w:val="18"/>
          <w:szCs w:val="18"/>
        </w:rPr>
        <w:t xml:space="preserve"> превышает 20 кПа (класс 2)».</w:t>
      </w:r>
    </w:p>
    <w:p w:rsidR="000039F3" w:rsidRPr="000039F3" w:rsidRDefault="000039F3" w:rsidP="00D42883">
      <w:pPr>
        <w:pStyle w:val="SingleTxtGR"/>
        <w:spacing w:before="240"/>
      </w:pPr>
      <w:r w:rsidRPr="000039F3">
        <w:rPr>
          <w:i/>
        </w:rPr>
        <w:lastRenderedPageBreak/>
        <w:t>Пункты 6.15</w:t>
      </w:r>
      <w:r w:rsidR="00B06626">
        <w:rPr>
          <w:i/>
        </w:rPr>
        <w:t>–</w:t>
      </w:r>
      <w:r w:rsidRPr="000039F3">
        <w:rPr>
          <w:i/>
        </w:rPr>
        <w:t xml:space="preserve">6.15.3.2 (прежние), </w:t>
      </w:r>
      <w:r w:rsidRPr="000039F3">
        <w:t>изменить нумерацию на 6.16</w:t>
      </w:r>
      <w:r w:rsidR="00B06626">
        <w:t>–</w:t>
      </w:r>
      <w:r w:rsidRPr="000039F3">
        <w:t>6.16.3.2.</w:t>
      </w:r>
    </w:p>
    <w:p w:rsidR="000039F3" w:rsidRPr="000039F3" w:rsidRDefault="000039F3" w:rsidP="000039F3">
      <w:pPr>
        <w:pStyle w:val="SingleTxtGR"/>
      </w:pPr>
      <w:r w:rsidRPr="000039F3">
        <w:rPr>
          <w:i/>
        </w:rPr>
        <w:t>Включить новый пункт 6.16.3.3</w:t>
      </w:r>
      <w:r w:rsidR="001E475C">
        <w:rPr>
          <w:i/>
        </w:rPr>
        <w:t xml:space="preserve"> </w:t>
      </w:r>
      <w:r w:rsidRPr="000039F3">
        <w:rPr>
          <w:i/>
        </w:rPr>
        <w:t>следующего содержания</w:t>
      </w:r>
      <w:r w:rsidRPr="000039F3">
        <w:t>:</w:t>
      </w:r>
    </w:p>
    <w:p w:rsidR="000039F3" w:rsidRPr="000039F3" w:rsidRDefault="000039F3" w:rsidP="00D42883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t>«</w:t>
      </w:r>
      <w:r w:rsidRPr="000039F3">
        <w:rPr>
          <w:b/>
        </w:rPr>
        <w:t>6.16.3.3</w:t>
      </w:r>
      <w:r w:rsidRPr="000039F3">
        <w:rPr>
          <w:b/>
        </w:rPr>
        <w:tab/>
        <w:t>Без ущерба для пункта 1.7 приложения 7 к настоящим Прав</w:t>
      </w:r>
      <w:r w:rsidRPr="000039F3">
        <w:rPr>
          <w:b/>
        </w:rPr>
        <w:t>и</w:t>
      </w:r>
      <w:r w:rsidRPr="000039F3">
        <w:rPr>
          <w:b/>
        </w:rPr>
        <w:t>лам (контролируемые остановки) дистанционно регулируемый запорный клапан (если он предназначен для установки в кач</w:t>
      </w:r>
      <w:r w:rsidRPr="000039F3">
        <w:rPr>
          <w:b/>
        </w:rPr>
        <w:t>е</w:t>
      </w:r>
      <w:r w:rsidRPr="000039F3">
        <w:rPr>
          <w:b/>
        </w:rPr>
        <w:t>стве элемента оборудования сообщающейся системы СНГ для целей пункта 17.13.2.2) в ходе официального утверждения</w:t>
      </w:r>
      <w:r>
        <w:rPr>
          <w:b/>
        </w:rPr>
        <w:t xml:space="preserve"> </w:t>
      </w:r>
      <w:r w:rsidRPr="000039F3">
        <w:rPr>
          <w:b/>
        </w:rPr>
        <w:t>по</w:t>
      </w:r>
      <w:r w:rsidRPr="000039F3">
        <w:rPr>
          <w:b/>
        </w:rPr>
        <w:t>д</w:t>
      </w:r>
      <w:r w:rsidRPr="000039F3">
        <w:rPr>
          <w:b/>
        </w:rPr>
        <w:t>вергается испытанию на износоустойчивость в соответствии с</w:t>
      </w:r>
      <w:r w:rsidR="001F3951">
        <w:rPr>
          <w:b/>
        </w:rPr>
        <w:t> </w:t>
      </w:r>
      <w:r w:rsidRPr="000039F3">
        <w:rPr>
          <w:b/>
        </w:rPr>
        <w:t>пунктом 9 приложения 15 в течение числа циклов, равн</w:t>
      </w:r>
      <w:r w:rsidRPr="000039F3">
        <w:rPr>
          <w:b/>
        </w:rPr>
        <w:t>о</w:t>
      </w:r>
      <w:r w:rsidRPr="000039F3">
        <w:rPr>
          <w:b/>
        </w:rPr>
        <w:t>го</w:t>
      </w:r>
      <w:r w:rsidR="00D42883">
        <w:rPr>
          <w:b/>
        </w:rPr>
        <w:t> </w:t>
      </w:r>
      <w:r w:rsidRPr="000039F3">
        <w:rPr>
          <w:b/>
        </w:rPr>
        <w:t>20</w:t>
      </w:r>
      <w:r w:rsidR="00D42883">
        <w:rPr>
          <w:b/>
        </w:rPr>
        <w:t> </w:t>
      </w:r>
      <w:r w:rsidRPr="000039F3">
        <w:rPr>
          <w:b/>
        </w:rPr>
        <w:t>000.</w:t>
      </w:r>
    </w:p>
    <w:p w:rsidR="000039F3" w:rsidRPr="000039F3" w:rsidRDefault="000039F3" w:rsidP="00D4288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На клапан наносят маркировку, содержащую следующие ра</w:t>
      </w:r>
      <w:r w:rsidRPr="000039F3">
        <w:rPr>
          <w:b/>
          <w:bCs/>
        </w:rPr>
        <w:t>з</w:t>
      </w:r>
      <w:r w:rsidRPr="000039F3">
        <w:rPr>
          <w:b/>
          <w:bCs/>
        </w:rPr>
        <w:t>борчивые и нестираемые данные:</w:t>
      </w:r>
    </w:p>
    <w:p w:rsidR="000039F3" w:rsidRPr="000039F3" w:rsidRDefault="000039F3" w:rsidP="00D4288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буквы "ICS" и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835" w:hanging="1701"/>
        <w:rPr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знак официального утверждения, предусмотренный в пункте 5.4 настоящих Правил</w:t>
      </w:r>
      <w:r w:rsidR="00A96C98">
        <w:rPr>
          <w:bCs/>
        </w:rPr>
        <w:t>.»</w:t>
      </w:r>
    </w:p>
    <w:p w:rsidR="000039F3" w:rsidRPr="000039F3" w:rsidRDefault="000039F3" w:rsidP="000039F3">
      <w:pPr>
        <w:pStyle w:val="SingleTxtGR"/>
        <w:rPr>
          <w:i/>
        </w:rPr>
      </w:pPr>
      <w:r w:rsidRPr="000039F3">
        <w:rPr>
          <w:i/>
        </w:rPr>
        <w:t>Пункты 6.15.4</w:t>
      </w:r>
      <w:r w:rsidR="00B06626">
        <w:rPr>
          <w:i/>
        </w:rPr>
        <w:t>–</w:t>
      </w:r>
      <w:r w:rsidRPr="000039F3">
        <w:rPr>
          <w:i/>
        </w:rPr>
        <w:t xml:space="preserve">6.15.13.2.4 (прежние), </w:t>
      </w:r>
      <w:r w:rsidRPr="000039F3">
        <w:t>изменить нумерацию на 6.16.4</w:t>
      </w:r>
      <w:r w:rsidR="00B06626">
        <w:t>–</w:t>
      </w:r>
      <w:r w:rsidRPr="000039F3">
        <w:t>6.16.13.2.4.</w:t>
      </w:r>
    </w:p>
    <w:p w:rsidR="000039F3" w:rsidRPr="000039F3" w:rsidRDefault="000039F3" w:rsidP="000039F3">
      <w:pPr>
        <w:pStyle w:val="SingleTxtGR"/>
      </w:pPr>
      <w:r w:rsidRPr="000039F3">
        <w:rPr>
          <w:i/>
        </w:rPr>
        <w:t>Включить новые пункты 6.16.14 и 6.16.14.1 следующего содержания</w:t>
      </w:r>
      <w:r w:rsidRPr="000039F3">
        <w:t>: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t>«</w:t>
      </w:r>
      <w:r w:rsidRPr="000039F3">
        <w:rPr>
          <w:b/>
        </w:rPr>
        <w:t>6.16.14</w:t>
      </w:r>
      <w:r w:rsidRPr="000039F3">
        <w:rPr>
          <w:b/>
        </w:rPr>
        <w:tab/>
        <w:t>Положения, касающиеся обратного клапана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rPr>
          <w:b/>
        </w:rPr>
        <w:t>6.16.14.1</w:t>
      </w:r>
      <w:r w:rsidRPr="000039F3">
        <w:rPr>
          <w:b/>
        </w:rPr>
        <w:tab/>
        <w:t>Если обратный клапан предназначен для установки в качестве элемента оборудования сообщающейся системы СНГ для целей пункта 17.13.1.1, 17.13.1.2 или 17.13.2.1, то этот клапан в ходе официального утверждения подвергается испытанию на изн</w:t>
      </w:r>
      <w:r w:rsidRPr="000039F3">
        <w:rPr>
          <w:b/>
        </w:rPr>
        <w:t>о</w:t>
      </w:r>
      <w:r w:rsidRPr="000039F3">
        <w:rPr>
          <w:b/>
        </w:rPr>
        <w:t>соустойчивость в соответствии с пунктом 9.7 приложения 15.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На клапан наносят маркировку, содержащую следующие ра</w:t>
      </w:r>
      <w:r w:rsidRPr="000039F3">
        <w:rPr>
          <w:b/>
          <w:bCs/>
        </w:rPr>
        <w:t>з</w:t>
      </w:r>
      <w:r w:rsidRPr="000039F3">
        <w:rPr>
          <w:b/>
          <w:bCs/>
        </w:rPr>
        <w:t>борчивые и нестираемые данные: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буквы "ICS" и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835" w:hanging="1701"/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знак официального утверждения, предусмотренный в пункте 5.4 настоящих Правил</w:t>
      </w:r>
      <w:r w:rsidR="00161743" w:rsidRPr="00161743">
        <w:t>.</w:t>
      </w:r>
      <w:r w:rsidRPr="000039F3">
        <w:rPr>
          <w:bCs/>
        </w:rPr>
        <w:t>»</w:t>
      </w:r>
    </w:p>
    <w:p w:rsidR="000039F3" w:rsidRPr="000039F3" w:rsidRDefault="000039F3" w:rsidP="000039F3">
      <w:pPr>
        <w:pStyle w:val="SingleTxtGR"/>
        <w:rPr>
          <w:b/>
          <w:bCs/>
        </w:rPr>
      </w:pPr>
      <w:r w:rsidRPr="000039F3">
        <w:rPr>
          <w:i/>
        </w:rPr>
        <w:t>Включить новый пункт 6.17 следующего содержания</w:t>
      </w:r>
      <w:r w:rsidRPr="000039F3">
        <w:t>: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t>«</w:t>
      </w:r>
      <w:r w:rsidRPr="000039F3">
        <w:rPr>
          <w:b/>
          <w:bCs/>
        </w:rPr>
        <w:t>6.17</w:t>
      </w:r>
      <w:r w:rsidRPr="000039F3">
        <w:rPr>
          <w:b/>
          <w:bCs/>
        </w:rPr>
        <w:tab/>
        <w:t>Предназначенные для установки в качестве элементов оборуд</w:t>
      </w:r>
      <w:r w:rsidRPr="000039F3">
        <w:rPr>
          <w:b/>
          <w:bCs/>
        </w:rPr>
        <w:t>о</w:t>
      </w:r>
      <w:r w:rsidRPr="000039F3">
        <w:rPr>
          <w:b/>
          <w:bCs/>
        </w:rPr>
        <w:t>вания или частей сообщающейся системы СНГ неметаллич</w:t>
      </w:r>
      <w:r w:rsidRPr="000039F3">
        <w:rPr>
          <w:b/>
          <w:bCs/>
        </w:rPr>
        <w:t>е</w:t>
      </w:r>
      <w:r w:rsidRPr="000039F3">
        <w:rPr>
          <w:b/>
          <w:bCs/>
        </w:rPr>
        <w:t>ские, металлические либо смешанные (металлические</w:t>
      </w:r>
      <w:r w:rsidR="003B118A">
        <w:rPr>
          <w:b/>
          <w:bCs/>
          <w:spacing w:val="-40"/>
        </w:rPr>
        <w:t> </w:t>
      </w:r>
      <w:r w:rsidR="003B118A" w:rsidRPr="003B118A">
        <w:rPr>
          <w:b/>
          <w:bCs/>
          <w:spacing w:val="-40"/>
        </w:rPr>
        <w:t xml:space="preserve">/ </w:t>
      </w:r>
      <w:r w:rsidRPr="000039F3">
        <w:rPr>
          <w:b/>
          <w:bCs/>
        </w:rPr>
        <w:t>нем</w:t>
      </w:r>
      <w:r w:rsidRPr="000039F3">
        <w:rPr>
          <w:b/>
          <w:bCs/>
        </w:rPr>
        <w:t>е</w:t>
      </w:r>
      <w:r w:rsidRPr="000039F3">
        <w:rPr>
          <w:b/>
          <w:bCs/>
        </w:rPr>
        <w:t>таллические) элементы оборудования СНГ, включая гибкие шланги и их элементы, а также неметаллические, металлич</w:t>
      </w:r>
      <w:r w:rsidRPr="000039F3">
        <w:rPr>
          <w:b/>
          <w:bCs/>
        </w:rPr>
        <w:t>е</w:t>
      </w:r>
      <w:r w:rsidRPr="000039F3">
        <w:rPr>
          <w:b/>
          <w:bCs/>
        </w:rPr>
        <w:t>ские либо смешанные (металлические</w:t>
      </w:r>
      <w:r w:rsidR="000F0CF6">
        <w:rPr>
          <w:b/>
          <w:bCs/>
          <w:spacing w:val="-40"/>
        </w:rPr>
        <w:t> </w:t>
      </w:r>
      <w:r w:rsidR="000F0CF6" w:rsidRPr="003B118A">
        <w:rPr>
          <w:b/>
          <w:bCs/>
          <w:spacing w:val="-40"/>
        </w:rPr>
        <w:t xml:space="preserve">/ </w:t>
      </w:r>
      <w:r w:rsidRPr="000039F3">
        <w:rPr>
          <w:b/>
          <w:bCs/>
        </w:rPr>
        <w:t>неметаллические) части элементов оборудования СНГ, которые могут вступать в ко</w:t>
      </w:r>
      <w:r w:rsidRPr="000039F3">
        <w:rPr>
          <w:b/>
          <w:bCs/>
        </w:rPr>
        <w:t>н</w:t>
      </w:r>
      <w:r w:rsidRPr="000039F3">
        <w:rPr>
          <w:b/>
          <w:bCs/>
        </w:rPr>
        <w:t xml:space="preserve">такт с бензиновым топливом, должны отвечать требованиям, указанным в приложении 18 к настоящим Правилам. </w:t>
      </w:r>
    </w:p>
    <w:p w:rsidR="000039F3" w:rsidRPr="000039F3" w:rsidRDefault="000039F3" w:rsidP="003B118A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На неметаллические, металлические либо смешанные (мета</w:t>
      </w:r>
      <w:r w:rsidRPr="000039F3">
        <w:rPr>
          <w:b/>
          <w:bCs/>
        </w:rPr>
        <w:t>л</w:t>
      </w:r>
      <w:r w:rsidRPr="000039F3">
        <w:rPr>
          <w:b/>
          <w:bCs/>
        </w:rPr>
        <w:t>лические</w:t>
      </w:r>
      <w:r w:rsidR="00695C43">
        <w:rPr>
          <w:b/>
          <w:bCs/>
          <w:spacing w:val="-40"/>
        </w:rPr>
        <w:t> </w:t>
      </w:r>
      <w:r w:rsidR="00695C43" w:rsidRPr="003B118A">
        <w:rPr>
          <w:b/>
          <w:bCs/>
          <w:spacing w:val="-40"/>
        </w:rPr>
        <w:t xml:space="preserve">/ </w:t>
      </w:r>
      <w:r w:rsidRPr="000039F3">
        <w:rPr>
          <w:b/>
          <w:bCs/>
        </w:rPr>
        <w:t>неметаллические) элементы оборудования или эл</w:t>
      </w:r>
      <w:r w:rsidRPr="000039F3">
        <w:rPr>
          <w:b/>
          <w:bCs/>
        </w:rPr>
        <w:t>е</w:t>
      </w:r>
      <w:r w:rsidRPr="000039F3">
        <w:rPr>
          <w:b/>
          <w:bCs/>
        </w:rPr>
        <w:t>менты оборудования, содержащие неметаллические части, наносят знак официального утверждения, предусмотренный в добавлении 1 к приложению А</w:t>
      </w:r>
      <w:r w:rsidR="00161743" w:rsidRPr="000039F3">
        <w:rPr>
          <w:bCs/>
        </w:rPr>
        <w:t>.</w:t>
      </w:r>
      <w:r w:rsidRPr="000039F3">
        <w:rPr>
          <w:bCs/>
        </w:rPr>
        <w:t xml:space="preserve">» </w:t>
      </w:r>
    </w:p>
    <w:p w:rsidR="000039F3" w:rsidRPr="000039F3" w:rsidRDefault="000039F3" w:rsidP="000039F3">
      <w:pPr>
        <w:pStyle w:val="SingleTxtGR"/>
        <w:rPr>
          <w:b/>
          <w:bCs/>
        </w:rPr>
      </w:pPr>
      <w:r w:rsidRPr="000039F3">
        <w:rPr>
          <w:i/>
        </w:rPr>
        <w:t>Включить новые пункты 17.13</w:t>
      </w:r>
      <w:r w:rsidR="00B06626">
        <w:rPr>
          <w:i/>
        </w:rPr>
        <w:t>–</w:t>
      </w:r>
      <w:r w:rsidRPr="000039F3">
        <w:rPr>
          <w:i/>
        </w:rPr>
        <w:t>17.13.2.5 следующего содержания</w:t>
      </w:r>
      <w:r w:rsidRPr="000039F3">
        <w:t>: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Cs/>
        </w:rPr>
        <w:t>«</w:t>
      </w:r>
      <w:r w:rsidRPr="000039F3">
        <w:rPr>
          <w:b/>
          <w:bCs/>
        </w:rPr>
        <w:t>17.13</w:t>
      </w:r>
      <w:r w:rsidRPr="000039F3">
        <w:rPr>
          <w:b/>
          <w:bCs/>
        </w:rPr>
        <w:tab/>
        <w:t>Конкретные положения, касающиеся сообщающихся систем СНГ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17.13.1</w:t>
      </w:r>
      <w:r w:rsidRPr="000039F3">
        <w:rPr>
          <w:b/>
          <w:bCs/>
        </w:rPr>
        <w:tab/>
        <w:t xml:space="preserve">Система СНГ для </w:t>
      </w:r>
      <w:proofErr w:type="spellStart"/>
      <w:r w:rsidRPr="000039F3">
        <w:rPr>
          <w:b/>
          <w:bCs/>
        </w:rPr>
        <w:t>двухтопливного</w:t>
      </w:r>
      <w:proofErr w:type="spellEnd"/>
      <w:r w:rsidRPr="000039F3">
        <w:rPr>
          <w:b/>
          <w:bCs/>
        </w:rPr>
        <w:t xml:space="preserve"> (СНГ</w:t>
      </w:r>
      <w:r w:rsidR="00B06626">
        <w:rPr>
          <w:b/>
          <w:bCs/>
        </w:rPr>
        <w:t>–</w:t>
      </w:r>
      <w:r w:rsidRPr="000039F3">
        <w:rPr>
          <w:b/>
          <w:bCs/>
        </w:rPr>
        <w:t>дизельное топливо) транспортного средства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17.13.1.1</w:t>
      </w:r>
      <w:r w:rsidRPr="000039F3">
        <w:rPr>
          <w:b/>
          <w:bCs/>
        </w:rPr>
        <w:tab/>
        <w:t>Должны быть предусмотрены средства для предотвращения любого поступления СНГ в бак с дизельным топливом. Данное требование считается выполненным при установке двух обра</w:t>
      </w:r>
      <w:r w:rsidRPr="000039F3">
        <w:rPr>
          <w:b/>
          <w:bCs/>
        </w:rPr>
        <w:t>т</w:t>
      </w:r>
      <w:r w:rsidRPr="000039F3">
        <w:rPr>
          <w:b/>
          <w:bCs/>
        </w:rPr>
        <w:t>ных клапанов на линии потока, если эти клапаны соответств</w:t>
      </w:r>
      <w:r w:rsidRPr="000039F3">
        <w:rPr>
          <w:b/>
          <w:bCs/>
        </w:rPr>
        <w:t>у</w:t>
      </w:r>
      <w:r w:rsidRPr="000039F3">
        <w:rPr>
          <w:b/>
          <w:bCs/>
        </w:rPr>
        <w:t>ют положениям пункта 6.16.14.1.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17.13.1.2</w:t>
      </w:r>
      <w:r w:rsidRPr="000039F3">
        <w:rPr>
          <w:b/>
          <w:bCs/>
        </w:rPr>
        <w:tab/>
        <w:t>Должны быть предусмотрены средства для предотвращения любого поступления дизельного топлива в бак СНГ. Данное требование считается выполненным при установке двух обра</w:t>
      </w:r>
      <w:r w:rsidRPr="000039F3">
        <w:rPr>
          <w:b/>
          <w:bCs/>
        </w:rPr>
        <w:t>т</w:t>
      </w:r>
      <w:r w:rsidRPr="000039F3">
        <w:rPr>
          <w:b/>
          <w:bCs/>
        </w:rPr>
        <w:t>ных клапанов на линии потока, если эти клапаны соответств</w:t>
      </w:r>
      <w:r w:rsidRPr="000039F3">
        <w:rPr>
          <w:b/>
          <w:bCs/>
        </w:rPr>
        <w:t>у</w:t>
      </w:r>
      <w:r w:rsidRPr="000039F3">
        <w:rPr>
          <w:b/>
          <w:bCs/>
        </w:rPr>
        <w:t>ют положениям пункта 6.16.14.1.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17.13.2</w:t>
      </w:r>
      <w:r w:rsidRPr="000039F3">
        <w:rPr>
          <w:b/>
          <w:bCs/>
        </w:rPr>
        <w:tab/>
        <w:t>Система СНГ для транспортного средства с двумя топливными системами (СНГ</w:t>
      </w:r>
      <w:r w:rsidR="00B06626">
        <w:rPr>
          <w:b/>
          <w:bCs/>
        </w:rPr>
        <w:t>–</w:t>
      </w:r>
      <w:r w:rsidRPr="000039F3">
        <w:rPr>
          <w:b/>
          <w:bCs/>
        </w:rPr>
        <w:t>бензин)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17.13.2.1</w:t>
      </w:r>
      <w:r w:rsidRPr="000039F3">
        <w:rPr>
          <w:b/>
          <w:bCs/>
        </w:rPr>
        <w:tab/>
        <w:t>Должны быть предусмотрены средства для предотвращения любого поступления СНГ в бак с бензиновым топливом. Да</w:t>
      </w:r>
      <w:r w:rsidRPr="000039F3">
        <w:rPr>
          <w:b/>
          <w:bCs/>
        </w:rPr>
        <w:t>н</w:t>
      </w:r>
      <w:r w:rsidRPr="000039F3">
        <w:rPr>
          <w:b/>
          <w:bCs/>
        </w:rPr>
        <w:t>ное требование считается выполненным при установке двух обратных клапанов на линии потока, если эти клапаны соо</w:t>
      </w:r>
      <w:r w:rsidRPr="000039F3">
        <w:rPr>
          <w:b/>
          <w:bCs/>
        </w:rPr>
        <w:t>т</w:t>
      </w:r>
      <w:r w:rsidRPr="000039F3">
        <w:rPr>
          <w:b/>
          <w:bCs/>
        </w:rPr>
        <w:t>ветствуют положениям пункта 6.16.14.1.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17.13.2.2</w:t>
      </w:r>
      <w:r w:rsidRPr="000039F3">
        <w:rPr>
          <w:b/>
          <w:bCs/>
        </w:rPr>
        <w:tab/>
        <w:t>В порядке недопущения поступления бензина в баллон СНГ, что происходит при операциях переключения и может привести к переполнению бака СНГ (т.е. заполнению более чем на 80% его емкости из расчета 80% жидкого и 20% газообразного то</w:t>
      </w:r>
      <w:r w:rsidRPr="000039F3">
        <w:rPr>
          <w:b/>
          <w:bCs/>
        </w:rPr>
        <w:t>п</w:t>
      </w:r>
      <w:r w:rsidRPr="000039F3">
        <w:rPr>
          <w:b/>
          <w:bCs/>
        </w:rPr>
        <w:t>лива), систему СНГ оснащают электронным блоком управл</w:t>
      </w:r>
      <w:r w:rsidRPr="000039F3">
        <w:rPr>
          <w:b/>
          <w:bCs/>
        </w:rPr>
        <w:t>е</w:t>
      </w:r>
      <w:r w:rsidRPr="000039F3">
        <w:rPr>
          <w:b/>
          <w:bCs/>
        </w:rPr>
        <w:t>ния, также отвечающим требованиям пункта 6 приложения 14.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 xml:space="preserve">На линии потока должны устанавливаться два </w:t>
      </w:r>
      <w:r w:rsidRPr="000039F3">
        <w:rPr>
          <w:b/>
        </w:rPr>
        <w:t>дистанционно регулируемых запорных клапана, соответствующих положен</w:t>
      </w:r>
      <w:r w:rsidRPr="000039F3">
        <w:rPr>
          <w:b/>
        </w:rPr>
        <w:t>и</w:t>
      </w:r>
      <w:r w:rsidRPr="000039F3">
        <w:rPr>
          <w:b/>
        </w:rPr>
        <w:t>ям</w:t>
      </w:r>
      <w:r w:rsidRPr="000039F3">
        <w:rPr>
          <w:b/>
          <w:bCs/>
        </w:rPr>
        <w:t xml:space="preserve"> пункта 6.16.3.3.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17.13.2.3</w:t>
      </w:r>
      <w:r w:rsidRPr="000039F3">
        <w:rPr>
          <w:b/>
          <w:bCs/>
        </w:rPr>
        <w:tab/>
        <w:t>Должны быть предусмотрены средства для предотвращения поступления бензина в топливный баллон СНГ, что может об</w:t>
      </w:r>
      <w:r w:rsidRPr="000039F3">
        <w:rPr>
          <w:b/>
          <w:bCs/>
        </w:rPr>
        <w:t>у</w:t>
      </w:r>
      <w:r w:rsidRPr="000039F3">
        <w:rPr>
          <w:b/>
          <w:bCs/>
        </w:rPr>
        <w:t>словить содержание бензина, превышающее 16% фактического объема топлива, находящегося в баке СНГ.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Принятие этой меры подтверждают в соответствии с процед</w:t>
      </w:r>
      <w:r w:rsidRPr="000039F3">
        <w:rPr>
          <w:b/>
          <w:bCs/>
        </w:rPr>
        <w:t>у</w:t>
      </w:r>
      <w:r w:rsidRPr="000039F3">
        <w:rPr>
          <w:b/>
          <w:bCs/>
        </w:rPr>
        <w:t>рами, изложенными в приложении 19.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Настоящее требование должно выполняться также</w:t>
      </w:r>
      <w:r>
        <w:rPr>
          <w:b/>
          <w:bCs/>
        </w:rPr>
        <w:t xml:space="preserve"> </w:t>
      </w:r>
      <w:r w:rsidRPr="000039F3">
        <w:rPr>
          <w:b/>
          <w:bCs/>
        </w:rPr>
        <w:t>в случае сбоев посредством подачи сигнала о неисправности водителю и</w:t>
      </w:r>
      <w:r w:rsidR="00695C43">
        <w:rPr>
          <w:b/>
          <w:bCs/>
        </w:rPr>
        <w:t> </w:t>
      </w:r>
      <w:r w:rsidR="00B06626">
        <w:rPr>
          <w:b/>
          <w:bCs/>
        </w:rPr>
        <w:t xml:space="preserve">– </w:t>
      </w:r>
      <w:r w:rsidRPr="000039F3">
        <w:rPr>
          <w:b/>
          <w:bCs/>
        </w:rPr>
        <w:t>в факультативном порядке</w:t>
      </w:r>
      <w:r w:rsidR="00B06626">
        <w:rPr>
          <w:b/>
          <w:bCs/>
        </w:rPr>
        <w:t xml:space="preserve"> – </w:t>
      </w:r>
      <w:r w:rsidRPr="000039F3">
        <w:rPr>
          <w:b/>
          <w:bCs/>
        </w:rPr>
        <w:t>включения режима аварийной эвакуации своим ходом.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Cs/>
        </w:rPr>
      </w:pPr>
      <w:r w:rsidRPr="000039F3">
        <w:rPr>
          <w:b/>
          <w:bCs/>
        </w:rPr>
        <w:t>17.13.2.4</w:t>
      </w:r>
      <w:r w:rsidRPr="000039F3">
        <w:rPr>
          <w:b/>
          <w:bCs/>
        </w:rPr>
        <w:tab/>
        <w:t>Неметаллические, металлические либо смешанные (металл</w:t>
      </w:r>
      <w:r w:rsidRPr="000039F3">
        <w:rPr>
          <w:b/>
          <w:bCs/>
        </w:rPr>
        <w:t>и</w:t>
      </w:r>
      <w:r w:rsidRPr="000039F3">
        <w:rPr>
          <w:b/>
          <w:bCs/>
        </w:rPr>
        <w:t>ческие/неметаллические) элементы оборудования СНГ, вкл</w:t>
      </w:r>
      <w:r w:rsidRPr="000039F3">
        <w:rPr>
          <w:b/>
          <w:bCs/>
        </w:rPr>
        <w:t>ю</w:t>
      </w:r>
      <w:r w:rsidRPr="000039F3">
        <w:rPr>
          <w:b/>
          <w:bCs/>
        </w:rPr>
        <w:t>чая гибкие шланги и их элементы, и неметаллические, мета</w:t>
      </w:r>
      <w:r w:rsidRPr="000039F3">
        <w:rPr>
          <w:b/>
          <w:bCs/>
        </w:rPr>
        <w:t>л</w:t>
      </w:r>
      <w:r w:rsidRPr="000039F3">
        <w:rPr>
          <w:b/>
          <w:bCs/>
        </w:rPr>
        <w:t>лические либо смешанные (металлические</w:t>
      </w:r>
      <w:r w:rsidR="000F0CF6" w:rsidRPr="000039F3">
        <w:rPr>
          <w:b/>
          <w:bCs/>
        </w:rPr>
        <w:t>/</w:t>
      </w:r>
      <w:r w:rsidRPr="000039F3">
        <w:rPr>
          <w:b/>
          <w:bCs/>
        </w:rPr>
        <w:t>неметаллические) части элементов оборудования СНГ, которые могут вступать в контакт с бензиновым топливом, должны соответствовать тр</w:t>
      </w:r>
      <w:r w:rsidRPr="000039F3">
        <w:rPr>
          <w:b/>
          <w:bCs/>
        </w:rPr>
        <w:t>е</w:t>
      </w:r>
      <w:r w:rsidRPr="000039F3">
        <w:rPr>
          <w:b/>
          <w:bCs/>
        </w:rPr>
        <w:t>бованиям, изложенным в пункте 6.17</w:t>
      </w:r>
      <w:r w:rsidRPr="000039F3">
        <w:rPr>
          <w:bCs/>
        </w:rPr>
        <w:t>.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17.13.2.5</w:t>
      </w:r>
      <w:r w:rsidRPr="000039F3">
        <w:rPr>
          <w:b/>
          <w:bCs/>
        </w:rPr>
        <w:tab/>
        <w:t>ЭУБ, соответствующий предписаниям пункта 17.13.2.2, уст</w:t>
      </w:r>
      <w:r w:rsidRPr="000039F3">
        <w:rPr>
          <w:b/>
          <w:bCs/>
        </w:rPr>
        <w:t>а</w:t>
      </w:r>
      <w:r w:rsidRPr="000039F3">
        <w:rPr>
          <w:b/>
          <w:bCs/>
        </w:rPr>
        <w:t>навливается:</w:t>
      </w:r>
    </w:p>
    <w:p w:rsidR="000039F3" w:rsidRPr="000039F3" w:rsidRDefault="000039F3" w:rsidP="00695C43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на транспортных средствах, в которых объем впрыскив</w:t>
      </w:r>
      <w:r w:rsidRPr="000039F3">
        <w:rPr>
          <w:b/>
          <w:bCs/>
        </w:rPr>
        <w:t>а</w:t>
      </w:r>
      <w:r w:rsidRPr="000039F3">
        <w:rPr>
          <w:b/>
          <w:bCs/>
        </w:rPr>
        <w:t>емого топлива составляет не более 0,4 литра; и</w:t>
      </w:r>
    </w:p>
    <w:p w:rsidR="000039F3" w:rsidRDefault="000039F3" w:rsidP="00695C43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на транспортных средствах, оснащенных баком СНГ е</w:t>
      </w:r>
      <w:r w:rsidRPr="000039F3">
        <w:rPr>
          <w:b/>
          <w:bCs/>
        </w:rPr>
        <w:t>м</w:t>
      </w:r>
      <w:r w:rsidRPr="000039F3">
        <w:rPr>
          <w:b/>
          <w:bCs/>
        </w:rPr>
        <w:t>костью свыше 20 литров</w:t>
      </w:r>
      <w:r w:rsidR="003549C3" w:rsidRPr="000039F3">
        <w:rPr>
          <w:bCs/>
        </w:rPr>
        <w:t>.</w:t>
      </w:r>
      <w:r w:rsidRPr="000039F3">
        <w:rPr>
          <w:bCs/>
        </w:rPr>
        <w:t>»</w:t>
      </w:r>
    </w:p>
    <w:p w:rsidR="000039F3" w:rsidRPr="000039F3" w:rsidRDefault="000039F3" w:rsidP="00695C43">
      <w:pPr>
        <w:pStyle w:val="SingleTxtGR"/>
        <w:keepNext/>
        <w:rPr>
          <w:i/>
        </w:rPr>
      </w:pPr>
      <w:r w:rsidRPr="000039F3">
        <w:rPr>
          <w:i/>
        </w:rPr>
        <w:t xml:space="preserve">Приложение 1, добавить новые позиции 1.2.6 и 1.2.7 </w:t>
      </w:r>
      <w:r w:rsidRPr="000039F3">
        <w:t>следующего содержания:</w:t>
      </w:r>
    </w:p>
    <w:p w:rsidR="00BA626B" w:rsidRDefault="000039F3" w:rsidP="00BA626B">
      <w:pPr>
        <w:pStyle w:val="SingleTxtGR"/>
        <w:tabs>
          <w:tab w:val="clear" w:pos="1701"/>
          <w:tab w:val="clear" w:pos="3969"/>
          <w:tab w:val="right" w:leader="dot" w:pos="8364"/>
        </w:tabs>
        <w:ind w:left="2268" w:hanging="1134"/>
        <w:rPr>
          <w:b/>
        </w:rPr>
      </w:pPr>
      <w:r w:rsidRPr="000039F3">
        <w:t>«</w:t>
      </w:r>
      <w:r w:rsidRPr="000039F3">
        <w:rPr>
          <w:b/>
        </w:rPr>
        <w:t>1.2.6</w:t>
      </w:r>
      <w:r w:rsidRPr="000039F3">
        <w:rPr>
          <w:b/>
        </w:rPr>
        <w:tab/>
      </w:r>
      <w:r w:rsidRPr="000039F3">
        <w:rPr>
          <w:b/>
          <w:bCs/>
        </w:rPr>
        <w:t>Документация с изложением соответствующих положений и описание системы/чертежи на предмет недопущения перепо</w:t>
      </w:r>
      <w:r w:rsidRPr="000039F3">
        <w:rPr>
          <w:b/>
          <w:bCs/>
        </w:rPr>
        <w:t>л</w:t>
      </w:r>
      <w:r w:rsidRPr="000039F3">
        <w:rPr>
          <w:b/>
          <w:bCs/>
        </w:rPr>
        <w:t>нения бака СНГ (пункт 17.13.2.2)</w:t>
      </w:r>
      <w:r w:rsidRPr="000039F3">
        <w:rPr>
          <w:b/>
        </w:rPr>
        <w:t>:</w:t>
      </w:r>
      <w:r w:rsidRPr="000039F3">
        <w:rPr>
          <w:b/>
        </w:rPr>
        <w:tab/>
      </w:r>
    </w:p>
    <w:p w:rsidR="000039F3" w:rsidRDefault="000039F3" w:rsidP="00BA626B">
      <w:pPr>
        <w:pStyle w:val="SingleTxtGR"/>
        <w:tabs>
          <w:tab w:val="clear" w:pos="1701"/>
          <w:tab w:val="clear" w:pos="3969"/>
          <w:tab w:val="right" w:leader="dot" w:pos="8364"/>
        </w:tabs>
        <w:ind w:left="2268" w:hanging="1134"/>
      </w:pPr>
      <w:r w:rsidRPr="000039F3">
        <w:rPr>
          <w:b/>
        </w:rPr>
        <w:t>1.2.7</w:t>
      </w:r>
      <w:r w:rsidRPr="000039F3">
        <w:rPr>
          <w:b/>
        </w:rPr>
        <w:tab/>
      </w:r>
      <w:r w:rsidRPr="000039F3">
        <w:rPr>
          <w:b/>
          <w:bCs/>
        </w:rPr>
        <w:t>Документация с изложением соответствующих положений о</w:t>
      </w:r>
      <w:r>
        <w:rPr>
          <w:b/>
          <w:bCs/>
        </w:rPr>
        <w:t xml:space="preserve"> </w:t>
      </w:r>
      <w:r w:rsidRPr="000039F3">
        <w:rPr>
          <w:b/>
        </w:rPr>
        <w:t>с</w:t>
      </w:r>
      <w:r w:rsidRPr="000039F3">
        <w:rPr>
          <w:b/>
        </w:rPr>
        <w:t>о</w:t>
      </w:r>
      <w:r w:rsidRPr="000039F3">
        <w:rPr>
          <w:b/>
        </w:rPr>
        <w:t>общающихся системах СНГ (приложение 19):</w:t>
      </w:r>
      <w:r w:rsidRPr="000039F3">
        <w:rPr>
          <w:b/>
        </w:rPr>
        <w:tab/>
      </w:r>
      <w:r w:rsidRPr="000039F3">
        <w:t>»</w:t>
      </w:r>
    </w:p>
    <w:p w:rsidR="000039F3" w:rsidRPr="000039F3" w:rsidRDefault="000039F3" w:rsidP="000039F3">
      <w:pPr>
        <w:pStyle w:val="SingleTxtGR"/>
      </w:pPr>
      <w:r w:rsidRPr="000039F3">
        <w:rPr>
          <w:i/>
        </w:rPr>
        <w:t xml:space="preserve">Приложение 2A, включить новое добавление 1 </w:t>
      </w:r>
      <w:r w:rsidRPr="000039F3">
        <w:t>следующего содержания:</w:t>
      </w:r>
    </w:p>
    <w:p w:rsidR="000039F3" w:rsidRPr="000039F3" w:rsidRDefault="000039F3" w:rsidP="003549C3">
      <w:pPr>
        <w:pStyle w:val="HChGR"/>
      </w:pPr>
      <w:r w:rsidRPr="003549C3">
        <w:rPr>
          <w:b w:val="0"/>
          <w:sz w:val="20"/>
        </w:rPr>
        <w:t>«</w:t>
      </w:r>
      <w:r w:rsidRPr="000039F3">
        <w:t>Приложение 2A – Добавление 1</w:t>
      </w:r>
    </w:p>
    <w:p w:rsidR="000039F3" w:rsidRPr="003549C3" w:rsidRDefault="000F0CF6" w:rsidP="003549C3">
      <w:pPr>
        <w:pStyle w:val="SingleTxtGR"/>
        <w:rPr>
          <w:b/>
        </w:rPr>
      </w:pPr>
      <w:r>
        <w:rPr>
          <w:b/>
        </w:rPr>
        <w:tab/>
      </w:r>
      <w:r w:rsidR="000039F3" w:rsidRPr="003549C3">
        <w:rPr>
          <w:b/>
        </w:rPr>
        <w:t>Схема знака официального утверждения типа неметаллических, м</w:t>
      </w:r>
      <w:r w:rsidR="000039F3" w:rsidRPr="003549C3">
        <w:rPr>
          <w:b/>
        </w:rPr>
        <w:t>е</w:t>
      </w:r>
      <w:r w:rsidR="000039F3" w:rsidRPr="003549C3">
        <w:rPr>
          <w:b/>
        </w:rPr>
        <w:t>таллических либо смешанных (металлических</w:t>
      </w:r>
      <w:r>
        <w:rPr>
          <w:b/>
          <w:bCs/>
          <w:spacing w:val="-40"/>
        </w:rPr>
        <w:t> </w:t>
      </w:r>
      <w:r w:rsidRPr="003B118A">
        <w:rPr>
          <w:b/>
          <w:bCs/>
          <w:spacing w:val="-40"/>
        </w:rPr>
        <w:t xml:space="preserve">/ </w:t>
      </w:r>
      <w:r w:rsidR="000039F3" w:rsidRPr="003549C3">
        <w:rPr>
          <w:b/>
        </w:rPr>
        <w:t>неметаллических) элеме</w:t>
      </w:r>
      <w:r w:rsidR="000039F3" w:rsidRPr="003549C3">
        <w:rPr>
          <w:b/>
        </w:rPr>
        <w:t>н</w:t>
      </w:r>
      <w:r w:rsidR="000039F3" w:rsidRPr="003549C3">
        <w:rPr>
          <w:b/>
        </w:rPr>
        <w:t>тов оборудования СНГ и элементов оборудования СНГ, содержащих нем</w:t>
      </w:r>
      <w:r w:rsidR="000039F3" w:rsidRPr="003549C3">
        <w:rPr>
          <w:b/>
        </w:rPr>
        <w:t>е</w:t>
      </w:r>
      <w:r w:rsidR="000039F3" w:rsidRPr="003549C3">
        <w:rPr>
          <w:b/>
        </w:rPr>
        <w:t>таллические, металлические либо смешанные (металлические</w:t>
      </w:r>
      <w:r>
        <w:rPr>
          <w:b/>
          <w:bCs/>
          <w:spacing w:val="-40"/>
        </w:rPr>
        <w:t> </w:t>
      </w:r>
      <w:r w:rsidRPr="003B118A">
        <w:rPr>
          <w:b/>
          <w:bCs/>
          <w:spacing w:val="-40"/>
        </w:rPr>
        <w:t xml:space="preserve">/ </w:t>
      </w:r>
      <w:r w:rsidR="000039F3" w:rsidRPr="003549C3">
        <w:rPr>
          <w:b/>
        </w:rPr>
        <w:t>неметалл</w:t>
      </w:r>
      <w:r w:rsidR="000039F3" w:rsidRPr="003549C3">
        <w:rPr>
          <w:b/>
        </w:rPr>
        <w:t>и</w:t>
      </w:r>
      <w:r w:rsidR="000039F3" w:rsidRPr="003549C3">
        <w:rPr>
          <w:b/>
        </w:rPr>
        <w:t>ческие) части, совместимые с бензиновым топливом. Буквой N обознач</w:t>
      </w:r>
      <w:r w:rsidR="000039F3" w:rsidRPr="003549C3">
        <w:rPr>
          <w:b/>
        </w:rPr>
        <w:t>а</w:t>
      </w:r>
      <w:r w:rsidR="000039F3" w:rsidRPr="003549C3">
        <w:rPr>
          <w:b/>
        </w:rPr>
        <w:t>ются неметаллические элементы оборудования. Буквой M обозначаются металлические элементы оборудования. Буквами NM обозначается комб</w:t>
      </w:r>
      <w:r w:rsidR="000039F3" w:rsidRPr="003549C3">
        <w:rPr>
          <w:b/>
        </w:rPr>
        <w:t>и</w:t>
      </w:r>
      <w:r w:rsidR="000039F3" w:rsidRPr="003549C3">
        <w:rPr>
          <w:b/>
        </w:rPr>
        <w:t>нация металлических и неметаллических элементов оборудования. (См. пункт 6.17 настоящих Правил.)</w:t>
      </w:r>
    </w:p>
    <w:tbl>
      <w:tblPr>
        <w:tblStyle w:val="TableGrid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4181"/>
      </w:tblGrid>
      <w:tr w:rsidR="0054392A" w:rsidRPr="009A4388" w:rsidTr="00B91532">
        <w:tc>
          <w:tcPr>
            <w:tcW w:w="3190" w:type="dxa"/>
            <w:vAlign w:val="center"/>
          </w:tcPr>
          <w:p w:rsidR="0054392A" w:rsidRDefault="0054392A" w:rsidP="0054392A">
            <w:pPr>
              <w:jc w:val="center"/>
              <w:rPr>
                <w:lang w:eastAsia="ru-RU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D517000" wp14:editId="3842B3F3">
                  <wp:extent cx="1887893" cy="1060938"/>
                  <wp:effectExtent l="0" t="0" r="0" b="6350"/>
                  <wp:docPr id="9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409" cy="1070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1" w:type="dxa"/>
            <w:vAlign w:val="center"/>
          </w:tcPr>
          <w:p w:rsidR="00B91532" w:rsidRDefault="00B91532" w:rsidP="0054392A">
            <w:pPr>
              <w:jc w:val="center"/>
              <w:rPr>
                <w:rFonts w:eastAsia="Times New Roman" w:cs="Times New Roman"/>
                <w:b/>
                <w:sz w:val="28"/>
                <w:szCs w:val="28"/>
                <w:lang w:val="en-US"/>
              </w:rPr>
            </w:pPr>
          </w:p>
          <w:p w:rsidR="0054392A" w:rsidRDefault="0054392A" w:rsidP="005D3A6D">
            <w:pPr>
              <w:spacing w:before="120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  <w:r w:rsidRPr="0054392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67 R</w:t>
            </w:r>
            <w:r w:rsidR="00B91532" w:rsidRPr="009A4388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–</w:t>
            </w:r>
            <w:r w:rsidRPr="0054392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012439</w:t>
            </w:r>
            <w:r w:rsidRPr="0054392A">
              <w:rPr>
                <w:b/>
                <w:sz w:val="28"/>
                <w:szCs w:val="28"/>
                <w:lang w:val="en-US"/>
              </w:rPr>
              <w:t>–</w:t>
            </w:r>
            <w:r w:rsidRPr="0054392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NM</w:t>
            </w:r>
            <w:r w:rsidRPr="0054392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54392A">
              <w:rPr>
                <w:rFonts w:eastAsia="Times New Roman" w:cs="Times New Roman"/>
                <w:b/>
                <w:sz w:val="28"/>
                <w:szCs w:val="28"/>
                <w:lang w:val="en-US"/>
              </w:rPr>
              <w:t>CLASS #</w:t>
            </w:r>
            <w:r w:rsidRPr="0054392A"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  <w:t>1</w:t>
            </w:r>
          </w:p>
          <w:p w:rsidR="00B91532" w:rsidRDefault="00B91532" w:rsidP="0054392A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vertAlign w:val="superscript"/>
                <w:lang w:val="en-US"/>
              </w:rPr>
            </w:pPr>
          </w:p>
          <w:p w:rsidR="00B91532" w:rsidRPr="00B91532" w:rsidRDefault="00B91532" w:rsidP="00B91532">
            <w:pPr>
              <w:rPr>
                <w:sz w:val="28"/>
                <w:szCs w:val="28"/>
                <w:lang w:val="en-US" w:eastAsia="ru-RU"/>
              </w:rPr>
            </w:pPr>
            <w:r w:rsidRPr="000039F3">
              <w:rPr>
                <w:rFonts w:eastAsia="Times New Roman" w:cs="Times New Roman"/>
                <w:b/>
                <w:bCs/>
                <w:szCs w:val="20"/>
                <w:lang w:val="en-US"/>
              </w:rPr>
              <w:t xml:space="preserve">a </w:t>
            </w:r>
            <w:r w:rsidRPr="000039F3">
              <w:rPr>
                <w:rFonts w:eastAsia="Times New Roman" w:cs="Times New Roman"/>
                <w:b/>
                <w:bCs/>
                <w:szCs w:val="20"/>
              </w:rPr>
              <w:sym w:font="Symbol" w:char="F0B3"/>
            </w:r>
            <w:r w:rsidRPr="000039F3">
              <w:rPr>
                <w:rFonts w:eastAsia="Times New Roman" w:cs="Times New Roman"/>
                <w:b/>
                <w:bCs/>
                <w:szCs w:val="20"/>
                <w:lang w:val="en-US"/>
              </w:rPr>
              <w:t xml:space="preserve"> 5 </w:t>
            </w:r>
            <w:r w:rsidRPr="000039F3">
              <w:rPr>
                <w:rFonts w:eastAsia="Times New Roman" w:cs="Times New Roman"/>
                <w:b/>
                <w:bCs/>
                <w:szCs w:val="20"/>
              </w:rPr>
              <w:t>мм</w:t>
            </w:r>
          </w:p>
        </w:tc>
      </w:tr>
    </w:tbl>
    <w:p w:rsidR="000039F3" w:rsidRPr="009A4388" w:rsidRDefault="000039F3" w:rsidP="00B91532">
      <w:pPr>
        <w:pStyle w:val="SingleTxtGR"/>
        <w:jc w:val="right"/>
        <w:rPr>
          <w:b/>
          <w:bCs/>
        </w:rPr>
      </w:pPr>
      <w:r w:rsidRPr="000039F3">
        <w:rPr>
          <w:b/>
          <w:bCs/>
          <w:lang w:val="en-US"/>
        </w:rPr>
        <w:tab/>
      </w:r>
      <w:r w:rsidRPr="000039F3">
        <w:rPr>
          <w:b/>
          <w:bCs/>
          <w:lang w:val="en-US"/>
        </w:rPr>
        <w:tab/>
      </w:r>
      <w:r w:rsidRPr="009A4388">
        <w:rPr>
          <w:b/>
          <w:bCs/>
          <w:vertAlign w:val="superscript"/>
        </w:rPr>
        <w:t>1</w:t>
      </w:r>
      <w:r w:rsidRPr="009A4388">
        <w:rPr>
          <w:b/>
          <w:bCs/>
        </w:rPr>
        <w:t xml:space="preserve"> </w:t>
      </w:r>
      <w:r w:rsidRPr="000039F3">
        <w:rPr>
          <w:b/>
          <w:bCs/>
        </w:rPr>
        <w:t>Класс</w:t>
      </w:r>
      <w:r w:rsidRPr="009A4388">
        <w:rPr>
          <w:b/>
          <w:bCs/>
        </w:rPr>
        <w:t xml:space="preserve"> 0, 1, 2, 2</w:t>
      </w:r>
      <w:r w:rsidRPr="000039F3">
        <w:rPr>
          <w:b/>
          <w:bCs/>
          <w:lang w:val="en-US"/>
        </w:rPr>
        <w:t>A</w:t>
      </w:r>
      <w:r w:rsidRPr="009A4388">
        <w:rPr>
          <w:b/>
          <w:bCs/>
        </w:rPr>
        <w:t xml:space="preserve"> </w:t>
      </w:r>
      <w:r w:rsidRPr="000039F3">
        <w:rPr>
          <w:b/>
          <w:bCs/>
        </w:rPr>
        <w:t>или</w:t>
      </w:r>
      <w:r w:rsidRPr="009A4388">
        <w:rPr>
          <w:b/>
          <w:bCs/>
        </w:rPr>
        <w:t xml:space="preserve"> 3</w:t>
      </w:r>
    </w:p>
    <w:p w:rsidR="000039F3" w:rsidRPr="000039F3" w:rsidRDefault="000039F3" w:rsidP="000039F3">
      <w:pPr>
        <w:pStyle w:val="SingleTxtGR"/>
        <w:rPr>
          <w:b/>
        </w:rPr>
      </w:pPr>
      <w:r w:rsidRPr="009A4388">
        <w:rPr>
          <w:b/>
        </w:rPr>
        <w:tab/>
      </w:r>
      <w:r w:rsidRPr="000039F3">
        <w:rPr>
          <w:b/>
        </w:rPr>
        <w:t>Приведенный выше знак официального утверждения проставляют на элементе оборудования СНГ или</w:t>
      </w:r>
      <w:r w:rsidRPr="000039F3">
        <w:rPr>
          <w:b/>
          <w:iCs/>
        </w:rPr>
        <w:t xml:space="preserve"> –</w:t>
      </w:r>
      <w:r w:rsidRPr="000039F3">
        <w:rPr>
          <w:b/>
        </w:rPr>
        <w:t xml:space="preserve"> если этот элемент оборудования уст</w:t>
      </w:r>
      <w:r w:rsidRPr="000039F3">
        <w:rPr>
          <w:b/>
        </w:rPr>
        <w:t>а</w:t>
      </w:r>
      <w:r w:rsidRPr="000039F3">
        <w:rPr>
          <w:b/>
        </w:rPr>
        <w:t>навливается таким образом, что к нему не имеется беспрепятственного д</w:t>
      </w:r>
      <w:r w:rsidRPr="000039F3">
        <w:rPr>
          <w:b/>
        </w:rPr>
        <w:t>о</w:t>
      </w:r>
      <w:r w:rsidRPr="000039F3">
        <w:rPr>
          <w:b/>
        </w:rPr>
        <w:t>ступа,</w:t>
      </w:r>
      <w:r w:rsidRPr="000039F3">
        <w:rPr>
          <w:b/>
          <w:iCs/>
        </w:rPr>
        <w:t xml:space="preserve"> − </w:t>
      </w:r>
      <w:r w:rsidRPr="000039F3">
        <w:rPr>
          <w:b/>
        </w:rPr>
        <w:t xml:space="preserve">на опознавательной табличке, помещаемой в моторном отделении и прикрепляемой к видимой несъемной детали шасси. </w:t>
      </w:r>
    </w:p>
    <w:p w:rsidR="000039F3" w:rsidRPr="000039F3" w:rsidRDefault="000039F3" w:rsidP="000039F3">
      <w:pPr>
        <w:pStyle w:val="SingleTxtGR"/>
      </w:pPr>
      <w:r w:rsidRPr="000039F3">
        <w:rPr>
          <w:b/>
        </w:rPr>
        <w:tab/>
        <w:t xml:space="preserve">Этот знак </w:t>
      </w:r>
      <w:r w:rsidRPr="000039F3">
        <w:rPr>
          <w:b/>
          <w:bCs/>
        </w:rPr>
        <w:t>официального утверждения</w:t>
      </w:r>
      <w:r w:rsidRPr="000039F3">
        <w:rPr>
          <w:b/>
        </w:rPr>
        <w:t xml:space="preserve"> указывает, что данный эл</w:t>
      </w:r>
      <w:r w:rsidRPr="000039F3">
        <w:rPr>
          <w:b/>
        </w:rPr>
        <w:t>е</w:t>
      </w:r>
      <w:r w:rsidRPr="000039F3">
        <w:rPr>
          <w:b/>
        </w:rPr>
        <w:t>мент оборудования официально утвержден в Нидерландах (E4) на основ</w:t>
      </w:r>
      <w:r w:rsidRPr="000039F3">
        <w:rPr>
          <w:b/>
        </w:rPr>
        <w:t>а</w:t>
      </w:r>
      <w:r w:rsidRPr="000039F3">
        <w:rPr>
          <w:b/>
        </w:rPr>
        <w:t>нии Правил № 67 под номером официального утверждения 012439. Первые две цифры номера официального утверждения указывают на то, что оф</w:t>
      </w:r>
      <w:r w:rsidRPr="000039F3">
        <w:rPr>
          <w:b/>
        </w:rPr>
        <w:t>и</w:t>
      </w:r>
      <w:r w:rsidRPr="000039F3">
        <w:rPr>
          <w:b/>
        </w:rPr>
        <w:t>циальное утверждение было предоставлено в соответствии с предписани</w:t>
      </w:r>
      <w:r w:rsidRPr="000039F3">
        <w:rPr>
          <w:b/>
        </w:rPr>
        <w:t>я</w:t>
      </w:r>
      <w:r w:rsidRPr="000039F3">
        <w:rPr>
          <w:b/>
        </w:rPr>
        <w:t>ми Правил № 67 с внесенными в них поправками серии 01</w:t>
      </w:r>
      <w:r w:rsidR="00A96C98" w:rsidRPr="000039F3">
        <w:t>.</w:t>
      </w:r>
      <w:r w:rsidRPr="000039F3">
        <w:t>»</w:t>
      </w:r>
    </w:p>
    <w:p w:rsidR="000039F3" w:rsidRPr="000039F3" w:rsidRDefault="000039F3" w:rsidP="000039F3">
      <w:pPr>
        <w:pStyle w:val="SingleTxtGR"/>
        <w:rPr>
          <w:i/>
        </w:rPr>
      </w:pPr>
      <w:r w:rsidRPr="000039F3">
        <w:rPr>
          <w:i/>
        </w:rPr>
        <w:t>Приложение 7</w:t>
      </w:r>
    </w:p>
    <w:p w:rsidR="000039F3" w:rsidRPr="000039F3" w:rsidRDefault="000039F3" w:rsidP="000039F3">
      <w:pPr>
        <w:pStyle w:val="SingleTxtGR"/>
        <w:rPr>
          <w:i/>
        </w:rPr>
      </w:pPr>
      <w:r w:rsidRPr="000039F3">
        <w:rPr>
          <w:i/>
        </w:rPr>
        <w:t>Включить новый пункт 1.8 следующего содержания</w:t>
      </w:r>
      <w:r w:rsidRPr="000039F3">
        <w:t>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</w:pPr>
      <w:r w:rsidRPr="009A4388">
        <w:t>«</w:t>
      </w:r>
      <w:r w:rsidRPr="000039F3">
        <w:rPr>
          <w:b/>
        </w:rPr>
        <w:t>1.8</w:t>
      </w:r>
      <w:r w:rsidRPr="000039F3">
        <w:rPr>
          <w:b/>
        </w:rPr>
        <w:tab/>
        <w:t xml:space="preserve">Если в сообщающейся системе СНГ используется </w:t>
      </w:r>
      <w:r w:rsidRPr="000039F3">
        <w:rPr>
          <w:b/>
          <w:bCs/>
        </w:rPr>
        <w:t>дистанцио</w:t>
      </w:r>
      <w:r w:rsidRPr="000039F3">
        <w:rPr>
          <w:b/>
          <w:bCs/>
        </w:rPr>
        <w:t>н</w:t>
      </w:r>
      <w:r w:rsidRPr="000039F3">
        <w:rPr>
          <w:b/>
          <w:bCs/>
        </w:rPr>
        <w:t>но регулируемый запорный клапан,</w:t>
      </w:r>
      <w:r w:rsidRPr="000039F3">
        <w:rPr>
          <w:b/>
        </w:rPr>
        <w:t xml:space="preserve"> то применяются полож</w:t>
      </w:r>
      <w:r w:rsidRPr="000039F3">
        <w:rPr>
          <w:b/>
        </w:rPr>
        <w:t>е</w:t>
      </w:r>
      <w:r w:rsidRPr="000039F3">
        <w:rPr>
          <w:b/>
        </w:rPr>
        <w:t>ния пункта 6.16.3.3</w:t>
      </w:r>
      <w:r w:rsidR="00A96C98">
        <w:t>.»</w:t>
      </w:r>
    </w:p>
    <w:p w:rsidR="000039F3" w:rsidRPr="000039F3" w:rsidRDefault="000039F3" w:rsidP="000039F3">
      <w:pPr>
        <w:pStyle w:val="SingleTxtGR"/>
        <w:rPr>
          <w:bCs/>
          <w:i/>
        </w:rPr>
      </w:pPr>
      <w:r w:rsidRPr="000039F3">
        <w:rPr>
          <w:bCs/>
          <w:i/>
        </w:rPr>
        <w:t>Включить новый пункт 2.7</w:t>
      </w:r>
      <w:r w:rsidR="00A96C98">
        <w:rPr>
          <w:bCs/>
          <w:i/>
        </w:rPr>
        <w:t xml:space="preserve"> </w:t>
      </w:r>
      <w:r w:rsidRPr="000039F3">
        <w:rPr>
          <w:bCs/>
          <w:i/>
        </w:rPr>
        <w:t>следующего содержания</w:t>
      </w:r>
      <w:r w:rsidRPr="000039F3">
        <w:rPr>
          <w:bCs/>
        </w:rPr>
        <w:t>:</w:t>
      </w:r>
    </w:p>
    <w:p w:rsidR="000039F3" w:rsidRDefault="000039F3" w:rsidP="005D3A6D">
      <w:pPr>
        <w:pStyle w:val="SingleTxtGR"/>
        <w:tabs>
          <w:tab w:val="clear" w:pos="1701"/>
        </w:tabs>
        <w:ind w:left="2268" w:hanging="1134"/>
        <w:rPr>
          <w:bCs/>
        </w:rPr>
      </w:pPr>
      <w:r w:rsidRPr="009A4388">
        <w:t>«</w:t>
      </w:r>
      <w:r w:rsidRPr="000039F3">
        <w:rPr>
          <w:b/>
        </w:rPr>
        <w:t>2.7</w:t>
      </w:r>
      <w:r w:rsidRPr="000039F3">
        <w:rPr>
          <w:b/>
        </w:rPr>
        <w:tab/>
        <w:t>Если</w:t>
      </w:r>
      <w:r>
        <w:rPr>
          <w:b/>
        </w:rPr>
        <w:t xml:space="preserve"> </w:t>
      </w:r>
      <w:r w:rsidRPr="000039F3">
        <w:rPr>
          <w:b/>
        </w:rPr>
        <w:t xml:space="preserve">используется </w:t>
      </w:r>
      <w:r w:rsidRPr="000039F3">
        <w:rPr>
          <w:b/>
          <w:bCs/>
        </w:rPr>
        <w:t>дистанционно регулируемый запорный кл</w:t>
      </w:r>
      <w:r w:rsidRPr="000039F3">
        <w:rPr>
          <w:b/>
          <w:bCs/>
        </w:rPr>
        <w:t>а</w:t>
      </w:r>
      <w:r w:rsidRPr="000039F3">
        <w:rPr>
          <w:b/>
          <w:bCs/>
        </w:rPr>
        <w:t xml:space="preserve">пан в соответствии с пунктом 6.16.14.1 </w:t>
      </w:r>
      <w:r w:rsidRPr="000039F3">
        <w:rPr>
          <w:b/>
        </w:rPr>
        <w:t>(в сообщающейся с</w:t>
      </w:r>
      <w:r w:rsidRPr="000039F3">
        <w:rPr>
          <w:b/>
        </w:rPr>
        <w:t>и</w:t>
      </w:r>
      <w:r w:rsidRPr="000039F3">
        <w:rPr>
          <w:b/>
        </w:rPr>
        <w:t>стеме СНГ)</w:t>
      </w:r>
      <w:r w:rsidRPr="000039F3">
        <w:rPr>
          <w:b/>
          <w:bCs/>
        </w:rPr>
        <w:t>,</w:t>
      </w:r>
      <w:r w:rsidRPr="000039F3">
        <w:rPr>
          <w:b/>
        </w:rPr>
        <w:t xml:space="preserve"> то применяются положения, изложенные в том же пункте</w:t>
      </w:r>
      <w:r w:rsidR="00A96C98">
        <w:t>.»</w:t>
      </w:r>
    </w:p>
    <w:p w:rsidR="000039F3" w:rsidRPr="000039F3" w:rsidRDefault="000039F3" w:rsidP="000039F3">
      <w:pPr>
        <w:pStyle w:val="SingleTxtGR"/>
      </w:pPr>
      <w:r w:rsidRPr="000039F3">
        <w:rPr>
          <w:i/>
        </w:rPr>
        <w:t>Приложение 14, включить новые пункты 6</w:t>
      </w:r>
      <w:r w:rsidR="00B06626">
        <w:rPr>
          <w:i/>
        </w:rPr>
        <w:t>–</w:t>
      </w:r>
      <w:r w:rsidRPr="000039F3">
        <w:rPr>
          <w:i/>
        </w:rPr>
        <w:t>6.4 следующего содержания</w:t>
      </w:r>
      <w:r w:rsidRPr="000039F3">
        <w:t>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t>«</w:t>
      </w:r>
      <w:r w:rsidRPr="000039F3">
        <w:rPr>
          <w:b/>
        </w:rPr>
        <w:t>6.</w:t>
      </w:r>
      <w:r w:rsidRPr="000039F3">
        <w:rPr>
          <w:b/>
        </w:rPr>
        <w:tab/>
        <w:t xml:space="preserve">Если электронный управляющий блок (ЭУБ) предназначен для установки в качестве элемента оборудования сообщающейся </w:t>
      </w:r>
      <w:r w:rsidRPr="000039F3">
        <w:rPr>
          <w:b/>
          <w:bCs/>
        </w:rPr>
        <w:t xml:space="preserve">системы СНГ, то </w:t>
      </w:r>
      <w:r w:rsidRPr="000039F3">
        <w:rPr>
          <w:b/>
          <w:bCs/>
          <w:iCs/>
        </w:rPr>
        <w:t xml:space="preserve">после каждой операции переключения на </w:t>
      </w:r>
      <w:r w:rsidRPr="000039F3">
        <w:rPr>
          <w:b/>
          <w:bCs/>
        </w:rPr>
        <w:t>р</w:t>
      </w:r>
      <w:r w:rsidRPr="000039F3">
        <w:rPr>
          <w:b/>
          <w:bCs/>
        </w:rPr>
        <w:t>е</w:t>
      </w:r>
      <w:r w:rsidRPr="000039F3">
        <w:rPr>
          <w:b/>
          <w:bCs/>
        </w:rPr>
        <w:t>жим работы на</w:t>
      </w:r>
      <w:r w:rsidRPr="000039F3">
        <w:rPr>
          <w:b/>
          <w:bCs/>
          <w:iCs/>
        </w:rPr>
        <w:t xml:space="preserve"> СНГ</w:t>
      </w:r>
      <w:r w:rsidRPr="000039F3">
        <w:rPr>
          <w:b/>
          <w:bCs/>
        </w:rPr>
        <w:t xml:space="preserve"> он должен </w:t>
      </w:r>
      <w:r w:rsidRPr="000039F3">
        <w:rPr>
          <w:b/>
          <w:bCs/>
          <w:iCs/>
        </w:rPr>
        <w:t>− за счет регулирования</w:t>
      </w:r>
      <w:r w:rsidRPr="000039F3">
        <w:rPr>
          <w:b/>
          <w:bCs/>
        </w:rPr>
        <w:t xml:space="preserve"> сист</w:t>
      </w:r>
      <w:r w:rsidRPr="000039F3">
        <w:rPr>
          <w:b/>
          <w:bCs/>
        </w:rPr>
        <w:t>е</w:t>
      </w:r>
      <w:r w:rsidRPr="000039F3">
        <w:rPr>
          <w:b/>
          <w:bCs/>
        </w:rPr>
        <w:t xml:space="preserve">мы переключения видов топлива </w:t>
      </w:r>
      <w:r w:rsidRPr="000039F3">
        <w:rPr>
          <w:b/>
          <w:bCs/>
          <w:iCs/>
        </w:rPr>
        <w:t>− блокировать функционир</w:t>
      </w:r>
      <w:r w:rsidRPr="000039F3">
        <w:rPr>
          <w:b/>
          <w:bCs/>
          <w:iCs/>
        </w:rPr>
        <w:t>о</w:t>
      </w:r>
      <w:r w:rsidRPr="000039F3">
        <w:rPr>
          <w:b/>
          <w:bCs/>
          <w:iCs/>
        </w:rPr>
        <w:t>вание транспортного средства в режиме работы на бензине до тех пор, пока не будет израсходован объем жидкого топлива, э</w:t>
      </w:r>
      <w:r w:rsidRPr="000039F3">
        <w:rPr>
          <w:b/>
          <w:bCs/>
          <w:iCs/>
        </w:rPr>
        <w:t>к</w:t>
      </w:r>
      <w:r w:rsidRPr="000039F3">
        <w:rPr>
          <w:b/>
          <w:bCs/>
          <w:iCs/>
        </w:rPr>
        <w:t>вивалентный объему, поступившему в бак СНГ в ходе такой операции.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</w:rPr>
        <w:tab/>
        <w:t>Независимо от данного положения, ЭУБ может допускать пер</w:t>
      </w:r>
      <w:r w:rsidRPr="000039F3">
        <w:rPr>
          <w:b/>
        </w:rPr>
        <w:t>е</w:t>
      </w:r>
      <w:r w:rsidRPr="000039F3">
        <w:rPr>
          <w:b/>
        </w:rPr>
        <w:t xml:space="preserve">ключение на </w:t>
      </w:r>
      <w:r w:rsidRPr="000039F3">
        <w:rPr>
          <w:b/>
          <w:bCs/>
          <w:iCs/>
        </w:rPr>
        <w:t>режим работы на бензине, если сбой в функци</w:t>
      </w:r>
      <w:r w:rsidRPr="000039F3">
        <w:rPr>
          <w:b/>
          <w:bCs/>
          <w:iCs/>
        </w:rPr>
        <w:t>о</w:t>
      </w:r>
      <w:r w:rsidRPr="000039F3">
        <w:rPr>
          <w:b/>
          <w:bCs/>
          <w:iCs/>
        </w:rPr>
        <w:t>нировании системы СНГ делает ее неработоспособной. Такой сбой должен четко сигнализироваться водителю.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 xml:space="preserve">В случае </w:t>
      </w:r>
      <w:r w:rsidRPr="000039F3">
        <w:rPr>
          <w:b/>
          <w:bCs/>
          <w:iCs/>
        </w:rPr>
        <w:t>неработоспособности системы СНГ</w:t>
      </w:r>
      <w:r w:rsidRPr="000039F3">
        <w:rPr>
          <w:b/>
          <w:bCs/>
        </w:rPr>
        <w:t xml:space="preserve"> на линии потока устанавливается дистанционно регулируемый запорный кл</w:t>
      </w:r>
      <w:r w:rsidRPr="000039F3">
        <w:rPr>
          <w:b/>
          <w:bCs/>
        </w:rPr>
        <w:t>а</w:t>
      </w:r>
      <w:r w:rsidRPr="000039F3">
        <w:rPr>
          <w:b/>
          <w:bCs/>
        </w:rPr>
        <w:t>пан, соответствующий требованиям пункта 6.16.3.3,</w:t>
      </w:r>
      <w:r>
        <w:rPr>
          <w:b/>
          <w:bCs/>
        </w:rPr>
        <w:t xml:space="preserve"> </w:t>
      </w:r>
      <w:r w:rsidRPr="000039F3">
        <w:rPr>
          <w:b/>
          <w:bCs/>
        </w:rPr>
        <w:t>для предотвращения любого поступления бензина в бак СНГ после переключения на режим работы на бензине.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6.1</w:t>
      </w:r>
      <w:r w:rsidRPr="000039F3">
        <w:rPr>
          <w:b/>
          <w:bCs/>
        </w:rPr>
        <w:tab/>
        <w:t>Максимальный объем жидкого топлива, впрыскиваемого</w:t>
      </w:r>
      <w:r w:rsidR="00F517F0">
        <w:rPr>
          <w:b/>
          <w:bCs/>
        </w:rPr>
        <w:t xml:space="preserve"> </w:t>
      </w:r>
      <w:r w:rsidRPr="000039F3">
        <w:rPr>
          <w:b/>
          <w:bCs/>
        </w:rPr>
        <w:t>в х</w:t>
      </w:r>
      <w:r w:rsidRPr="000039F3">
        <w:rPr>
          <w:b/>
          <w:bCs/>
        </w:rPr>
        <w:t>о</w:t>
      </w:r>
      <w:r w:rsidRPr="000039F3">
        <w:rPr>
          <w:b/>
          <w:bCs/>
        </w:rPr>
        <w:t>де операций переключения, не должен превышать 0,4 литра, а минимальный объем бака должен составлять не менее 20 ли</w:t>
      </w:r>
      <w:r w:rsidRPr="000039F3">
        <w:rPr>
          <w:b/>
          <w:bCs/>
        </w:rPr>
        <w:t>т</w:t>
      </w:r>
      <w:r w:rsidRPr="000039F3">
        <w:rPr>
          <w:b/>
          <w:bCs/>
        </w:rPr>
        <w:t>ров.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6.2</w:t>
      </w:r>
      <w:r w:rsidRPr="000039F3">
        <w:rPr>
          <w:b/>
          <w:bCs/>
        </w:rPr>
        <w:tab/>
        <w:t>В целях проверки соответствия требованиям пункта 6 насто</w:t>
      </w:r>
      <w:r w:rsidRPr="000039F3">
        <w:rPr>
          <w:b/>
          <w:bCs/>
        </w:rPr>
        <w:t>я</w:t>
      </w:r>
      <w:r w:rsidRPr="000039F3">
        <w:rPr>
          <w:b/>
          <w:bCs/>
        </w:rPr>
        <w:t>щего приложения ЭУБ испытывают следующим образом: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установить систему СНГ на транспортное средство;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перевести систему переключения видов топлива в режим работы на СНГ;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c)</w:t>
      </w:r>
      <w:r w:rsidRPr="000039F3">
        <w:rPr>
          <w:b/>
          <w:bCs/>
        </w:rPr>
        <w:tab/>
        <w:t>прогреть двигатель до тех пор, пока не будут сбалансир</w:t>
      </w:r>
      <w:r w:rsidRPr="000039F3">
        <w:rPr>
          <w:b/>
          <w:bCs/>
        </w:rPr>
        <w:t>о</w:t>
      </w:r>
      <w:r w:rsidRPr="000039F3">
        <w:rPr>
          <w:b/>
          <w:bCs/>
        </w:rPr>
        <w:t>ваны температура всех охлаждающих и смазывающих средств и давление в системе смазки;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d)</w:t>
      </w:r>
      <w:r w:rsidRPr="000039F3">
        <w:rPr>
          <w:b/>
          <w:bCs/>
        </w:rPr>
        <w:tab/>
        <w:t>двигатель продолжает работать на самых малых оборотах холостого хода;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e)</w:t>
      </w:r>
      <w:r w:rsidRPr="000039F3">
        <w:rPr>
          <w:b/>
          <w:bCs/>
        </w:rPr>
        <w:tab/>
        <w:t>произвести переключение с режима работы на СНГ на режим работы на бензине и обратно;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f)</w:t>
      </w:r>
      <w:r w:rsidRPr="000039F3">
        <w:rPr>
          <w:b/>
          <w:bCs/>
        </w:rPr>
        <w:tab/>
        <w:t>перевести систему переключения видов топлива в режим работы на бензине.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Толкование результатов испытания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</w:r>
      <w:r w:rsidR="005D3A6D">
        <w:rPr>
          <w:b/>
          <w:bCs/>
        </w:rPr>
        <w:tab/>
      </w:r>
      <w:r w:rsidRPr="000039F3">
        <w:rPr>
          <w:b/>
          <w:bCs/>
        </w:rPr>
        <w:t>Для толкования результатов испытания используют сл</w:t>
      </w:r>
      <w:r w:rsidRPr="000039F3">
        <w:rPr>
          <w:b/>
          <w:bCs/>
        </w:rPr>
        <w:t>е</w:t>
      </w:r>
      <w:r w:rsidRPr="000039F3">
        <w:rPr>
          <w:b/>
          <w:bCs/>
        </w:rPr>
        <w:t>дующие критерии: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3402" w:hanging="2268"/>
        <w:rPr>
          <w:b/>
          <w:bCs/>
        </w:rPr>
      </w:pPr>
      <w:r w:rsidRPr="000039F3">
        <w:rPr>
          <w:b/>
          <w:bCs/>
        </w:rPr>
        <w:tab/>
      </w:r>
      <w:r w:rsidRPr="000039F3">
        <w:rPr>
          <w:b/>
          <w:bCs/>
        </w:rPr>
        <w:tab/>
        <w:t>i)</w:t>
      </w:r>
      <w:r w:rsidRPr="000039F3">
        <w:rPr>
          <w:b/>
          <w:bCs/>
        </w:rPr>
        <w:tab/>
        <w:t xml:space="preserve">режим работы на бензине отключен </w:t>
      </w:r>
      <w:r w:rsidRPr="000039F3">
        <w:rPr>
          <w:b/>
          <w:bCs/>
          <w:iCs/>
        </w:rPr>
        <w:t>до тех пор, пока не будет израсходован объем жидкого топлива, э</w:t>
      </w:r>
      <w:r w:rsidRPr="000039F3">
        <w:rPr>
          <w:b/>
          <w:bCs/>
          <w:iCs/>
        </w:rPr>
        <w:t>к</w:t>
      </w:r>
      <w:r w:rsidRPr="000039F3">
        <w:rPr>
          <w:b/>
          <w:bCs/>
          <w:iCs/>
        </w:rPr>
        <w:t xml:space="preserve">вивалентный </w:t>
      </w:r>
      <w:r w:rsidRPr="000039F3">
        <w:rPr>
          <w:b/>
          <w:bCs/>
        </w:rPr>
        <w:t>0,4 литра. Такое потребление можно рассчитать при помощи измерительного устройства на испытательном стенде. Его можно рассчитать на основе сигналов ЭУБ СПГ,</w:t>
      </w:r>
      <w:r w:rsidRPr="000039F3">
        <w:t xml:space="preserve"> </w:t>
      </w:r>
      <w:r w:rsidRPr="000039F3">
        <w:rPr>
          <w:b/>
          <w:bCs/>
        </w:rPr>
        <w:t>указывающих на расход топлива и считываемых при помощи соответств</w:t>
      </w:r>
      <w:r w:rsidRPr="000039F3">
        <w:rPr>
          <w:b/>
          <w:bCs/>
        </w:rPr>
        <w:t>у</w:t>
      </w:r>
      <w:r w:rsidRPr="000039F3">
        <w:rPr>
          <w:b/>
          <w:bCs/>
        </w:rPr>
        <w:t>ющего сканирующего устройства, если надежность таких сигналов предварительно доказана.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Испытание повторяют также на самых высоких оборотах хол</w:t>
      </w:r>
      <w:r w:rsidRPr="000039F3">
        <w:rPr>
          <w:b/>
          <w:bCs/>
        </w:rPr>
        <w:t>о</w:t>
      </w:r>
      <w:r w:rsidRPr="000039F3">
        <w:rPr>
          <w:b/>
          <w:bCs/>
        </w:rPr>
        <w:t>стого хода</w:t>
      </w:r>
      <w:r w:rsidRPr="000039F3">
        <w:rPr>
          <w:bCs/>
        </w:rPr>
        <w:t>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6.3</w:t>
      </w:r>
      <w:r w:rsidRPr="000039F3">
        <w:rPr>
          <w:b/>
          <w:bCs/>
        </w:rPr>
        <w:tab/>
        <w:t>С целью измерения объема жидкого топлива, поступление к</w:t>
      </w:r>
      <w:r w:rsidRPr="000039F3">
        <w:rPr>
          <w:b/>
          <w:bCs/>
        </w:rPr>
        <w:t>о</w:t>
      </w:r>
      <w:r w:rsidRPr="000039F3">
        <w:rPr>
          <w:b/>
          <w:bCs/>
        </w:rPr>
        <w:t>торого происходит в ходе осуществления операций переключ</w:t>
      </w:r>
      <w:r w:rsidRPr="000039F3">
        <w:rPr>
          <w:b/>
          <w:bCs/>
        </w:rPr>
        <w:t>е</w:t>
      </w:r>
      <w:r w:rsidRPr="000039F3">
        <w:rPr>
          <w:b/>
          <w:bCs/>
        </w:rPr>
        <w:t>ния, проводят следующее испытание: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установить систему СНГ (за исключением баллона) на транспортное средство;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поместить баллон на систему взвешивания топлива и з</w:t>
      </w:r>
      <w:r w:rsidRPr="000039F3">
        <w:rPr>
          <w:b/>
          <w:bCs/>
        </w:rPr>
        <w:t>а</w:t>
      </w:r>
      <w:r w:rsidRPr="000039F3">
        <w:rPr>
          <w:b/>
          <w:bCs/>
        </w:rPr>
        <w:t>полнить бак СНГ;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c)</w:t>
      </w:r>
      <w:r w:rsidRPr="000039F3">
        <w:rPr>
          <w:b/>
          <w:bCs/>
        </w:rPr>
        <w:tab/>
        <w:t>после того, как давление в системе СНГ будет доведено до значения, соответствующего обычным условиям эксплу</w:t>
      </w:r>
      <w:r w:rsidRPr="000039F3">
        <w:rPr>
          <w:b/>
          <w:bCs/>
        </w:rPr>
        <w:t>а</w:t>
      </w:r>
      <w:r w:rsidRPr="000039F3">
        <w:rPr>
          <w:b/>
          <w:bCs/>
        </w:rPr>
        <w:t>тации, зарегистрировать показания системы взвешив</w:t>
      </w:r>
      <w:r w:rsidRPr="000039F3">
        <w:rPr>
          <w:b/>
          <w:bCs/>
        </w:rPr>
        <w:t>а</w:t>
      </w:r>
      <w:r w:rsidRPr="000039F3">
        <w:rPr>
          <w:b/>
          <w:bCs/>
        </w:rPr>
        <w:t>ния топлива (W</w:t>
      </w:r>
      <w:r w:rsidRPr="000039F3">
        <w:rPr>
          <w:b/>
          <w:bCs/>
          <w:vertAlign w:val="subscript"/>
        </w:rPr>
        <w:t>1</w:t>
      </w:r>
      <w:r w:rsidRPr="000039F3">
        <w:rPr>
          <w:b/>
          <w:bCs/>
        </w:rPr>
        <w:t>);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d)</w:t>
      </w:r>
      <w:r w:rsidRPr="000039F3">
        <w:rPr>
          <w:b/>
          <w:bCs/>
        </w:rPr>
        <w:tab/>
        <w:t xml:space="preserve">отключить функцию </w:t>
      </w:r>
      <w:r w:rsidRPr="000039F3">
        <w:rPr>
          <w:b/>
        </w:rPr>
        <w:t xml:space="preserve">ЭУБ, указанную </w:t>
      </w:r>
      <w:r w:rsidRPr="000039F3">
        <w:rPr>
          <w:b/>
          <w:bCs/>
        </w:rPr>
        <w:t>в пункте 6 выше;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e)</w:t>
      </w:r>
      <w:r w:rsidRPr="000039F3">
        <w:rPr>
          <w:b/>
          <w:bCs/>
        </w:rPr>
        <w:tab/>
        <w:t>по крайней мере 10 раз произвести переключение с р</w:t>
      </w:r>
      <w:r w:rsidRPr="000039F3">
        <w:rPr>
          <w:b/>
          <w:bCs/>
        </w:rPr>
        <w:t>е</w:t>
      </w:r>
      <w:r w:rsidRPr="000039F3">
        <w:rPr>
          <w:b/>
          <w:bCs/>
        </w:rPr>
        <w:t>жима работы на СНГ на режим работы на бензине и о</w:t>
      </w:r>
      <w:r w:rsidRPr="000039F3">
        <w:rPr>
          <w:b/>
          <w:bCs/>
        </w:rPr>
        <w:t>б</w:t>
      </w:r>
      <w:r w:rsidRPr="000039F3">
        <w:rPr>
          <w:b/>
          <w:bCs/>
        </w:rPr>
        <w:t>ратно;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f)</w:t>
      </w:r>
      <w:r w:rsidRPr="000039F3">
        <w:rPr>
          <w:b/>
          <w:bCs/>
        </w:rPr>
        <w:tab/>
        <w:t>зарегистрировать показания системы взвешивания то</w:t>
      </w:r>
      <w:r w:rsidRPr="000039F3">
        <w:rPr>
          <w:b/>
          <w:bCs/>
        </w:rPr>
        <w:t>п</w:t>
      </w:r>
      <w:r w:rsidRPr="000039F3">
        <w:rPr>
          <w:b/>
          <w:bCs/>
        </w:rPr>
        <w:t>лива (W</w:t>
      </w:r>
      <w:r w:rsidRPr="000039F3">
        <w:rPr>
          <w:b/>
          <w:bCs/>
          <w:vertAlign w:val="subscript"/>
        </w:rPr>
        <w:t>2</w:t>
      </w:r>
      <w:r w:rsidRPr="000039F3">
        <w:rPr>
          <w:b/>
          <w:bCs/>
        </w:rPr>
        <w:t>).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Объем бензина, впрыскиваемого при каждой операции пер</w:t>
      </w:r>
      <w:r w:rsidRPr="000039F3">
        <w:rPr>
          <w:b/>
          <w:bCs/>
        </w:rPr>
        <w:t>е</w:t>
      </w:r>
      <w:r w:rsidRPr="000039F3">
        <w:rPr>
          <w:b/>
          <w:bCs/>
        </w:rPr>
        <w:t>ключения, рассчитывают по следующей формуле: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</w:r>
      <w:proofErr w:type="spellStart"/>
      <w:r w:rsidRPr="000039F3">
        <w:rPr>
          <w:b/>
          <w:bCs/>
        </w:rPr>
        <w:t>Vsw</w:t>
      </w:r>
      <w:proofErr w:type="spellEnd"/>
      <w:r w:rsidRPr="000039F3">
        <w:rPr>
          <w:b/>
          <w:bCs/>
        </w:rPr>
        <w:t xml:space="preserve"> = (W2</w:t>
      </w:r>
      <w:r w:rsidR="00B06626">
        <w:rPr>
          <w:b/>
          <w:bCs/>
        </w:rPr>
        <w:t>–</w:t>
      </w:r>
      <w:r w:rsidRPr="000039F3">
        <w:rPr>
          <w:b/>
          <w:bCs/>
        </w:rPr>
        <w:t xml:space="preserve">W1) / #SW / </w:t>
      </w:r>
      <w:proofErr w:type="spellStart"/>
      <w:r w:rsidRPr="000039F3">
        <w:rPr>
          <w:b/>
          <w:bCs/>
        </w:rPr>
        <w:t>D</w:t>
      </w:r>
      <w:r w:rsidRPr="000039F3">
        <w:rPr>
          <w:b/>
          <w:bCs/>
          <w:vertAlign w:val="subscript"/>
        </w:rPr>
        <w:t>бензин</w:t>
      </w:r>
      <w:proofErr w:type="spellEnd"/>
      <w:r w:rsidR="000372E2">
        <w:rPr>
          <w:b/>
          <w:bCs/>
          <w:vertAlign w:val="subscript"/>
        </w:rPr>
        <w:t xml:space="preserve"> </w:t>
      </w:r>
      <w:r w:rsidRPr="000039F3">
        <w:rPr>
          <w:b/>
          <w:bCs/>
        </w:rPr>
        <w:t>,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где: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</w:r>
      <w:proofErr w:type="spellStart"/>
      <w:r w:rsidRPr="000039F3">
        <w:rPr>
          <w:b/>
          <w:bCs/>
        </w:rPr>
        <w:t>D</w:t>
      </w:r>
      <w:r w:rsidRPr="000039F3">
        <w:rPr>
          <w:b/>
          <w:bCs/>
          <w:vertAlign w:val="subscript"/>
        </w:rPr>
        <w:t>бензин</w:t>
      </w:r>
      <w:proofErr w:type="spellEnd"/>
      <w:r w:rsidRPr="000039F3">
        <w:rPr>
          <w:b/>
          <w:bCs/>
          <w:vertAlign w:val="subscript"/>
        </w:rPr>
        <w:t xml:space="preserve"> </w:t>
      </w:r>
      <w:r w:rsidRPr="000039F3">
        <w:rPr>
          <w:b/>
          <w:bCs/>
        </w:rPr>
        <w:t>= 743 кг/м</w:t>
      </w:r>
      <w:r w:rsidRPr="000039F3">
        <w:rPr>
          <w:b/>
          <w:bCs/>
          <w:vertAlign w:val="superscript"/>
        </w:rPr>
        <w:t>3</w:t>
      </w:r>
      <w:r w:rsidRPr="000039F3">
        <w:rPr>
          <w:b/>
          <w:bCs/>
        </w:rPr>
        <w:t>;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#SW</w:t>
      </w:r>
      <w:r w:rsidR="00B06626">
        <w:rPr>
          <w:b/>
          <w:bCs/>
        </w:rPr>
        <w:t xml:space="preserve"> – </w:t>
      </w:r>
      <w:r w:rsidRPr="000039F3">
        <w:rPr>
          <w:b/>
          <w:bCs/>
        </w:rPr>
        <w:t>число операций переключения с режима работы на СНГ на режим работы на бензине и обратно в ходе испытания.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Система взвешивания топлива должна иметь следующие х</w:t>
      </w:r>
      <w:r w:rsidRPr="000039F3">
        <w:rPr>
          <w:b/>
          <w:bCs/>
        </w:rPr>
        <w:t>а</w:t>
      </w:r>
      <w:r w:rsidRPr="000039F3">
        <w:rPr>
          <w:b/>
          <w:bCs/>
        </w:rPr>
        <w:t>рактеристики:</w:t>
      </w:r>
    </w:p>
    <w:p w:rsidR="000039F3" w:rsidRPr="000039F3" w:rsidRDefault="000039F3" w:rsidP="00DD0A4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погрешность: ±0,02% полной шкалы или меньше;</w:t>
      </w:r>
    </w:p>
    <w:p w:rsidR="000039F3" w:rsidRPr="000039F3" w:rsidRDefault="000039F3" w:rsidP="00DD0A4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разрешение: 20 г;</w:t>
      </w:r>
    </w:p>
    <w:p w:rsidR="000039F3" w:rsidRPr="000039F3" w:rsidRDefault="00DD0A47" w:rsidP="00DD0A4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>
        <w:rPr>
          <w:b/>
          <w:bCs/>
        </w:rPr>
        <w:tab/>
      </w:r>
      <w:r w:rsidR="000039F3" w:rsidRPr="000039F3">
        <w:rPr>
          <w:b/>
          <w:bCs/>
        </w:rPr>
        <w:t>c)</w:t>
      </w:r>
      <w:r w:rsidR="000039F3" w:rsidRPr="000039F3">
        <w:rPr>
          <w:b/>
          <w:bCs/>
        </w:rPr>
        <w:tab/>
        <w:t>точность: ±2% считываемых показаний или ±0,3% по</w:t>
      </w:r>
      <w:r w:rsidR="000039F3" w:rsidRPr="000039F3">
        <w:rPr>
          <w:b/>
          <w:bCs/>
        </w:rPr>
        <w:t>л</w:t>
      </w:r>
      <w:r w:rsidR="000039F3" w:rsidRPr="000039F3">
        <w:rPr>
          <w:b/>
          <w:bCs/>
        </w:rPr>
        <w:t>ной шкалы − в зависимости от того, какое из этих знач</w:t>
      </w:r>
      <w:r w:rsidR="000039F3" w:rsidRPr="000039F3">
        <w:rPr>
          <w:b/>
          <w:bCs/>
        </w:rPr>
        <w:t>е</w:t>
      </w:r>
      <w:r w:rsidR="000039F3" w:rsidRPr="000039F3">
        <w:rPr>
          <w:b/>
          <w:bCs/>
        </w:rPr>
        <w:t>ний больше.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6.4</w:t>
      </w:r>
      <w:r w:rsidRPr="000039F3">
        <w:rPr>
          <w:b/>
          <w:bCs/>
        </w:rPr>
        <w:tab/>
        <w:t>На ЭУБ наносят маркировку, содержащую следующие разбо</w:t>
      </w:r>
      <w:r w:rsidRPr="000039F3">
        <w:rPr>
          <w:b/>
          <w:bCs/>
        </w:rPr>
        <w:t>р</w:t>
      </w:r>
      <w:r w:rsidRPr="000039F3">
        <w:rPr>
          <w:b/>
          <w:bCs/>
        </w:rPr>
        <w:t>чивые и нестираемые данные:</w:t>
      </w:r>
    </w:p>
    <w:p w:rsidR="000039F3" w:rsidRPr="000039F3" w:rsidRDefault="000039F3" w:rsidP="00DD0A4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буквы "ICS"; и</w:t>
      </w:r>
    </w:p>
    <w:p w:rsidR="000039F3" w:rsidRPr="000039F3" w:rsidRDefault="000039F3" w:rsidP="00DD0A4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="00DD0A47">
        <w:rPr>
          <w:b/>
          <w:bCs/>
        </w:rPr>
        <w:t xml:space="preserve"> </w:t>
      </w:r>
      <w:r w:rsidR="00DD0A47">
        <w:rPr>
          <w:b/>
          <w:bCs/>
        </w:rPr>
        <w:tab/>
      </w:r>
      <w:r w:rsidRPr="000039F3">
        <w:rPr>
          <w:b/>
          <w:bCs/>
        </w:rPr>
        <w:t>значение 0,4 литра; и</w:t>
      </w:r>
      <w:r w:rsidRPr="000039F3">
        <w:rPr>
          <w:b/>
          <w:bCs/>
        </w:rPr>
        <w:tab/>
      </w:r>
    </w:p>
    <w:p w:rsidR="000039F3" w:rsidRDefault="000039F3" w:rsidP="00DD0A47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c)</w:t>
      </w:r>
      <w:r w:rsidRPr="000039F3">
        <w:rPr>
          <w:b/>
          <w:bCs/>
        </w:rPr>
        <w:tab/>
        <w:t>знак официального утверждения, предусмотренный в пункте 5.4 настоящих Правил</w:t>
      </w:r>
      <w:r w:rsidR="00A96C98">
        <w:t>.»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</w:pPr>
      <w:r w:rsidRPr="000039F3">
        <w:rPr>
          <w:i/>
        </w:rPr>
        <w:t>Приложение 15, включить новые пункты 9.7 и 9.7.1</w:t>
      </w:r>
      <w:r w:rsidRPr="000039F3">
        <w:t xml:space="preserve"> следующего содержания: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t>«</w:t>
      </w:r>
      <w:r w:rsidRPr="000039F3">
        <w:rPr>
          <w:b/>
        </w:rPr>
        <w:t>9.7</w:t>
      </w:r>
      <w:r w:rsidRPr="000039F3">
        <w:rPr>
          <w:b/>
        </w:rPr>
        <w:tab/>
        <w:t>Испытание на износоустойчивость для обратных клапанов в сообщающихся системах СНГ</w:t>
      </w:r>
    </w:p>
    <w:p w:rsidR="000039F3" w:rsidRPr="000039F3" w:rsidRDefault="000039F3" w:rsidP="005D3A6D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rPr>
          <w:b/>
        </w:rPr>
        <w:t>9.7.1</w:t>
      </w:r>
      <w:r w:rsidRPr="000039F3">
        <w:rPr>
          <w:b/>
        </w:rPr>
        <w:tab/>
        <w:t>Запорные клапаны должны выдерживать 20 000 циклов фун</w:t>
      </w:r>
      <w:r w:rsidRPr="000039F3">
        <w:rPr>
          <w:b/>
        </w:rPr>
        <w:t>к</w:t>
      </w:r>
      <w:r w:rsidRPr="000039F3">
        <w:rPr>
          <w:b/>
        </w:rPr>
        <w:t>ционирования и воздействие вибрации в течение 24 часов при испытании в соответствии со следующей процедурой:</w:t>
      </w:r>
    </w:p>
    <w:p w:rsidR="000039F3" w:rsidRPr="000039F3" w:rsidRDefault="000039F3" w:rsidP="00DD0A47">
      <w:pPr>
        <w:pStyle w:val="SingleTxtGR"/>
        <w:tabs>
          <w:tab w:val="clear" w:pos="1701"/>
        </w:tabs>
        <w:ind w:left="2835" w:hanging="1701"/>
        <w:rPr>
          <w:b/>
        </w:rPr>
      </w:pPr>
      <w:r w:rsidRPr="000039F3">
        <w:rPr>
          <w:b/>
        </w:rPr>
        <w:tab/>
        <w:t>a)</w:t>
      </w:r>
      <w:r w:rsidR="00DD0A47">
        <w:rPr>
          <w:b/>
        </w:rPr>
        <w:t xml:space="preserve"> </w:t>
      </w:r>
      <w:r w:rsidR="00DD0A47">
        <w:rPr>
          <w:b/>
        </w:rPr>
        <w:tab/>
      </w:r>
      <w:r w:rsidRPr="000039F3">
        <w:rPr>
          <w:b/>
        </w:rPr>
        <w:t>клапан подсоединяется к испытательному</w:t>
      </w:r>
      <w:r w:rsidR="00DD0A47">
        <w:rPr>
          <w:b/>
        </w:rPr>
        <w:t xml:space="preserve"> </w:t>
      </w:r>
      <w:r w:rsidRPr="000039F3">
        <w:rPr>
          <w:b/>
        </w:rPr>
        <w:t>приспособл</w:t>
      </w:r>
      <w:r w:rsidRPr="000039F3">
        <w:rPr>
          <w:b/>
        </w:rPr>
        <w:t>е</w:t>
      </w:r>
      <w:r w:rsidRPr="000039F3">
        <w:rPr>
          <w:b/>
        </w:rPr>
        <w:t>нию, а к входному отверстию клапана подают</w:t>
      </w:r>
      <w:r w:rsidR="00DD0A47">
        <w:rPr>
          <w:b/>
        </w:rPr>
        <w:t xml:space="preserve"> </w:t>
      </w:r>
      <w:r w:rsidRPr="000039F3">
        <w:rPr>
          <w:b/>
        </w:rPr>
        <w:t>давление в 3</w:t>
      </w:r>
      <w:r w:rsidR="00DD0A47">
        <w:rPr>
          <w:b/>
        </w:rPr>
        <w:t> </w:t>
      </w:r>
      <w:r w:rsidRPr="000039F3">
        <w:rPr>
          <w:b/>
        </w:rPr>
        <w:t>000 кПа или ЭД в соответствии с</w:t>
      </w:r>
      <w:r w:rsidR="00DD0A47">
        <w:rPr>
          <w:b/>
        </w:rPr>
        <w:t xml:space="preserve"> </w:t>
      </w:r>
      <w:r w:rsidRPr="000039F3">
        <w:rPr>
          <w:b/>
        </w:rPr>
        <w:t>классификационным давлением для данного клапана, и</w:t>
      </w:r>
      <w:r w:rsidR="00DD0A47">
        <w:rPr>
          <w:b/>
        </w:rPr>
        <w:t xml:space="preserve"> </w:t>
      </w:r>
      <w:r w:rsidRPr="000039F3">
        <w:rPr>
          <w:b/>
        </w:rPr>
        <w:t>затем давление стра</w:t>
      </w:r>
      <w:r w:rsidRPr="000039F3">
        <w:rPr>
          <w:b/>
        </w:rPr>
        <w:t>в</w:t>
      </w:r>
      <w:r w:rsidRPr="000039F3">
        <w:rPr>
          <w:b/>
        </w:rPr>
        <w:t xml:space="preserve">ливается в </w:t>
      </w:r>
      <w:proofErr w:type="spellStart"/>
      <w:r w:rsidRPr="000039F3">
        <w:rPr>
          <w:b/>
        </w:rPr>
        <w:t>пневмосистеме</w:t>
      </w:r>
      <w:proofErr w:type="spellEnd"/>
      <w:r w:rsidRPr="000039F3">
        <w:rPr>
          <w:b/>
        </w:rPr>
        <w:t xml:space="preserve"> на</w:t>
      </w:r>
      <w:r w:rsidR="00DD0A47">
        <w:rPr>
          <w:b/>
        </w:rPr>
        <w:t xml:space="preserve"> </w:t>
      </w:r>
      <w:r w:rsidRPr="000039F3">
        <w:rPr>
          <w:b/>
        </w:rPr>
        <w:t>выходном отверстии. Перед началом следующего цикла</w:t>
      </w:r>
      <w:r w:rsidR="00DD0A47">
        <w:rPr>
          <w:b/>
        </w:rPr>
        <w:t xml:space="preserve"> </w:t>
      </w:r>
      <w:r w:rsidRPr="000039F3">
        <w:rPr>
          <w:b/>
        </w:rPr>
        <w:t>давление на выходном отве</w:t>
      </w:r>
      <w:r w:rsidRPr="000039F3">
        <w:rPr>
          <w:b/>
        </w:rPr>
        <w:t>р</w:t>
      </w:r>
      <w:r w:rsidRPr="000039F3">
        <w:rPr>
          <w:b/>
        </w:rPr>
        <w:t>стии уменьшается до</w:t>
      </w:r>
      <w:r w:rsidR="00DD0A47">
        <w:rPr>
          <w:b/>
        </w:rPr>
        <w:t xml:space="preserve"> </w:t>
      </w:r>
      <w:r w:rsidRPr="000039F3">
        <w:rPr>
          <w:b/>
        </w:rPr>
        <w:t>следующего значения: от 0 до ма</w:t>
      </w:r>
      <w:r w:rsidRPr="000039F3">
        <w:rPr>
          <w:b/>
        </w:rPr>
        <w:t>к</w:t>
      </w:r>
      <w:r w:rsidRPr="000039F3">
        <w:rPr>
          <w:b/>
        </w:rPr>
        <w:t>симум 0,5 указанного</w:t>
      </w:r>
      <w:r w:rsidR="00DD0A47">
        <w:rPr>
          <w:b/>
        </w:rPr>
        <w:t xml:space="preserve"> </w:t>
      </w:r>
      <w:r w:rsidRPr="000039F3">
        <w:rPr>
          <w:b/>
        </w:rPr>
        <w:t>выше значения перед следующим циклом;</w:t>
      </w:r>
    </w:p>
    <w:p w:rsidR="000039F3" w:rsidRPr="000039F3" w:rsidRDefault="00DD0A47" w:rsidP="00DD0A47">
      <w:pPr>
        <w:pStyle w:val="SingleTxtGR"/>
        <w:tabs>
          <w:tab w:val="clear" w:pos="1701"/>
        </w:tabs>
        <w:ind w:left="2835" w:hanging="1701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0039F3" w:rsidRPr="000039F3">
        <w:rPr>
          <w:b/>
        </w:rPr>
        <w:t>b)</w:t>
      </w:r>
      <w:r>
        <w:rPr>
          <w:b/>
        </w:rPr>
        <w:t xml:space="preserve"> </w:t>
      </w:r>
      <w:r>
        <w:rPr>
          <w:b/>
        </w:rPr>
        <w:tab/>
      </w:r>
      <w:r w:rsidR="000039F3" w:rsidRPr="000039F3">
        <w:rPr>
          <w:b/>
        </w:rPr>
        <w:t>после 20 000 циклов функционирования клапан</w:t>
      </w:r>
      <w:r>
        <w:rPr>
          <w:b/>
        </w:rPr>
        <w:t xml:space="preserve"> </w:t>
      </w:r>
      <w:r w:rsidR="000039F3" w:rsidRPr="000039F3">
        <w:rPr>
          <w:b/>
        </w:rPr>
        <w:t>подверг</w:t>
      </w:r>
      <w:r w:rsidR="000039F3" w:rsidRPr="000039F3">
        <w:rPr>
          <w:b/>
        </w:rPr>
        <w:t>а</w:t>
      </w:r>
      <w:r w:rsidR="000039F3" w:rsidRPr="000039F3">
        <w:rPr>
          <w:b/>
        </w:rPr>
        <w:t>ется воздействию вибрации в течение 24 часов</w:t>
      </w:r>
      <w:r>
        <w:rPr>
          <w:b/>
        </w:rPr>
        <w:t xml:space="preserve"> </w:t>
      </w:r>
      <w:r w:rsidR="000039F3" w:rsidRPr="000039F3">
        <w:rPr>
          <w:b/>
        </w:rPr>
        <w:t>при расх</w:t>
      </w:r>
      <w:r w:rsidR="000039F3" w:rsidRPr="000039F3">
        <w:rPr>
          <w:b/>
        </w:rPr>
        <w:t>о</w:t>
      </w:r>
      <w:r w:rsidR="000039F3" w:rsidRPr="000039F3">
        <w:rPr>
          <w:b/>
        </w:rPr>
        <w:t>де, вызывающем наибольшее биение.</w:t>
      </w:r>
    </w:p>
    <w:p w:rsidR="000039F3" w:rsidRPr="000039F3" w:rsidRDefault="00DD0A47" w:rsidP="005D3A6D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0039F3" w:rsidRPr="000039F3">
        <w:rPr>
          <w:b/>
        </w:rPr>
        <w:t>После этого испытания обратный клапан должен выдерживать</w:t>
      </w:r>
      <w:r>
        <w:rPr>
          <w:b/>
        </w:rPr>
        <w:t xml:space="preserve"> </w:t>
      </w:r>
      <w:r w:rsidR="000039F3" w:rsidRPr="000039F3">
        <w:rPr>
          <w:b/>
        </w:rPr>
        <w:t>испытание на герметичность, предписываемое в пунктах 5 и 8</w:t>
      </w:r>
      <w:r>
        <w:rPr>
          <w:b/>
        </w:rPr>
        <w:t xml:space="preserve"> </w:t>
      </w:r>
      <w:r w:rsidR="000039F3" w:rsidRPr="000039F3">
        <w:rPr>
          <w:b/>
        </w:rPr>
        <w:t>выше.</w:t>
      </w:r>
    </w:p>
    <w:p w:rsidR="000039F3" w:rsidRPr="000039F3" w:rsidRDefault="00DD0A47" w:rsidP="005D3A6D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0039F3" w:rsidRPr="000039F3">
        <w:rPr>
          <w:b/>
        </w:rPr>
        <w:t>Несрабатывание в любом виде в рамках этой процедуры</w:t>
      </w:r>
      <w:r>
        <w:rPr>
          <w:b/>
        </w:rPr>
        <w:t xml:space="preserve"> </w:t>
      </w:r>
      <w:r w:rsidR="000039F3" w:rsidRPr="000039F3">
        <w:rPr>
          <w:b/>
        </w:rPr>
        <w:t>озн</w:t>
      </w:r>
      <w:r w:rsidR="000039F3" w:rsidRPr="000039F3">
        <w:rPr>
          <w:b/>
        </w:rPr>
        <w:t>а</w:t>
      </w:r>
      <w:r w:rsidR="000039F3" w:rsidRPr="000039F3">
        <w:rPr>
          <w:b/>
        </w:rPr>
        <w:t xml:space="preserve">чает несрабатывание обратного клапана. </w:t>
      </w:r>
    </w:p>
    <w:p w:rsidR="000039F3" w:rsidRPr="000039F3" w:rsidRDefault="00DD0A47" w:rsidP="005D3A6D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0039F3" w:rsidRPr="000039F3">
        <w:rPr>
          <w:b/>
        </w:rPr>
        <w:t>Все части должны оставаться в неизменном положении и</w:t>
      </w:r>
      <w:r>
        <w:rPr>
          <w:b/>
        </w:rPr>
        <w:t xml:space="preserve"> </w:t>
      </w:r>
      <w:r w:rsidR="000039F3" w:rsidRPr="000039F3">
        <w:rPr>
          <w:b/>
        </w:rPr>
        <w:t>дол</w:t>
      </w:r>
      <w:r w:rsidR="000039F3" w:rsidRPr="000039F3">
        <w:rPr>
          <w:b/>
        </w:rPr>
        <w:t>ж</w:t>
      </w:r>
      <w:r w:rsidR="000039F3" w:rsidRPr="000039F3">
        <w:rPr>
          <w:b/>
        </w:rPr>
        <w:t>ны исправно функционировать после испытания.</w:t>
      </w:r>
    </w:p>
    <w:p w:rsidR="000039F3" w:rsidRDefault="00DD0A47" w:rsidP="005D3A6D">
      <w:pPr>
        <w:pStyle w:val="SingleTxtGR"/>
        <w:tabs>
          <w:tab w:val="clear" w:pos="1701"/>
        </w:tabs>
        <w:ind w:left="2268" w:hanging="113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0039F3" w:rsidRPr="000039F3">
        <w:rPr>
          <w:b/>
        </w:rPr>
        <w:t>После этого испытания контрольный клапан должен</w:t>
      </w:r>
      <w:r>
        <w:rPr>
          <w:b/>
        </w:rPr>
        <w:t xml:space="preserve"> </w:t>
      </w:r>
      <w:r w:rsidR="000039F3" w:rsidRPr="000039F3">
        <w:rPr>
          <w:b/>
        </w:rPr>
        <w:t>выдерж</w:t>
      </w:r>
      <w:r w:rsidR="000039F3" w:rsidRPr="000039F3">
        <w:rPr>
          <w:b/>
        </w:rPr>
        <w:t>и</w:t>
      </w:r>
      <w:r w:rsidR="000039F3" w:rsidRPr="000039F3">
        <w:rPr>
          <w:b/>
        </w:rPr>
        <w:t>вать испытание на устойчивость к избыточному</w:t>
      </w:r>
      <w:r>
        <w:rPr>
          <w:b/>
        </w:rPr>
        <w:t xml:space="preserve"> </w:t>
      </w:r>
      <w:r w:rsidR="000039F3" w:rsidRPr="000039F3">
        <w:rPr>
          <w:b/>
        </w:rPr>
        <w:t>давлению в соответствии с пунктом 4</w:t>
      </w:r>
      <w:r w:rsidR="00A96C98">
        <w:t>.»</w:t>
      </w:r>
    </w:p>
    <w:p w:rsidR="000039F3" w:rsidRPr="000039F3" w:rsidRDefault="000039F3" w:rsidP="000039F3">
      <w:pPr>
        <w:pStyle w:val="SingleTxtGR"/>
        <w:rPr>
          <w:i/>
        </w:rPr>
      </w:pPr>
      <w:r w:rsidRPr="000039F3">
        <w:rPr>
          <w:i/>
        </w:rPr>
        <w:t>Включить новое приложение 18</w:t>
      </w:r>
      <w:r w:rsidRPr="000039F3">
        <w:t xml:space="preserve"> следующего содержания:</w:t>
      </w:r>
    </w:p>
    <w:p w:rsidR="000039F3" w:rsidRPr="000039F3" w:rsidRDefault="000039F3" w:rsidP="006959DE">
      <w:pPr>
        <w:pStyle w:val="HChGR"/>
        <w:rPr>
          <w:bCs/>
        </w:rPr>
      </w:pPr>
      <w:r w:rsidRPr="006959DE">
        <w:rPr>
          <w:b w:val="0"/>
          <w:sz w:val="20"/>
        </w:rPr>
        <w:t>«</w:t>
      </w:r>
      <w:r w:rsidRPr="000039F3">
        <w:t>Приложение 18</w:t>
      </w:r>
    </w:p>
    <w:p w:rsidR="000039F3" w:rsidRPr="000039F3" w:rsidRDefault="000039F3" w:rsidP="00F07A2F">
      <w:pPr>
        <w:pStyle w:val="HChGR"/>
      </w:pPr>
      <w:r w:rsidRPr="000039F3">
        <w:tab/>
      </w:r>
      <w:r w:rsidRPr="000039F3">
        <w:tab/>
        <w:t>Положения, касающиеся совместимости металлических и неметаллических элементов оборудования и частей с бензиновым топливом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rPr>
          <w:b/>
        </w:rPr>
        <w:t>1.</w:t>
      </w:r>
      <w:r w:rsidRPr="000039F3">
        <w:rPr>
          <w:b/>
        </w:rPr>
        <w:tab/>
        <w:t>Требования в отношении металлических и неметаллических элементов оборудования и частей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</w:rPr>
      </w:pPr>
      <w:r w:rsidRPr="000039F3">
        <w:rPr>
          <w:b/>
        </w:rPr>
        <w:t>1.1</w:t>
      </w:r>
      <w:r w:rsidRPr="000039F3">
        <w:rPr>
          <w:b/>
        </w:rPr>
        <w:tab/>
        <w:t>Неметаллические элементы оборудования или части, которые могут вступать в контакт с бензиновым топливом, не прете</w:t>
      </w:r>
      <w:r w:rsidRPr="000039F3">
        <w:rPr>
          <w:b/>
        </w:rPr>
        <w:t>р</w:t>
      </w:r>
      <w:r w:rsidRPr="000039F3">
        <w:rPr>
          <w:b/>
        </w:rPr>
        <w:t>певают чрезмерного изменения объема или уменьшения массы.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Стойкость к воздействию бензинового топлива согласно ста</w:t>
      </w:r>
      <w:r w:rsidRPr="000039F3">
        <w:rPr>
          <w:b/>
          <w:bCs/>
        </w:rPr>
        <w:t>н</w:t>
      </w:r>
      <w:r w:rsidRPr="000039F3">
        <w:rPr>
          <w:b/>
          <w:bCs/>
        </w:rPr>
        <w:t>дарту ISO 1817 с соблюдением следующих условий: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среда: бензиновое топливо (E10), соответствующее пр</w:t>
      </w:r>
      <w:r w:rsidRPr="000039F3">
        <w:rPr>
          <w:b/>
          <w:bCs/>
        </w:rPr>
        <w:t>и</w:t>
      </w:r>
      <w:r w:rsidRPr="000039F3">
        <w:rPr>
          <w:b/>
          <w:bCs/>
        </w:rPr>
        <w:t>ложению 10 к Правилам № 83;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температура: 23</w:t>
      </w:r>
      <w:r w:rsidR="00F07A2F">
        <w:rPr>
          <w:b/>
          <w:bCs/>
        </w:rPr>
        <w:t> </w:t>
      </w:r>
      <w:r w:rsidRPr="000039F3">
        <w:rPr>
          <w:b/>
          <w:bCs/>
        </w:rPr>
        <w:t>°С (допустимое отклонение согласно стандарту ISO 1817);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c)</w:t>
      </w:r>
      <w:r w:rsidRPr="000039F3">
        <w:rPr>
          <w:b/>
          <w:bCs/>
        </w:rPr>
        <w:tab/>
        <w:t>период погружения: 72 часа.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1.1.1</w:t>
      </w:r>
      <w:r w:rsidRPr="000039F3">
        <w:rPr>
          <w:b/>
          <w:bCs/>
        </w:rPr>
        <w:tab/>
      </w:r>
      <w:r w:rsidRPr="000039F3">
        <w:rPr>
          <w:b/>
        </w:rPr>
        <w:t>Требования в отношении неметаллических элементов оборуд</w:t>
      </w:r>
      <w:r w:rsidRPr="000039F3">
        <w:rPr>
          <w:b/>
        </w:rPr>
        <w:t>о</w:t>
      </w:r>
      <w:r w:rsidRPr="000039F3">
        <w:rPr>
          <w:b/>
        </w:rPr>
        <w:t>вания и частей</w:t>
      </w:r>
      <w:r w:rsidRPr="000039F3">
        <w:rPr>
          <w:b/>
          <w:bCs/>
        </w:rPr>
        <w:t>: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максимальное изменение объема: 20%;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после выдерживания на воздухе при температуре 40 °С в теч</w:t>
      </w:r>
      <w:r w:rsidRPr="000039F3">
        <w:rPr>
          <w:b/>
          <w:bCs/>
        </w:rPr>
        <w:t>е</w:t>
      </w:r>
      <w:r w:rsidRPr="000039F3">
        <w:rPr>
          <w:b/>
          <w:bCs/>
        </w:rPr>
        <w:t>ние 48 часов масса не должна уменьшаться по сравнению с первоначальным значением более чем на 5%.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i/>
        </w:rPr>
      </w:pPr>
      <w:r w:rsidRPr="000039F3">
        <w:rPr>
          <w:b/>
          <w:bCs/>
        </w:rPr>
        <w:t>1.3</w:t>
      </w:r>
      <w:r w:rsidRPr="000039F3">
        <w:rPr>
          <w:b/>
          <w:bCs/>
        </w:rPr>
        <w:tab/>
      </w:r>
      <w:r w:rsidRPr="000039F3">
        <w:rPr>
          <w:b/>
        </w:rPr>
        <w:t xml:space="preserve">Металлические элементы оборудования или части, которые могут вступать в контакт с бензиновым топливом, должны быть абсолютно стойкими к действию бензина. Металлические части должны иметь надежную антикоррозийную защиту (например, </w:t>
      </w:r>
      <w:r w:rsidRPr="000039F3">
        <w:rPr>
          <w:b/>
        </w:rPr>
        <w:tab/>
        <w:t>покрытие, обработка поверхности, структура мат</w:t>
      </w:r>
      <w:r w:rsidRPr="000039F3">
        <w:rPr>
          <w:b/>
        </w:rPr>
        <w:t>е</w:t>
      </w:r>
      <w:r w:rsidRPr="000039F3">
        <w:rPr>
          <w:b/>
        </w:rPr>
        <w:t>риалов) и отвечать требованиям пункта 12 приложения 15</w:t>
      </w:r>
      <w:r w:rsidR="00A96C98">
        <w:t>.»</w:t>
      </w:r>
      <w:r w:rsidRPr="000039F3">
        <w:rPr>
          <w:i/>
        </w:rPr>
        <w:t xml:space="preserve"> </w:t>
      </w:r>
    </w:p>
    <w:p w:rsidR="000039F3" w:rsidRPr="000039F3" w:rsidRDefault="000039F3" w:rsidP="006959DE">
      <w:pPr>
        <w:pStyle w:val="SingleTxtGR"/>
        <w:keepNext/>
        <w:tabs>
          <w:tab w:val="clear" w:pos="1701"/>
        </w:tabs>
        <w:ind w:left="2268" w:hanging="1134"/>
        <w:rPr>
          <w:i/>
        </w:rPr>
      </w:pPr>
      <w:r w:rsidRPr="000039F3">
        <w:rPr>
          <w:i/>
        </w:rPr>
        <w:t>Включить новое приложение 19</w:t>
      </w:r>
      <w:r w:rsidRPr="000039F3">
        <w:t xml:space="preserve"> следующего содержания:</w:t>
      </w:r>
    </w:p>
    <w:p w:rsidR="000039F3" w:rsidRPr="000039F3" w:rsidRDefault="000039F3" w:rsidP="006959DE">
      <w:pPr>
        <w:pStyle w:val="HChGR"/>
        <w:rPr>
          <w:bCs/>
        </w:rPr>
      </w:pPr>
      <w:r w:rsidRPr="006959DE">
        <w:rPr>
          <w:b w:val="0"/>
          <w:sz w:val="20"/>
        </w:rPr>
        <w:t>«</w:t>
      </w:r>
      <w:r w:rsidRPr="000039F3">
        <w:t>Приложение 19</w:t>
      </w:r>
    </w:p>
    <w:p w:rsidR="000039F3" w:rsidRPr="000039F3" w:rsidRDefault="000039F3" w:rsidP="00F07A2F">
      <w:pPr>
        <w:pStyle w:val="HChGR"/>
      </w:pPr>
      <w:r w:rsidRPr="000039F3">
        <w:tab/>
      </w:r>
      <w:r w:rsidRPr="000039F3">
        <w:tab/>
        <w:t>Положения о сообщающихся системах СНГ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1.</w:t>
      </w:r>
      <w:r w:rsidRPr="000039F3">
        <w:rPr>
          <w:b/>
          <w:bCs/>
        </w:rPr>
        <w:tab/>
        <w:t>Документация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1.1</w:t>
      </w:r>
      <w:r w:rsidRPr="000039F3">
        <w:rPr>
          <w:b/>
          <w:bCs/>
        </w:rPr>
        <w:tab/>
      </w:r>
      <w:r w:rsidRPr="000039F3">
        <w:rPr>
          <w:b/>
        </w:rPr>
        <w:t>Органу по официальному утверждению типа</w:t>
      </w:r>
      <w:r w:rsidRPr="000039F3">
        <w:rPr>
          <w:b/>
          <w:bCs/>
        </w:rPr>
        <w:t xml:space="preserve"> и технической службе представляют следующую документацию: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перечень всех частей специального оборудования, упом</w:t>
      </w:r>
      <w:r w:rsidRPr="000039F3">
        <w:rPr>
          <w:b/>
          <w:bCs/>
        </w:rPr>
        <w:t>я</w:t>
      </w:r>
      <w:r w:rsidRPr="000039F3">
        <w:rPr>
          <w:b/>
          <w:bCs/>
        </w:rPr>
        <w:t>нутого в пункте 2.2 настоящих Правил, включая док</w:t>
      </w:r>
      <w:r w:rsidRPr="000039F3">
        <w:rPr>
          <w:b/>
          <w:bCs/>
        </w:rPr>
        <w:t>у</w:t>
      </w:r>
      <w:r w:rsidRPr="000039F3">
        <w:rPr>
          <w:b/>
          <w:bCs/>
        </w:rPr>
        <w:t>ментацию об официальном утверждении, которые входят в комбинацию элементов согласно пункту 2.23</w:t>
      </w:r>
      <w:r w:rsidRPr="000039F3">
        <w:t xml:space="preserve"> </w:t>
      </w:r>
      <w:r w:rsidRPr="000039F3">
        <w:rPr>
          <w:b/>
          <w:bCs/>
        </w:rPr>
        <w:t>настоящих Правил, если они имеются в системе;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описание средств, используемых для обеспечения соо</w:t>
      </w:r>
      <w:r w:rsidRPr="000039F3">
        <w:rPr>
          <w:b/>
          <w:bCs/>
        </w:rPr>
        <w:t>т</w:t>
      </w:r>
      <w:r w:rsidRPr="000039F3">
        <w:rPr>
          <w:b/>
          <w:bCs/>
        </w:rPr>
        <w:t>ветствия требованиям, указанным в пункте 17.13.2.3 настоящих Правил, включая все оборудование, контр</w:t>
      </w:r>
      <w:r w:rsidRPr="000039F3">
        <w:rPr>
          <w:b/>
          <w:bCs/>
        </w:rPr>
        <w:t>о</w:t>
      </w:r>
      <w:r w:rsidRPr="000039F3">
        <w:rPr>
          <w:b/>
          <w:bCs/>
        </w:rPr>
        <w:t>лируемые параметры, соответствующие факторы, крит</w:t>
      </w:r>
      <w:r w:rsidRPr="000039F3">
        <w:rPr>
          <w:b/>
          <w:bCs/>
        </w:rPr>
        <w:t>е</w:t>
      </w:r>
      <w:r w:rsidRPr="000039F3">
        <w:rPr>
          <w:b/>
          <w:bCs/>
        </w:rPr>
        <w:t>рии и меры;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c)</w:t>
      </w:r>
      <w:r w:rsidRPr="000039F3">
        <w:rPr>
          <w:b/>
          <w:bCs/>
        </w:rPr>
        <w:tab/>
        <w:t>развернутые блок</w:t>
      </w:r>
      <w:r w:rsidR="008A5000">
        <w:rPr>
          <w:b/>
          <w:bCs/>
        </w:rPr>
        <w:t>-</w:t>
      </w:r>
      <w:r w:rsidRPr="000039F3">
        <w:rPr>
          <w:b/>
          <w:bCs/>
        </w:rPr>
        <w:t>схемы, иллюстрирующие стратегии, используемые для целей выполнения требований, ук</w:t>
      </w:r>
      <w:r w:rsidRPr="000039F3">
        <w:rPr>
          <w:b/>
          <w:bCs/>
        </w:rPr>
        <w:t>а</w:t>
      </w:r>
      <w:r w:rsidRPr="000039F3">
        <w:rPr>
          <w:b/>
          <w:bCs/>
        </w:rPr>
        <w:t>занных в пункте 17.13.2.3 настоящих Правил.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2.</w:t>
      </w:r>
      <w:r w:rsidRPr="000039F3">
        <w:rPr>
          <w:b/>
          <w:bCs/>
        </w:rPr>
        <w:tab/>
        <w:t>Процедуры испытания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>2.1</w:t>
      </w:r>
      <w:r w:rsidRPr="000039F3">
        <w:rPr>
          <w:b/>
          <w:bCs/>
        </w:rPr>
        <w:tab/>
        <w:t>В целях проверки соответствия требованиям пункта 17.13.2.3 настоящих Правил транспортное средство испытывают ниж</w:t>
      </w:r>
      <w:r w:rsidRPr="000039F3">
        <w:rPr>
          <w:b/>
          <w:bCs/>
        </w:rPr>
        <w:t>е</w:t>
      </w:r>
      <w:r w:rsidRPr="000039F3">
        <w:rPr>
          <w:b/>
          <w:bCs/>
        </w:rPr>
        <w:t>следующим образом.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Процедура испытания: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a)</w:t>
      </w:r>
      <w:r w:rsidRPr="000039F3">
        <w:rPr>
          <w:b/>
          <w:bCs/>
        </w:rPr>
        <w:tab/>
        <w:t>установить оборудование СНГ на транспортное средство;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b)</w:t>
      </w:r>
      <w:r w:rsidRPr="000039F3">
        <w:rPr>
          <w:b/>
          <w:bCs/>
        </w:rPr>
        <w:tab/>
        <w:t>заполнить бак СНГ топливом в объеме не менее 10 ли</w:t>
      </w:r>
      <w:r w:rsidRPr="000039F3">
        <w:rPr>
          <w:b/>
          <w:bCs/>
        </w:rPr>
        <w:t>т</w:t>
      </w:r>
      <w:r w:rsidRPr="000039F3">
        <w:rPr>
          <w:b/>
          <w:bCs/>
        </w:rPr>
        <w:t>ров;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c)</w:t>
      </w:r>
      <w:r w:rsidRPr="000039F3">
        <w:rPr>
          <w:b/>
          <w:bCs/>
        </w:rPr>
        <w:tab/>
        <w:t>перевести систему переключения видов топлива в режим работы на СНГ;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d)</w:t>
      </w:r>
      <w:r w:rsidRPr="000039F3">
        <w:rPr>
          <w:b/>
          <w:bCs/>
        </w:rPr>
        <w:tab/>
        <w:t>двигатель продолжает работать на самых малых оборотах холостого хода;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e)</w:t>
      </w:r>
      <w:r w:rsidRPr="000039F3">
        <w:rPr>
          <w:b/>
          <w:bCs/>
        </w:rPr>
        <w:tab/>
        <w:t>произвести переключение с режима работы на СНГ на режим работы на бензине и обратно;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835" w:hanging="1701"/>
        <w:rPr>
          <w:b/>
          <w:bCs/>
        </w:rPr>
      </w:pPr>
      <w:r w:rsidRPr="000039F3">
        <w:rPr>
          <w:b/>
          <w:bCs/>
        </w:rPr>
        <w:tab/>
        <w:t>f)</w:t>
      </w:r>
      <w:r w:rsidRPr="000039F3">
        <w:rPr>
          <w:b/>
          <w:bCs/>
        </w:rPr>
        <w:tab/>
        <w:t>повторять операцию е) до тех пор, пока отключение р</w:t>
      </w:r>
      <w:r w:rsidRPr="000039F3">
        <w:rPr>
          <w:b/>
          <w:bCs/>
        </w:rPr>
        <w:t>е</w:t>
      </w:r>
      <w:r w:rsidRPr="000039F3">
        <w:rPr>
          <w:b/>
          <w:bCs/>
        </w:rPr>
        <w:t xml:space="preserve">жима работы на бензине не станет постоянным. 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Толкование результатов испытания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Для толкования результатов испытания используют следующие критерии: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</w:r>
      <w:r w:rsidRPr="000039F3">
        <w:rPr>
          <w:b/>
          <w:bCs/>
        </w:rPr>
        <w:tab/>
      </w:r>
      <w:proofErr w:type="spellStart"/>
      <w:r w:rsidRPr="000039F3">
        <w:rPr>
          <w:b/>
          <w:bCs/>
        </w:rPr>
        <w:t>N</w:t>
      </w:r>
      <w:r w:rsidRPr="000039F3">
        <w:rPr>
          <w:b/>
          <w:bCs/>
          <w:vertAlign w:val="subscript"/>
        </w:rPr>
        <w:t>sw</w:t>
      </w:r>
      <w:proofErr w:type="spellEnd"/>
      <w:r w:rsidRPr="000039F3">
        <w:rPr>
          <w:b/>
          <w:bCs/>
        </w:rPr>
        <w:t xml:space="preserve"> &lt; 0,16 * </w:t>
      </w:r>
      <w:proofErr w:type="spellStart"/>
      <w:r w:rsidRPr="000039F3">
        <w:rPr>
          <w:b/>
          <w:bCs/>
        </w:rPr>
        <w:t>V</w:t>
      </w:r>
      <w:r w:rsidRPr="000039F3">
        <w:rPr>
          <w:b/>
          <w:bCs/>
          <w:vertAlign w:val="subscript"/>
        </w:rPr>
        <w:t>in</w:t>
      </w:r>
      <w:proofErr w:type="spellEnd"/>
      <w:r w:rsidRPr="000039F3">
        <w:rPr>
          <w:b/>
          <w:bCs/>
        </w:rPr>
        <w:t xml:space="preserve"> / </w:t>
      </w:r>
      <w:proofErr w:type="spellStart"/>
      <w:r w:rsidRPr="000039F3">
        <w:rPr>
          <w:b/>
          <w:bCs/>
        </w:rPr>
        <w:t>V</w:t>
      </w:r>
      <w:r w:rsidRPr="000039F3">
        <w:rPr>
          <w:b/>
          <w:bCs/>
          <w:vertAlign w:val="subscript"/>
        </w:rPr>
        <w:t>sw</w:t>
      </w:r>
      <w:proofErr w:type="spellEnd"/>
      <w:r w:rsidRPr="000039F3">
        <w:rPr>
          <w:b/>
          <w:bCs/>
        </w:rPr>
        <w:t>,</w:t>
      </w:r>
    </w:p>
    <w:p w:rsidR="000039F3" w:rsidRPr="000039F3" w:rsidRDefault="000039F3" w:rsidP="006959DE">
      <w:pPr>
        <w:pStyle w:val="SingleTxtGR"/>
        <w:tabs>
          <w:tab w:val="clear" w:pos="1701"/>
        </w:tabs>
        <w:ind w:left="2268" w:hanging="1134"/>
        <w:rPr>
          <w:b/>
          <w:bCs/>
        </w:rPr>
      </w:pPr>
      <w:r w:rsidRPr="000039F3">
        <w:rPr>
          <w:b/>
          <w:bCs/>
        </w:rPr>
        <w:tab/>
        <w:t>где:</w:t>
      </w:r>
    </w:p>
    <w:p w:rsidR="000039F3" w:rsidRPr="000039F3" w:rsidRDefault="000039F3" w:rsidP="00940718">
      <w:pPr>
        <w:pStyle w:val="SingleTxtGR"/>
        <w:tabs>
          <w:tab w:val="clear" w:pos="1701"/>
        </w:tabs>
        <w:ind w:left="3402" w:hanging="2268"/>
        <w:rPr>
          <w:b/>
          <w:bCs/>
        </w:rPr>
      </w:pPr>
      <w:r w:rsidRPr="000039F3">
        <w:rPr>
          <w:b/>
          <w:bCs/>
        </w:rPr>
        <w:tab/>
      </w:r>
      <w:proofErr w:type="spellStart"/>
      <w:r w:rsidRPr="000039F3">
        <w:rPr>
          <w:b/>
          <w:bCs/>
        </w:rPr>
        <w:t>N</w:t>
      </w:r>
      <w:r w:rsidRPr="000039F3">
        <w:rPr>
          <w:b/>
          <w:bCs/>
          <w:vertAlign w:val="subscript"/>
        </w:rPr>
        <w:t>sw</w:t>
      </w:r>
      <w:proofErr w:type="spellEnd"/>
      <w:r w:rsidR="00940718">
        <w:rPr>
          <w:b/>
          <w:bCs/>
        </w:rPr>
        <w:tab/>
      </w:r>
      <w:r w:rsidR="00B06626">
        <w:rPr>
          <w:b/>
          <w:bCs/>
        </w:rPr>
        <w:t>–</w:t>
      </w:r>
      <w:r w:rsidR="00940718">
        <w:rPr>
          <w:b/>
          <w:bCs/>
        </w:rPr>
        <w:tab/>
      </w:r>
      <w:r w:rsidRPr="000039F3">
        <w:rPr>
          <w:b/>
          <w:bCs/>
        </w:rPr>
        <w:t>количество операций переключения с режима раб</w:t>
      </w:r>
      <w:r w:rsidRPr="000039F3">
        <w:rPr>
          <w:b/>
          <w:bCs/>
        </w:rPr>
        <w:t>о</w:t>
      </w:r>
      <w:r w:rsidRPr="000039F3">
        <w:rPr>
          <w:b/>
          <w:bCs/>
        </w:rPr>
        <w:t>ты на СНГ на режим работы на бензине и обратно, пока отключение режима работы на бензине не ст</w:t>
      </w:r>
      <w:r w:rsidRPr="000039F3">
        <w:rPr>
          <w:b/>
          <w:bCs/>
        </w:rPr>
        <w:t>а</w:t>
      </w:r>
      <w:r w:rsidRPr="000039F3">
        <w:rPr>
          <w:b/>
          <w:bCs/>
        </w:rPr>
        <w:t>нет постоянным</w:t>
      </w:r>
      <w:r w:rsidR="008A5000">
        <w:rPr>
          <w:b/>
          <w:bCs/>
        </w:rPr>
        <w:t>,</w:t>
      </w:r>
    </w:p>
    <w:p w:rsidR="000039F3" w:rsidRPr="000039F3" w:rsidRDefault="000039F3" w:rsidP="00940718">
      <w:pPr>
        <w:pStyle w:val="SingleTxtGR"/>
        <w:tabs>
          <w:tab w:val="clear" w:pos="1701"/>
        </w:tabs>
        <w:ind w:left="3402" w:hanging="2268"/>
        <w:rPr>
          <w:bCs/>
        </w:rPr>
      </w:pPr>
      <w:r w:rsidRPr="000039F3">
        <w:rPr>
          <w:b/>
          <w:bCs/>
        </w:rPr>
        <w:tab/>
      </w:r>
      <w:proofErr w:type="spellStart"/>
      <w:r w:rsidRPr="000039F3">
        <w:rPr>
          <w:b/>
          <w:bCs/>
        </w:rPr>
        <w:t>V</w:t>
      </w:r>
      <w:r w:rsidRPr="000039F3">
        <w:rPr>
          <w:b/>
          <w:bCs/>
          <w:vertAlign w:val="subscript"/>
        </w:rPr>
        <w:t>sw</w:t>
      </w:r>
      <w:proofErr w:type="spellEnd"/>
      <w:r w:rsidRPr="000039F3">
        <w:rPr>
          <w:b/>
          <w:bCs/>
        </w:rPr>
        <w:t xml:space="preserve"> </w:t>
      </w:r>
      <w:r w:rsidR="00940718">
        <w:rPr>
          <w:b/>
          <w:bCs/>
        </w:rPr>
        <w:tab/>
      </w:r>
      <w:r w:rsidR="00B06626">
        <w:rPr>
          <w:b/>
          <w:bCs/>
        </w:rPr>
        <w:t>–</w:t>
      </w:r>
      <w:r w:rsidRPr="000039F3">
        <w:rPr>
          <w:b/>
          <w:bCs/>
        </w:rPr>
        <w:tab/>
        <w:t>объем бензина, поступающего в бак СНГ при ка</w:t>
      </w:r>
      <w:r w:rsidRPr="000039F3">
        <w:rPr>
          <w:b/>
          <w:bCs/>
        </w:rPr>
        <w:t>ж</w:t>
      </w:r>
      <w:r w:rsidRPr="000039F3">
        <w:rPr>
          <w:b/>
          <w:bCs/>
        </w:rPr>
        <w:t>дой операции переключения, измеренный согласно пункту 6.1 приложения 14 к настоящим Правилам</w:t>
      </w:r>
      <w:r w:rsidR="008A5000">
        <w:rPr>
          <w:bCs/>
        </w:rPr>
        <w:t>,</w:t>
      </w:r>
    </w:p>
    <w:p w:rsidR="00004DA7" w:rsidRPr="000039F3" w:rsidRDefault="000039F3" w:rsidP="00940718">
      <w:pPr>
        <w:pStyle w:val="SingleTxtGR"/>
        <w:tabs>
          <w:tab w:val="clear" w:pos="1701"/>
        </w:tabs>
        <w:ind w:left="3402" w:hanging="2268"/>
        <w:rPr>
          <w:bCs/>
        </w:rPr>
      </w:pPr>
      <w:r w:rsidRPr="000039F3">
        <w:rPr>
          <w:b/>
          <w:bCs/>
        </w:rPr>
        <w:tab/>
      </w:r>
      <w:proofErr w:type="spellStart"/>
      <w:r w:rsidRPr="000039F3">
        <w:rPr>
          <w:b/>
          <w:bCs/>
        </w:rPr>
        <w:t>Vin</w:t>
      </w:r>
      <w:proofErr w:type="spellEnd"/>
      <w:r w:rsidRPr="000039F3">
        <w:rPr>
          <w:b/>
          <w:bCs/>
        </w:rPr>
        <w:t xml:space="preserve"> </w:t>
      </w:r>
      <w:r w:rsidR="00940718">
        <w:rPr>
          <w:b/>
          <w:bCs/>
        </w:rPr>
        <w:tab/>
      </w:r>
      <w:r w:rsidR="00B06626">
        <w:rPr>
          <w:b/>
          <w:bCs/>
        </w:rPr>
        <w:t>–</w:t>
      </w:r>
      <w:r w:rsidR="00940718">
        <w:rPr>
          <w:b/>
          <w:bCs/>
        </w:rPr>
        <w:tab/>
      </w:r>
      <w:r w:rsidRPr="000039F3">
        <w:rPr>
          <w:b/>
          <w:bCs/>
        </w:rPr>
        <w:t>первоначальный объем СНГ в соответствии с пун</w:t>
      </w:r>
      <w:r w:rsidRPr="000039F3">
        <w:rPr>
          <w:b/>
          <w:bCs/>
        </w:rPr>
        <w:t>к</w:t>
      </w:r>
      <w:r w:rsidRPr="000039F3">
        <w:rPr>
          <w:b/>
          <w:bCs/>
        </w:rPr>
        <w:t>том 2.1 b) настоящего приложения выше</w:t>
      </w:r>
      <w:r w:rsidR="00A96C98">
        <w:rPr>
          <w:bCs/>
        </w:rPr>
        <w:t>.»</w:t>
      </w:r>
    </w:p>
    <w:p w:rsidR="000039F3" w:rsidRPr="000039F3" w:rsidRDefault="00940718" w:rsidP="00940718">
      <w:pPr>
        <w:pStyle w:val="HChGR"/>
      </w:pPr>
      <w:r>
        <w:tab/>
      </w:r>
      <w:r w:rsidR="000039F3" w:rsidRPr="000039F3">
        <w:t>II.</w:t>
      </w:r>
      <w:r>
        <w:tab/>
      </w:r>
      <w:r w:rsidR="000039F3" w:rsidRPr="000039F3">
        <w:t>Обоснование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A.</w:t>
      </w:r>
      <w:r w:rsidRPr="000039F3">
        <w:tab/>
        <w:t>Введение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A.1</w:t>
      </w:r>
      <w:r w:rsidRPr="000039F3">
        <w:tab/>
        <w:t>В целом предлагаемые поправки направлены на совершенствование а</w:t>
      </w:r>
      <w:r w:rsidRPr="000039F3">
        <w:t>с</w:t>
      </w:r>
      <w:r w:rsidRPr="000039F3">
        <w:t>пектов безопасности газовых систем, которые в силу особенностей сво</w:t>
      </w:r>
      <w:r w:rsidRPr="000039F3">
        <w:t>е</w:t>
      </w:r>
      <w:r w:rsidRPr="000039F3">
        <w:t>го устройства допускают ограниченное попадание бензинового топлива в бак СНГ. Это происходит, в частности, во всех доступных сегодня на рынке системах прямого впрыска СНГ независимо от изготовителя: в редких случаях, когда эта система либо автоматически, либо под ко</w:t>
      </w:r>
      <w:r w:rsidRPr="000039F3">
        <w:t>н</w:t>
      </w:r>
      <w:r w:rsidRPr="000039F3">
        <w:t>тролем пользователя осуществляет переключение между рабочими реж</w:t>
      </w:r>
      <w:r w:rsidRPr="000039F3">
        <w:t>и</w:t>
      </w:r>
      <w:r w:rsidRPr="000039F3">
        <w:t>мами (например, когда бак СНГ почти опорожнен), небольшое колич</w:t>
      </w:r>
      <w:r w:rsidRPr="000039F3">
        <w:t>е</w:t>
      </w:r>
      <w:r w:rsidRPr="000039F3">
        <w:t>ство бензинового топлива попадает в бак СНГ.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A.2</w:t>
      </w:r>
      <w:r w:rsidRPr="000039F3">
        <w:tab/>
        <w:t>Абсолютное запрещение обратного тока топлива привело бы к неопра</w:t>
      </w:r>
      <w:r w:rsidRPr="000039F3">
        <w:t>в</w:t>
      </w:r>
      <w:r w:rsidRPr="000039F3">
        <w:t>данному запрету на рыночную реализацию таких инновационных систем, что имело бы негативные последствия для окружающей среды; это связ</w:t>
      </w:r>
      <w:r w:rsidRPr="000039F3">
        <w:t>а</w:t>
      </w:r>
      <w:r w:rsidRPr="000039F3">
        <w:t>но с тем, что такие новые газовые системы позволяют добиться знач</w:t>
      </w:r>
      <w:r w:rsidRPr="000039F3">
        <w:t>и</w:t>
      </w:r>
      <w:r w:rsidRPr="000039F3">
        <w:t>тельного сокращения выбросов загрязняющих веществ и парниковых г</w:t>
      </w:r>
      <w:r w:rsidRPr="000039F3">
        <w:t>а</w:t>
      </w:r>
      <w:r w:rsidRPr="000039F3">
        <w:t>зов по сравнению с аналогичными технологиями, основанными на пр</w:t>
      </w:r>
      <w:r w:rsidRPr="000039F3">
        <w:t>и</w:t>
      </w:r>
      <w:r w:rsidRPr="000039F3">
        <w:t>менении бензинового топлива.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A.3</w:t>
      </w:r>
      <w:r w:rsidRPr="000039F3">
        <w:tab/>
        <w:t>В целом отмечается, что: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a)</w:t>
      </w:r>
      <w:r w:rsidRPr="000039F3">
        <w:tab/>
        <w:t>наличие бензина в баке СНГ не создает риска, связанного с давл</w:t>
      </w:r>
      <w:r w:rsidRPr="000039F3">
        <w:t>е</w:t>
      </w:r>
      <w:r w:rsidRPr="000039F3">
        <w:t>нием, поскольку этот вид топлива имеет более низкий коэффициент лет</w:t>
      </w:r>
      <w:r w:rsidRPr="000039F3">
        <w:t>у</w:t>
      </w:r>
      <w:r w:rsidRPr="000039F3">
        <w:t>чести, а его смешение с газообразным топливом при тех же температурах может только уменьшить внутреннее давление;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b)</w:t>
      </w:r>
      <w:r w:rsidRPr="000039F3">
        <w:tab/>
        <w:t xml:space="preserve">впрыск бензина в бак СНГ инициируется только при переключении с одного режима работы на другой, а поскольку для запуска, прогрева и работы </w:t>
      </w:r>
      <w:proofErr w:type="spellStart"/>
      <w:r w:rsidRPr="000039F3">
        <w:t>газотопливной</w:t>
      </w:r>
      <w:proofErr w:type="spellEnd"/>
      <w:r w:rsidRPr="000039F3">
        <w:t xml:space="preserve"> системы используется исключительно газ, то это происходит весьма редко, особенно по сравнению с другими технологи</w:t>
      </w:r>
      <w:r w:rsidRPr="000039F3">
        <w:t>я</w:t>
      </w:r>
      <w:r w:rsidRPr="000039F3">
        <w:t>ми, когда в ходе ездового цикла в режиме работы на газе используется также бензиновое топливо;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c)</w:t>
      </w:r>
      <w:r w:rsidRPr="000039F3">
        <w:tab/>
        <w:t>давление паров и коэффициент теплового расширения бензина имеют значения, которые можно не принимать в расчет, а посему наличие некоторого (весьма небольшого) количества бензина вместо СНГ пов</w:t>
      </w:r>
      <w:r w:rsidRPr="000039F3">
        <w:t>ы</w:t>
      </w:r>
      <w:r w:rsidRPr="000039F3">
        <w:t>шает уровень безопасности с точки зрения риска, связанного с давлен</w:t>
      </w:r>
      <w:r w:rsidRPr="000039F3">
        <w:t>и</w:t>
      </w:r>
      <w:r w:rsidRPr="000039F3">
        <w:t>ем;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d)</w:t>
      </w:r>
      <w:r w:rsidRPr="000039F3">
        <w:tab/>
        <w:t>предел наполнения в 80% является довольно умеренным и обесп</w:t>
      </w:r>
      <w:r w:rsidRPr="000039F3">
        <w:t>е</w:t>
      </w:r>
      <w:r w:rsidRPr="000039F3">
        <w:t xml:space="preserve">чивает значительный запас по сравнению с 85%, который </w:t>
      </w:r>
      <w:r w:rsidRPr="000039F3">
        <w:rPr>
          <w:iCs/>
        </w:rPr>
        <w:t xml:space="preserve">− </w:t>
      </w:r>
      <w:r w:rsidRPr="000039F3">
        <w:t>в том числе согласно директиве, касающейся переносного оборудования, работающ</w:t>
      </w:r>
      <w:r w:rsidRPr="000039F3">
        <w:t>е</w:t>
      </w:r>
      <w:r w:rsidRPr="000039F3">
        <w:t>го под давлением (TPED), и директиве, касающейся оборудования, раб</w:t>
      </w:r>
      <w:r w:rsidRPr="000039F3">
        <w:t>о</w:t>
      </w:r>
      <w:r w:rsidRPr="000039F3">
        <w:t xml:space="preserve">тающего под давлением (PED), Европейского союза </w:t>
      </w:r>
      <w:r w:rsidRPr="000039F3">
        <w:rPr>
          <w:iCs/>
        </w:rPr>
        <w:t>− является нормал</w:t>
      </w:r>
      <w:r w:rsidRPr="000039F3">
        <w:rPr>
          <w:iCs/>
        </w:rPr>
        <w:t>ь</w:t>
      </w:r>
      <w:r w:rsidRPr="000039F3">
        <w:rPr>
          <w:iCs/>
        </w:rPr>
        <w:t>ным;</w:t>
      </w:r>
    </w:p>
    <w:p w:rsidR="000039F3" w:rsidRPr="000039F3" w:rsidRDefault="000039F3" w:rsidP="00940718">
      <w:pPr>
        <w:pStyle w:val="SingleTxtGR"/>
        <w:ind w:left="1701" w:hanging="567"/>
        <w:rPr>
          <w:iCs/>
        </w:rPr>
      </w:pPr>
      <w:r w:rsidRPr="000039F3">
        <w:tab/>
        <w:t>e)</w:t>
      </w:r>
      <w:r w:rsidRPr="000039F3">
        <w:tab/>
        <w:t>предлагаемая в настоящем документе стратегия позволит искл</w:t>
      </w:r>
      <w:r w:rsidRPr="000039F3">
        <w:t>ю</w:t>
      </w:r>
      <w:r w:rsidRPr="000039F3">
        <w:t xml:space="preserve">чить возможность </w:t>
      </w:r>
      <w:r w:rsidRPr="000039F3">
        <w:rPr>
          <w:bCs/>
        </w:rPr>
        <w:t>переполнения бака СНГ: каждая отдельная порция впрыскиваемого топлива подлежит удалению за счет отключения фун</w:t>
      </w:r>
      <w:r w:rsidRPr="000039F3">
        <w:rPr>
          <w:bCs/>
        </w:rPr>
        <w:t>к</w:t>
      </w:r>
      <w:r w:rsidRPr="000039F3">
        <w:rPr>
          <w:bCs/>
        </w:rPr>
        <w:t>ции переключения с режима</w:t>
      </w:r>
      <w:r w:rsidRPr="000039F3">
        <w:t xml:space="preserve"> работы на</w:t>
      </w:r>
      <w:r w:rsidRPr="000039F3">
        <w:rPr>
          <w:iCs/>
        </w:rPr>
        <w:t xml:space="preserve"> СНГ</w:t>
      </w:r>
      <w:r w:rsidRPr="000039F3">
        <w:t xml:space="preserve"> на </w:t>
      </w:r>
      <w:r w:rsidRPr="000039F3">
        <w:rPr>
          <w:iCs/>
        </w:rPr>
        <w:t>режим работы на бензине</w:t>
      </w:r>
      <w:r w:rsidRPr="000039F3">
        <w:rPr>
          <w:bCs/>
        </w:rPr>
        <w:t xml:space="preserve"> </w:t>
      </w:r>
      <w:r w:rsidRPr="000039F3">
        <w:rPr>
          <w:iCs/>
        </w:rPr>
        <w:t>до тех пор, пока этот объем не будет полностью израсходован; были предложены соответствующие и надлежащие</w:t>
      </w:r>
      <w:r w:rsidRPr="000039F3">
        <w:t xml:space="preserve"> </w:t>
      </w:r>
      <w:r w:rsidRPr="000039F3">
        <w:rPr>
          <w:iCs/>
        </w:rPr>
        <w:t>лабораторные испытания.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</w:t>
      </w:r>
      <w:r w:rsidRPr="000039F3">
        <w:tab/>
        <w:t>Развернутое обоснование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B.1</w:t>
      </w:r>
      <w:r w:rsidRPr="000039F3">
        <w:tab/>
        <w:t>Новым пунктом 2.20 вводится определение общего термина «система СНГ». Хотя в нынешнем тексте Правил термин «система СНГ» встреч</w:t>
      </w:r>
      <w:r w:rsidRPr="000039F3">
        <w:t>а</w:t>
      </w:r>
      <w:r w:rsidRPr="000039F3">
        <w:t>ется неоднократно, его надлежащее определение отсутствует.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B.2</w:t>
      </w:r>
      <w:r w:rsidRPr="000039F3">
        <w:tab/>
        <w:t>В новом пункте 2.21, где дается определение особой («</w:t>
      </w:r>
      <w:r w:rsidRPr="000039F3">
        <w:rPr>
          <w:bCs/>
        </w:rPr>
        <w:t>сообщающейся»</w:t>
      </w:r>
      <w:r w:rsidRPr="000039F3">
        <w:t>) системы СНГ, уточняется сфера действия положений, предлагаемых в настоящей поправке.</w:t>
      </w:r>
    </w:p>
    <w:p w:rsidR="000039F3" w:rsidRPr="000039F3" w:rsidRDefault="000039F3" w:rsidP="00940718">
      <w:pPr>
        <w:pStyle w:val="SingleTxtGR"/>
        <w:ind w:left="1701" w:hanging="567"/>
        <w:rPr>
          <w:bCs/>
        </w:rPr>
      </w:pPr>
      <w:r w:rsidRPr="000039F3">
        <w:tab/>
        <w:t>Уместно отметить, что этим новым конкретным определением исключ</w:t>
      </w:r>
      <w:r w:rsidRPr="000039F3">
        <w:t>а</w:t>
      </w:r>
      <w:r w:rsidRPr="000039F3">
        <w:t xml:space="preserve">ются системы СНГ без гидравлических соединений с </w:t>
      </w:r>
      <w:r w:rsidRPr="000039F3">
        <w:rPr>
          <w:bCs/>
        </w:rPr>
        <w:t>бензиновой</w:t>
      </w:r>
      <w:r w:rsidR="002F098B">
        <w:t>/</w:t>
      </w:r>
      <w:r w:rsidR="002F098B">
        <w:br/>
      </w:r>
      <w:r w:rsidRPr="000039F3">
        <w:rPr>
          <w:bCs/>
        </w:rPr>
        <w:t xml:space="preserve">дизельной топливной системой, а также системы, </w:t>
      </w:r>
      <w:r w:rsidRPr="000039F3">
        <w:t>имеющие такие соед</w:t>
      </w:r>
      <w:r w:rsidRPr="000039F3">
        <w:t>и</w:t>
      </w:r>
      <w:r w:rsidRPr="000039F3">
        <w:t xml:space="preserve">нения, но не включающие </w:t>
      </w:r>
      <w:r w:rsidRPr="000039F3">
        <w:rPr>
          <w:bCs/>
        </w:rPr>
        <w:t>гидравлический патрубок, по которому может происходить поступление бензинового или дизельного топлива в бак СНГ.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Что касается «</w:t>
      </w:r>
      <w:r w:rsidRPr="000039F3">
        <w:rPr>
          <w:bCs/>
        </w:rPr>
        <w:t>бензиновой или дизельной топливной системы», то под ней имплицитно подразумевается гидравлический контур выше точки впры</w:t>
      </w:r>
      <w:r w:rsidRPr="000039F3">
        <w:rPr>
          <w:bCs/>
        </w:rPr>
        <w:t>с</w:t>
      </w:r>
      <w:r w:rsidRPr="000039F3">
        <w:rPr>
          <w:bCs/>
        </w:rPr>
        <w:t>ка/подсоса топлива.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B.3</w:t>
      </w:r>
      <w:r w:rsidRPr="000039F3">
        <w:tab/>
        <w:t>Новый пункт 2.23, которым вводится надлежащее определение термина «</w:t>
      </w:r>
      <w:r w:rsidRPr="000039F3">
        <w:rPr>
          <w:bCs/>
        </w:rPr>
        <w:t>комбинация элементов»</w:t>
      </w:r>
      <w:r w:rsidRPr="000039F3">
        <w:t>, позволяет восполнить явный пробел в Прав</w:t>
      </w:r>
      <w:r w:rsidRPr="000039F3">
        <w:t>и</w:t>
      </w:r>
      <w:r w:rsidRPr="000039F3">
        <w:t>лах: ссылка на него содержится в ряде пунктов, тогда как конкретное определение отсутствует.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Новый пункт 6.15 направлен на уточнение предусмотренных Правилами требований и испытаний применительно к «</w:t>
      </w:r>
      <w:r w:rsidRPr="000039F3">
        <w:rPr>
          <w:bCs/>
        </w:rPr>
        <w:t>комбинации элементов»</w:t>
      </w:r>
      <w:r w:rsidRPr="000039F3">
        <w:t>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 xml:space="preserve">Оба этих пункта (2.23 и 6.15) имеют особую значимость в контексте настоящего предложения по поправкам, поскольку один из основных элементов системы прямого впрыска (ПВ) СНГ представляет собой </w:t>
      </w:r>
      <w:r w:rsidRPr="000039F3">
        <w:rPr>
          <w:bCs/>
        </w:rPr>
        <w:t>ко</w:t>
      </w:r>
      <w:r w:rsidRPr="000039F3">
        <w:rPr>
          <w:bCs/>
        </w:rPr>
        <w:t>м</w:t>
      </w:r>
      <w:r w:rsidRPr="000039F3">
        <w:rPr>
          <w:bCs/>
        </w:rPr>
        <w:t>бинацию элементов, обычно реализуемую на рынке под торговым наим</w:t>
      </w:r>
      <w:r w:rsidRPr="000039F3">
        <w:rPr>
          <w:bCs/>
        </w:rPr>
        <w:t>е</w:t>
      </w:r>
      <w:r w:rsidRPr="000039F3">
        <w:rPr>
          <w:bCs/>
        </w:rPr>
        <w:t>нованием БПТ (блок переключения видов топлива).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B.4</w:t>
      </w:r>
      <w:r w:rsidRPr="000039F3">
        <w:tab/>
        <w:t>Новым пунктом 6.16.3.3 предусматривается, что дистанционно регулир</w:t>
      </w:r>
      <w:r w:rsidRPr="000039F3">
        <w:t>у</w:t>
      </w:r>
      <w:r w:rsidRPr="000039F3">
        <w:t>емый запорный клапан, установленный на линии гидравлического соед</w:t>
      </w:r>
      <w:r w:rsidRPr="000039F3">
        <w:t>и</w:t>
      </w:r>
      <w:r w:rsidRPr="000039F3">
        <w:t>нения с целью реализации этапов переключения, должен соответствовать требованиям испытания на долговечность в большей степени, чем это требуется в случае других элементов.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Для целей ремонта и замены на этот клапан должна наноситься четкая маркировка, содержащая буквы «ICS».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B.4.1</w:t>
      </w:r>
      <w:r w:rsidRPr="000039F3">
        <w:tab/>
        <w:t>Новым пунктом 6.16.14</w:t>
      </w:r>
      <w:r>
        <w:t xml:space="preserve"> </w:t>
      </w:r>
      <w:r w:rsidRPr="000039F3">
        <w:t>предусматривается, что обратный клапан, пр</w:t>
      </w:r>
      <w:r w:rsidRPr="000039F3">
        <w:t>е</w:t>
      </w:r>
      <w:r w:rsidRPr="000039F3">
        <w:t>пятствующий попаданию СНГ в бак с бензиновым/дизельным топливом (см. пункты 17.13.1.1, 17.13.1.2 и 17.13.2.1), должен быть официально утвержден на основании результатов особого испытания на долгове</w:t>
      </w:r>
      <w:r w:rsidRPr="000039F3">
        <w:t>ч</w:t>
      </w:r>
      <w:r w:rsidRPr="000039F3">
        <w:t>ность, определенного в пункте 9.6 приложения 15.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Также для целей ремонта и замены на этот клапан должна наноситься четкая маркировка, содержащая буквы «ICS».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B.4.2</w:t>
      </w:r>
      <w:r w:rsidRPr="000039F3">
        <w:tab/>
        <w:t>Новый пункт 6.16.1.6 в соответствии с предложением, изложенным в д</w:t>
      </w:r>
      <w:r w:rsidRPr="000039F3">
        <w:t>о</w:t>
      </w:r>
      <w:r w:rsidRPr="000039F3">
        <w:t>кументе ECE/TRANS/WP.29/GRSG/2015/35, был исключен, так как ник</w:t>
      </w:r>
      <w:r w:rsidRPr="000039F3">
        <w:t>а</w:t>
      </w:r>
      <w:r w:rsidRPr="000039F3">
        <w:t xml:space="preserve">ких дополнительных или особых требований в отношении </w:t>
      </w:r>
      <w:r w:rsidR="000372E2">
        <w:br/>
      </w:r>
      <w:r w:rsidRPr="000039F3">
        <w:t>80-процентного стопорного клапана, используемого в «ICS», не требуе</w:t>
      </w:r>
      <w:r w:rsidRPr="000039F3">
        <w:t>т</w:t>
      </w:r>
      <w:r w:rsidRPr="000039F3">
        <w:t>ся, даже если речь идет о переключении с бензина на СНГ после запо</w:t>
      </w:r>
      <w:r w:rsidRPr="000039F3">
        <w:t>л</w:t>
      </w:r>
      <w:r w:rsidRPr="000039F3">
        <w:t>нения бака СНГ до 80%.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В частности: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a)</w:t>
      </w:r>
      <w:r w:rsidRPr="000039F3">
        <w:tab/>
        <w:t>Максимальный коэффициент заполнения для СНГ при предполаг</w:t>
      </w:r>
      <w:r w:rsidRPr="000039F3">
        <w:t>а</w:t>
      </w:r>
      <w:r w:rsidRPr="000039F3">
        <w:t>емых температурных условиях составляет более 85% (см. TPED, PED, Европейское соглашение о международной дорожной перевозке опасных грузов (ДОПОГ)). Поправками серии 01 к Правилам № 67 ООН пред</w:t>
      </w:r>
      <w:r w:rsidRPr="000039F3">
        <w:t>у</w:t>
      </w:r>
      <w:r w:rsidRPr="000039F3">
        <w:t>сматривается допуск в 5%.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b)</w:t>
      </w:r>
      <w:r w:rsidRPr="000039F3">
        <w:tab/>
        <w:t>Опасность переполнения системы СНГ является очевидной во вр</w:t>
      </w:r>
      <w:r w:rsidRPr="000039F3">
        <w:t>е</w:t>
      </w:r>
      <w:r w:rsidRPr="000039F3">
        <w:t>мя дозаправки, несмотря на возможный небольшой отток бензина в бак СНГ, поскольку 80-процентный стопорный клапан допускает остаточный отток в объеме половины литра в минуту для округления стоимости д</w:t>
      </w:r>
      <w:r w:rsidRPr="000039F3">
        <w:t>о</w:t>
      </w:r>
      <w:r w:rsidRPr="000039F3">
        <w:t>заправки. С учетом резкого сокращения расхода (со значения, выража</w:t>
      </w:r>
      <w:r w:rsidRPr="000039F3">
        <w:t>в</w:t>
      </w:r>
      <w:r w:rsidRPr="000039F3">
        <w:t>шегося двухзначной цифрой, до максимум пол-литра в минуту) и дост</w:t>
      </w:r>
      <w:r w:rsidRPr="000039F3">
        <w:t>а</w:t>
      </w:r>
      <w:r w:rsidRPr="000039F3">
        <w:t>точного допуска (80% по сравнению с 85%) данное обстоятельство уже нашло надлежащее отражение в Правилах.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c)</w:t>
      </w:r>
      <w:r w:rsidRPr="000039F3">
        <w:tab/>
        <w:t xml:space="preserve">В соответствии с положениями нового пункта 6 приложения 14 </w:t>
      </w:r>
      <w:r w:rsidRPr="000039F3">
        <w:rPr>
          <w:bCs/>
        </w:rPr>
        <w:t>с</w:t>
      </w:r>
      <w:r w:rsidRPr="000039F3">
        <w:rPr>
          <w:bCs/>
        </w:rPr>
        <w:t>о</w:t>
      </w:r>
      <w:r w:rsidRPr="000039F3">
        <w:rPr>
          <w:bCs/>
        </w:rPr>
        <w:t>общающиеся системы СНГ</w:t>
      </w:r>
      <w:r w:rsidRPr="000039F3">
        <w:t xml:space="preserve"> будут вынуждены потреблять после доз</w:t>
      </w:r>
      <w:r w:rsidRPr="000039F3">
        <w:t>а</w:t>
      </w:r>
      <w:r w:rsidRPr="000039F3">
        <w:t>правки только тот отток, который образуется при переключении с бензина на СНГ.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B.5</w:t>
      </w:r>
      <w:r w:rsidRPr="000039F3">
        <w:tab/>
        <w:t xml:space="preserve">Согласно новому пункту 6.17 требуется проведение соответствующего испытания </w:t>
      </w:r>
      <w:r w:rsidRPr="000039F3">
        <w:rPr>
          <w:bCs/>
        </w:rPr>
        <w:t>элементов оборудования СНГ или частей сообщающейся с</w:t>
      </w:r>
      <w:r w:rsidRPr="000039F3">
        <w:rPr>
          <w:bCs/>
        </w:rPr>
        <w:t>и</w:t>
      </w:r>
      <w:r w:rsidRPr="000039F3">
        <w:rPr>
          <w:bCs/>
        </w:rPr>
        <w:t>стемы СНГ,</w:t>
      </w:r>
      <w:r w:rsidRPr="000039F3">
        <w:t xml:space="preserve"> которые могут вступать в контакт с бензиновым топливом, на совместимость с бензином. Также требуется нанесение на такие </w:t>
      </w:r>
      <w:r w:rsidRPr="000039F3">
        <w:rPr>
          <w:bCs/>
        </w:rPr>
        <w:t>элеме</w:t>
      </w:r>
      <w:r w:rsidRPr="000039F3">
        <w:rPr>
          <w:bCs/>
        </w:rPr>
        <w:t>н</w:t>
      </w:r>
      <w:r w:rsidRPr="000039F3">
        <w:rPr>
          <w:bCs/>
        </w:rPr>
        <w:t>ты оборудования</w:t>
      </w:r>
      <w:r w:rsidRPr="000039F3">
        <w:t xml:space="preserve"> либо элементы оборудования, содержащие такие части, отличительной маркировки.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B.6</w:t>
      </w:r>
      <w:r w:rsidRPr="000039F3">
        <w:tab/>
        <w:t xml:space="preserve">Новым пунктом 17.13 предусматриваются требования, касающиеся </w:t>
      </w:r>
      <w:r w:rsidRPr="000039F3">
        <w:br/>
      </w:r>
      <w:r w:rsidRPr="000039F3">
        <w:rPr>
          <w:bCs/>
        </w:rPr>
        <w:t xml:space="preserve">сообщающихся систем СНГ; при этом проводится различие между </w:t>
      </w:r>
      <w:proofErr w:type="spellStart"/>
      <w:r w:rsidRPr="000039F3">
        <w:t>дву</w:t>
      </w:r>
      <w:r w:rsidRPr="000039F3">
        <w:t>х</w:t>
      </w:r>
      <w:r w:rsidRPr="000039F3">
        <w:t>топливным</w:t>
      </w:r>
      <w:proofErr w:type="spellEnd"/>
      <w:r w:rsidRPr="000039F3">
        <w:t xml:space="preserve"> (СНГ</w:t>
      </w:r>
      <w:r w:rsidR="00B06626">
        <w:t>–</w:t>
      </w:r>
      <w:r w:rsidRPr="000039F3">
        <w:t>дизельное топливо) транспортным средством (пункт 17.13.1) и транспортным средством с двумя топливными систем</w:t>
      </w:r>
      <w:r w:rsidRPr="000039F3">
        <w:t>а</w:t>
      </w:r>
      <w:r w:rsidRPr="000039F3">
        <w:t>ми (СНГ</w:t>
      </w:r>
      <w:r w:rsidR="00B06626">
        <w:t>–</w:t>
      </w:r>
      <w:r w:rsidRPr="000039F3">
        <w:t>бензин) (пункт 17.13.2).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rPr>
          <w:b/>
        </w:rPr>
        <w:tab/>
      </w:r>
      <w:r w:rsidRPr="000039F3">
        <w:rPr>
          <w:bCs/>
        </w:rPr>
        <w:t xml:space="preserve">В случае </w:t>
      </w:r>
      <w:proofErr w:type="spellStart"/>
      <w:r w:rsidRPr="000039F3">
        <w:rPr>
          <w:bCs/>
        </w:rPr>
        <w:t>двухтопливного</w:t>
      </w:r>
      <w:proofErr w:type="spellEnd"/>
      <w:r w:rsidRPr="000039F3">
        <w:rPr>
          <w:bCs/>
        </w:rPr>
        <w:t xml:space="preserve"> транспортного средства возможность поступл</w:t>
      </w:r>
      <w:r w:rsidRPr="000039F3">
        <w:rPr>
          <w:bCs/>
        </w:rPr>
        <w:t>е</w:t>
      </w:r>
      <w:r w:rsidRPr="000039F3">
        <w:rPr>
          <w:bCs/>
        </w:rPr>
        <w:t>ния как СНГ в бак с дизельным топливом, так и наоборот исключается в силу требования о применении надлежащих средств (пункты 17.13.1.1 и 17.13.1.2 соответственно).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Установка двух обратных клапанов на линии потока считается эффекти</w:t>
      </w:r>
      <w:r w:rsidRPr="000039F3">
        <w:t>в</w:t>
      </w:r>
      <w:r w:rsidRPr="000039F3">
        <w:t>ным и надежным средством, если эти клапаны официально утверждены на основании результатов испытания на долговечность, как это определ</w:t>
      </w:r>
      <w:r w:rsidRPr="000039F3">
        <w:t>е</w:t>
      </w:r>
      <w:r w:rsidRPr="000039F3">
        <w:t>но в пункте 9.6 приложения 15 (см. обоснование B.7.1).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rPr>
          <w:b/>
        </w:rPr>
        <w:tab/>
      </w:r>
      <w:r w:rsidRPr="000039F3">
        <w:rPr>
          <w:bCs/>
        </w:rPr>
        <w:t>В случае транспортного средства с двумя топливными системами во</w:t>
      </w:r>
      <w:r w:rsidRPr="000039F3">
        <w:rPr>
          <w:bCs/>
        </w:rPr>
        <w:t>з</w:t>
      </w:r>
      <w:r w:rsidRPr="000039F3">
        <w:rPr>
          <w:bCs/>
        </w:rPr>
        <w:t>можность поступления как СНГ в бак с дизельным топливом, так и наоборот исключается в силу требования о применении надлежащих средств</w:t>
      </w:r>
      <w:r w:rsidRPr="000039F3">
        <w:t xml:space="preserve"> (пункт 17.13.2.1, первое предложение).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Установка двух обратных клапанов на линии потока считается эффекти</w:t>
      </w:r>
      <w:r w:rsidRPr="000039F3">
        <w:t>в</w:t>
      </w:r>
      <w:r w:rsidRPr="000039F3">
        <w:t>ным и надежным средством, если эти клапаны официально утверждены на основании результатов испытания на долговечность, как это определ</w:t>
      </w:r>
      <w:r w:rsidRPr="000039F3">
        <w:t>е</w:t>
      </w:r>
      <w:r w:rsidRPr="000039F3">
        <w:t>но в пункте 9.6 приложения 15 (см. обоснование B.7.1) (пункт 17.13.2.1, второе предложение).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Поступление бензина в бак СНГ допускается только во время операций переключения, а также при определенных условиях в порядке исключ</w:t>
      </w:r>
      <w:r w:rsidRPr="000039F3">
        <w:t>е</w:t>
      </w:r>
      <w:r w:rsidRPr="000039F3">
        <w:t xml:space="preserve">ния возможности </w:t>
      </w:r>
      <w:r w:rsidRPr="000039F3">
        <w:rPr>
          <w:bCs/>
        </w:rPr>
        <w:t xml:space="preserve">переполнения бака СНГ </w:t>
      </w:r>
      <w:r w:rsidRPr="000039F3">
        <w:t>(пункт 17.13.2.2) и превыш</w:t>
      </w:r>
      <w:r w:rsidRPr="000039F3">
        <w:t>е</w:t>
      </w:r>
      <w:r w:rsidRPr="000039F3">
        <w:t>ния содержания бензина в СНГ (пункт 17.13.2.3) свыше предела, уст</w:t>
      </w:r>
      <w:r w:rsidRPr="000039F3">
        <w:t>а</w:t>
      </w:r>
      <w:r w:rsidRPr="000039F3">
        <w:t>новленного в правилах № 83 и 115 (20% в энергетическом эквиваленте).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Для реализации этапов переключения на линии потока устанавливается дистанционно регулируемый запорный клапан.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Этот клапан должен соответствовать требованиям об испытании на до</w:t>
      </w:r>
      <w:r w:rsidRPr="000039F3">
        <w:t>л</w:t>
      </w:r>
      <w:r w:rsidRPr="000039F3">
        <w:t>говечность в большей степени, чем другие элементы (см. обоснов</w:t>
      </w:r>
      <w:r w:rsidRPr="000039F3">
        <w:t>а</w:t>
      </w:r>
      <w:r w:rsidRPr="000039F3">
        <w:t>ние B.4.)</w:t>
      </w:r>
    </w:p>
    <w:p w:rsidR="000039F3" w:rsidRPr="000039F3" w:rsidRDefault="000039F3" w:rsidP="00940718">
      <w:pPr>
        <w:pStyle w:val="SingleTxtGR"/>
        <w:ind w:left="1701" w:hanging="567"/>
        <w:rPr>
          <w:bCs/>
        </w:rPr>
      </w:pPr>
      <w:r w:rsidRPr="000039F3">
        <w:t>B.7</w:t>
      </w:r>
      <w:r w:rsidRPr="000039F3">
        <w:tab/>
        <w:t xml:space="preserve">Во избежание </w:t>
      </w:r>
      <w:r w:rsidRPr="000039F3">
        <w:rPr>
          <w:bCs/>
        </w:rPr>
        <w:t xml:space="preserve">переполнения </w:t>
      </w:r>
      <w:r w:rsidRPr="000039F3">
        <w:t>баллона СНГ вследствие возможного п</w:t>
      </w:r>
      <w:r w:rsidRPr="000039F3">
        <w:t>о</w:t>
      </w:r>
      <w:r w:rsidRPr="000039F3">
        <w:t>ступления в него бензинового топлива, что происходит во время опер</w:t>
      </w:r>
      <w:r w:rsidRPr="000039F3">
        <w:t>а</w:t>
      </w:r>
      <w:r w:rsidRPr="000039F3">
        <w:t>ций переключения, ЭУБ сообщающейся системы СНГ должен,</w:t>
      </w:r>
      <w:r w:rsidRPr="000039F3">
        <w:rPr>
          <w:iCs/>
        </w:rPr>
        <w:t xml:space="preserve"> помимо других применимых требований </w:t>
      </w:r>
      <w:r w:rsidRPr="000039F3">
        <w:t xml:space="preserve">(пункт 17.1.2.2), также отвечать </w:t>
      </w:r>
      <w:r w:rsidRPr="000039F3">
        <w:rPr>
          <w:bCs/>
        </w:rPr>
        <w:t>треб</w:t>
      </w:r>
      <w:r w:rsidRPr="000039F3">
        <w:rPr>
          <w:bCs/>
        </w:rPr>
        <w:t>о</w:t>
      </w:r>
      <w:r w:rsidRPr="000039F3">
        <w:rPr>
          <w:bCs/>
        </w:rPr>
        <w:t>ваниям нового пункта 6 приложения 14.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 xml:space="preserve">Согласно пункту </w:t>
      </w:r>
      <w:r w:rsidRPr="000039F3">
        <w:rPr>
          <w:bCs/>
        </w:rPr>
        <w:t xml:space="preserve">6 приложения 14 </w:t>
      </w:r>
      <w:r w:rsidRPr="000039F3">
        <w:t>ЭУБ должен обеспечивать возмо</w:t>
      </w:r>
      <w:r w:rsidRPr="000039F3">
        <w:t>ж</w:t>
      </w:r>
      <w:r w:rsidRPr="000039F3">
        <w:t xml:space="preserve">ность потребления </w:t>
      </w:r>
      <w:r w:rsidRPr="000039F3">
        <w:rPr>
          <w:bCs/>
        </w:rPr>
        <w:t xml:space="preserve">объема </w:t>
      </w:r>
      <w:r w:rsidRPr="000039F3">
        <w:t xml:space="preserve">бензинового топлива, эквивалентного </w:t>
      </w:r>
      <w:r w:rsidRPr="000039F3">
        <w:rPr>
          <w:bCs/>
        </w:rPr>
        <w:t>каждой отдельной порции</w:t>
      </w:r>
      <w:r w:rsidRPr="000039F3">
        <w:t>,</w:t>
      </w:r>
      <w:r w:rsidRPr="000039F3">
        <w:rPr>
          <w:bCs/>
        </w:rPr>
        <w:t xml:space="preserve"> впрыскиваемой при </w:t>
      </w:r>
      <w:r w:rsidRPr="000039F3">
        <w:t>операции переключения.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 xml:space="preserve">Иными словами, ЭУБ должен блокировать </w:t>
      </w:r>
      <w:r w:rsidRPr="000039F3">
        <w:tab/>
        <w:t>переключение обратно</w:t>
      </w:r>
      <w:r w:rsidRPr="000039F3">
        <w:rPr>
          <w:iCs/>
        </w:rPr>
        <w:t xml:space="preserve"> на р</w:t>
      </w:r>
      <w:r w:rsidRPr="000039F3">
        <w:rPr>
          <w:iCs/>
        </w:rPr>
        <w:t>е</w:t>
      </w:r>
      <w:r w:rsidRPr="000039F3">
        <w:rPr>
          <w:iCs/>
        </w:rPr>
        <w:t xml:space="preserve">жим </w:t>
      </w:r>
      <w:r w:rsidRPr="000039F3">
        <w:rPr>
          <w:iCs/>
        </w:rPr>
        <w:tab/>
        <w:t>работы на бензине</w:t>
      </w:r>
      <w:r w:rsidR="006E1C08">
        <w:rPr>
          <w:iCs/>
        </w:rPr>
        <w:t xml:space="preserve"> </w:t>
      </w:r>
      <w:r w:rsidRPr="000039F3">
        <w:rPr>
          <w:iCs/>
        </w:rPr>
        <w:t>до тех пор, пока такой объем не будет израсх</w:t>
      </w:r>
      <w:r w:rsidRPr="000039F3">
        <w:rPr>
          <w:iCs/>
        </w:rPr>
        <w:t>о</w:t>
      </w:r>
      <w:r w:rsidRPr="000039F3">
        <w:rPr>
          <w:iCs/>
        </w:rPr>
        <w:t>дован.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 xml:space="preserve">Применительно к такому временному блокированию </w:t>
      </w:r>
      <w:r w:rsidRPr="000039F3">
        <w:rPr>
          <w:bCs/>
          <w:iCs/>
        </w:rPr>
        <w:t>режима работы на бензине</w:t>
      </w:r>
      <w:r w:rsidRPr="000039F3">
        <w:rPr>
          <w:bCs/>
        </w:rPr>
        <w:t xml:space="preserve"> </w:t>
      </w:r>
      <w:r w:rsidRPr="000039F3">
        <w:t>допускается единственное исключение (во избежание усугубл</w:t>
      </w:r>
      <w:r w:rsidRPr="000039F3">
        <w:t>е</w:t>
      </w:r>
      <w:r w:rsidRPr="000039F3">
        <w:t xml:space="preserve">ния состояния транспортного средства) в том случае, если система СНГ становится </w:t>
      </w:r>
      <w:r w:rsidRPr="000039F3">
        <w:rPr>
          <w:bCs/>
          <w:iCs/>
        </w:rPr>
        <w:t>неработоспособной вследствие внутренней неисправности</w:t>
      </w:r>
      <w:r w:rsidRPr="000039F3">
        <w:t>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Максимальный объем впрыскиваемого топлива установлен на уровне 0,4</w:t>
      </w:r>
      <w:r w:rsidR="000372E2">
        <w:t> </w:t>
      </w:r>
      <w:r w:rsidRPr="000039F3">
        <w:t>литра, и ЭУБ исключает любое переключение на режим работы на бензине до потребления топлива в объеме 0,4 литра из бака СНГ. В соо</w:t>
      </w:r>
      <w:r w:rsidRPr="000039F3">
        <w:t>т</w:t>
      </w:r>
      <w:r w:rsidRPr="000039F3">
        <w:t>ветствии с предписаниями пунктов 6.1 и 6.2</w:t>
      </w:r>
      <w:r>
        <w:t xml:space="preserve"> </w:t>
      </w:r>
      <w:r w:rsidRPr="000039F3">
        <w:t>приложения 14 минимал</w:t>
      </w:r>
      <w:r w:rsidRPr="000039F3">
        <w:t>ь</w:t>
      </w:r>
      <w:r w:rsidRPr="000039F3">
        <w:t>ный объем бака для установки такого типа должен составлять 20 литров. В</w:t>
      </w:r>
      <w:r w:rsidR="006E1C08">
        <w:t> </w:t>
      </w:r>
      <w:r w:rsidRPr="000039F3">
        <w:t>пункте 6.3 определены испытание, нацеленное на выявление реального объема впрыскиваемого топлива в контексте требующейся установки, а также порядок проведения этого испытания.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B.7.1</w:t>
      </w:r>
      <w:r w:rsidRPr="000039F3">
        <w:tab/>
        <w:t>Новым пунктом 9.6 приложения 15 предусмотрены положения об особом испытании запорных клапанов, используемых для целей пун</w:t>
      </w:r>
      <w:r w:rsidRPr="000039F3">
        <w:t>к</w:t>
      </w:r>
      <w:r w:rsidRPr="000039F3">
        <w:t>тов 17.13.1.1, 17.13.1.2 и 17.13.2.1, на износоустойчивость.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Это основано на испытании на «непрерывное функционирование», опр</w:t>
      </w:r>
      <w:r w:rsidRPr="000039F3">
        <w:t>е</w:t>
      </w:r>
      <w:r w:rsidRPr="000039F3">
        <w:t>деленном в пункте 6.4 стандарта ISO15500-3:2012.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Значительное число циклов и продолжительное воздействие вибрации в процессе функционирования обусловливают особую потребность в о</w:t>
      </w:r>
      <w:r w:rsidRPr="000039F3">
        <w:t>б</w:t>
      </w:r>
      <w:r w:rsidRPr="000039F3">
        <w:t>ратных клапанах, используемых в таких сообщающихся СНГ.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>B.8</w:t>
      </w:r>
      <w:r w:rsidRPr="000039F3">
        <w:tab/>
        <w:t xml:space="preserve">Во избежание превышения содержания бензина в СНГ вся </w:t>
      </w:r>
      <w:r w:rsidRPr="000039F3">
        <w:rPr>
          <w:bCs/>
        </w:rPr>
        <w:t xml:space="preserve">сообщающаяся система СНГ должна отвечать предписаниям, изложенным </w:t>
      </w:r>
      <w:r w:rsidRPr="000039F3">
        <w:t>в новом пр</w:t>
      </w:r>
      <w:r w:rsidRPr="000039F3">
        <w:t>и</w:t>
      </w:r>
      <w:r w:rsidRPr="000039F3">
        <w:t>ложении 19 (пункт 17.13.2.3).</w:t>
      </w:r>
    </w:p>
    <w:p w:rsidR="000039F3" w:rsidRPr="000039F3" w:rsidRDefault="000039F3" w:rsidP="00940718">
      <w:pPr>
        <w:pStyle w:val="SingleTxtGR"/>
        <w:ind w:left="1701" w:hanging="567"/>
        <w:rPr>
          <w:bCs/>
        </w:rPr>
      </w:pPr>
      <w:r w:rsidRPr="000039F3">
        <w:tab/>
        <w:t xml:space="preserve">Согласно пункту 1.1 приложения 19 </w:t>
      </w:r>
      <w:r w:rsidRPr="000039F3">
        <w:rPr>
          <w:bCs/>
        </w:rPr>
        <w:t>органу по официальному утвержд</w:t>
      </w:r>
      <w:r w:rsidRPr="000039F3">
        <w:rPr>
          <w:bCs/>
        </w:rPr>
        <w:t>е</w:t>
      </w:r>
      <w:r w:rsidRPr="000039F3">
        <w:rPr>
          <w:bCs/>
        </w:rPr>
        <w:t>нию типа и технической службе требуется представить надлежащую д</w:t>
      </w:r>
      <w:r w:rsidRPr="000039F3">
        <w:rPr>
          <w:bCs/>
        </w:rPr>
        <w:t>о</w:t>
      </w:r>
      <w:r w:rsidRPr="000039F3">
        <w:rPr>
          <w:bCs/>
        </w:rPr>
        <w:t xml:space="preserve">кументацию с описанием оборудования и стратегии, используемых для недопущения </w:t>
      </w:r>
      <w:r w:rsidRPr="000039F3">
        <w:t>превышения содержания бензина в СНГ.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Система СНГ должна обеспечивать возможность постоянного отключ</w:t>
      </w:r>
      <w:r w:rsidRPr="000039F3">
        <w:t>е</w:t>
      </w:r>
      <w:r w:rsidRPr="000039F3">
        <w:t>ния режима работы на бензине (а именно, до опорожнения баллона СНГ), когда концентрация бензина превышает максимальный предел в 16% фактического объема жидкого топлива, находящегося в баке СНГ (что с</w:t>
      </w:r>
      <w:r w:rsidRPr="000039F3">
        <w:t>о</w:t>
      </w:r>
      <w:r w:rsidRPr="000039F3">
        <w:t>ответствует 20% в энергетическом эквиваленте, согласно требованиям правил № 83 и 115).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 xml:space="preserve">Для подтверждения соответствия условию </w:t>
      </w:r>
      <w:proofErr w:type="spellStart"/>
      <w:r w:rsidRPr="000039F3">
        <w:t>непревышения</w:t>
      </w:r>
      <w:proofErr w:type="spellEnd"/>
      <w:r w:rsidRPr="000039F3">
        <w:t xml:space="preserve"> такого макс</w:t>
      </w:r>
      <w:r w:rsidRPr="000039F3">
        <w:t>и</w:t>
      </w:r>
      <w:r w:rsidRPr="000039F3">
        <w:t>мального предела в 16% (по объему) требуется проведение эксплуатац</w:t>
      </w:r>
      <w:r w:rsidRPr="000039F3">
        <w:t>и</w:t>
      </w:r>
      <w:r w:rsidRPr="000039F3">
        <w:t>онного испытания путем сопоставления числа операций переключения, пока отключение режима работы на бензине не станет постоянным, и числа операций (расчет консервативным методом), вызывающих прев</w:t>
      </w:r>
      <w:r w:rsidRPr="000039F3">
        <w:t>ы</w:t>
      </w:r>
      <w:r w:rsidRPr="000039F3">
        <w:t>шение содержания бензина в СНГ.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Соображения в обоснование предлагаемой формулы: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a)</w:t>
      </w:r>
      <w:r w:rsidRPr="000039F3">
        <w:tab/>
        <w:t>концентрация бензина в СНГ сразу же после первой операции п</w:t>
      </w:r>
      <w:r w:rsidRPr="000039F3">
        <w:t>е</w:t>
      </w:r>
      <w:r w:rsidRPr="000039F3">
        <w:t xml:space="preserve">реключения будет составлять 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>/(</w:t>
      </w:r>
      <w:proofErr w:type="spellStart"/>
      <w:r w:rsidRPr="000039F3">
        <w:t>V</w:t>
      </w:r>
      <w:r w:rsidRPr="000039F3">
        <w:rPr>
          <w:vertAlign w:val="subscript"/>
        </w:rPr>
        <w:t>in</w:t>
      </w:r>
      <w:proofErr w:type="spellEnd"/>
      <w:r w:rsidRPr="000039F3">
        <w:rPr>
          <w:vertAlign w:val="subscript"/>
        </w:rPr>
        <w:t xml:space="preserve"> </w:t>
      </w:r>
      <w:r w:rsidRPr="000039F3">
        <w:t>+</w:t>
      </w:r>
      <w:r w:rsidRPr="000039F3">
        <w:rPr>
          <w:vertAlign w:val="subscript"/>
        </w:rPr>
        <w:t xml:space="preserve"> 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 xml:space="preserve">), где 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 xml:space="preserve"> </w:t>
      </w:r>
      <w:r w:rsidRPr="000039F3">
        <w:rPr>
          <w:iCs/>
        </w:rPr>
        <w:t xml:space="preserve">− </w:t>
      </w:r>
      <w:r w:rsidRPr="000039F3">
        <w:t>объем бензина, п</w:t>
      </w:r>
      <w:r w:rsidRPr="000039F3">
        <w:t>о</w:t>
      </w:r>
      <w:r w:rsidRPr="000039F3">
        <w:t xml:space="preserve">ступающего в бак СНГ при операции переключения, а </w:t>
      </w:r>
      <w:proofErr w:type="spellStart"/>
      <w:r w:rsidRPr="000039F3">
        <w:t>V</w:t>
      </w:r>
      <w:r w:rsidRPr="000039F3">
        <w:rPr>
          <w:vertAlign w:val="subscript"/>
        </w:rPr>
        <w:t>in</w:t>
      </w:r>
      <w:proofErr w:type="spellEnd"/>
      <w:r w:rsidRPr="000039F3">
        <w:t xml:space="preserve"> </w:t>
      </w:r>
      <w:r w:rsidRPr="000039F3">
        <w:rPr>
          <w:iCs/>
        </w:rPr>
        <w:t>− первоначал</w:t>
      </w:r>
      <w:r w:rsidRPr="000039F3">
        <w:rPr>
          <w:iCs/>
        </w:rPr>
        <w:t>ь</w:t>
      </w:r>
      <w:r w:rsidRPr="000039F3">
        <w:rPr>
          <w:iCs/>
        </w:rPr>
        <w:t>ный объем СНГ;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b)</w:t>
      </w:r>
      <w:r w:rsidRPr="000039F3">
        <w:tab/>
        <w:t xml:space="preserve">при каждой последующей операции переключения концентрация будет увеличиваться на величину, равную 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>/</w:t>
      </w:r>
      <w:proofErr w:type="spellStart"/>
      <w:r w:rsidRPr="000039F3">
        <w:t>V</w:t>
      </w:r>
      <w:r w:rsidRPr="000039F3">
        <w:rPr>
          <w:vertAlign w:val="subscript"/>
        </w:rPr>
        <w:t>in</w:t>
      </w:r>
      <w:proofErr w:type="spellEnd"/>
      <w:r w:rsidRPr="000039F3">
        <w:t>, причем тот же объем (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>) жидкого топлива будет (вначале) потребляться, а (потом) впрыск</w:t>
      </w:r>
      <w:r w:rsidRPr="000039F3">
        <w:t>и</w:t>
      </w:r>
      <w:r w:rsidRPr="000039F3">
        <w:t>ваться;</w:t>
      </w:r>
    </w:p>
    <w:p w:rsidR="000039F3" w:rsidRPr="000039F3" w:rsidRDefault="000039F3" w:rsidP="00940718">
      <w:pPr>
        <w:pStyle w:val="SingleTxtGR"/>
        <w:ind w:left="1701" w:hanging="567"/>
      </w:pPr>
      <w:r w:rsidRPr="000039F3">
        <w:tab/>
        <w:t>c)</w:t>
      </w:r>
      <w:r w:rsidRPr="000039F3">
        <w:tab/>
        <w:t xml:space="preserve">поскольку 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 xml:space="preserve"> по сравнению с </w:t>
      </w:r>
      <w:proofErr w:type="spellStart"/>
      <w:r w:rsidRPr="000039F3">
        <w:t>V</w:t>
      </w:r>
      <w:r w:rsidRPr="000039F3">
        <w:rPr>
          <w:vertAlign w:val="subscript"/>
        </w:rPr>
        <w:t>in</w:t>
      </w:r>
      <w:proofErr w:type="spellEnd"/>
      <w:r w:rsidRPr="000039F3">
        <w:t xml:space="preserve"> имеет значение, которое можно не принимать в расчет, концентрация при операции переключения i будет составлять </w:t>
      </w:r>
      <w:proofErr w:type="spellStart"/>
      <w:r w:rsidRPr="000039F3">
        <w:t>Ci</w:t>
      </w:r>
      <w:proofErr w:type="spellEnd"/>
      <w:r w:rsidRPr="000039F3">
        <w:t xml:space="preserve"> = i*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>/</w:t>
      </w:r>
      <w:proofErr w:type="spellStart"/>
      <w:r w:rsidRPr="000039F3">
        <w:t>V</w:t>
      </w:r>
      <w:r w:rsidRPr="000039F3">
        <w:rPr>
          <w:vertAlign w:val="subscript"/>
        </w:rPr>
        <w:t>in</w:t>
      </w:r>
      <w:proofErr w:type="spellEnd"/>
      <w:r w:rsidRPr="000039F3">
        <w:t>. Поэтому i-максимум не должен превышать 0,16*</w:t>
      </w:r>
      <w:proofErr w:type="spellStart"/>
      <w:r w:rsidRPr="000039F3">
        <w:t>V</w:t>
      </w:r>
      <w:r w:rsidRPr="000039F3">
        <w:rPr>
          <w:vertAlign w:val="subscript"/>
        </w:rPr>
        <w:t>in</w:t>
      </w:r>
      <w:proofErr w:type="spellEnd"/>
      <w:r w:rsidRPr="000039F3">
        <w:t>/</w:t>
      </w:r>
      <w:proofErr w:type="spellStart"/>
      <w:r w:rsidRPr="000039F3">
        <w:t>V</w:t>
      </w:r>
      <w:r w:rsidRPr="000039F3">
        <w:rPr>
          <w:vertAlign w:val="subscript"/>
        </w:rPr>
        <w:t>sw</w:t>
      </w:r>
      <w:proofErr w:type="spellEnd"/>
      <w:r w:rsidRPr="000039F3">
        <w:t>.</w:t>
      </w:r>
    </w:p>
    <w:p w:rsidR="000039F3" w:rsidRPr="000039F3" w:rsidRDefault="000039F3" w:rsidP="000039F3">
      <w:pPr>
        <w:pStyle w:val="SingleTxtGR"/>
        <w:spacing w:before="240" w:after="0"/>
        <w:jc w:val="center"/>
        <w:rPr>
          <w:u w:val="single"/>
        </w:rPr>
      </w:pPr>
      <w:r w:rsidRPr="000039F3">
        <w:rPr>
          <w:u w:val="single"/>
        </w:rPr>
        <w:tab/>
      </w:r>
      <w:r w:rsidRPr="000039F3">
        <w:rPr>
          <w:u w:val="single"/>
        </w:rPr>
        <w:tab/>
      </w:r>
      <w:r w:rsidRPr="000039F3">
        <w:rPr>
          <w:u w:val="single"/>
        </w:rPr>
        <w:tab/>
      </w:r>
    </w:p>
    <w:sectPr w:rsidR="000039F3" w:rsidRPr="000039F3" w:rsidSect="00004DA7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47" w:rsidRPr="00A312BC" w:rsidRDefault="00DD0A47" w:rsidP="00A312BC"/>
  </w:endnote>
  <w:endnote w:type="continuationSeparator" w:id="0">
    <w:p w:rsidR="00DD0A47" w:rsidRPr="00A312BC" w:rsidRDefault="00DD0A4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7" w:rsidRPr="00004DA7" w:rsidRDefault="00DD0A47">
    <w:pPr>
      <w:pStyle w:val="Footer"/>
    </w:pPr>
    <w:r w:rsidRPr="00004DA7">
      <w:rPr>
        <w:b/>
        <w:sz w:val="18"/>
      </w:rPr>
      <w:fldChar w:fldCharType="begin"/>
    </w:r>
    <w:r w:rsidRPr="00004DA7">
      <w:rPr>
        <w:b/>
        <w:sz w:val="18"/>
      </w:rPr>
      <w:instrText xml:space="preserve"> PAGE  \* MERGEFORMAT </w:instrText>
    </w:r>
    <w:r w:rsidRPr="00004DA7">
      <w:rPr>
        <w:b/>
        <w:sz w:val="18"/>
      </w:rPr>
      <w:fldChar w:fldCharType="separate"/>
    </w:r>
    <w:r w:rsidR="009958DF">
      <w:rPr>
        <w:b/>
        <w:noProof/>
        <w:sz w:val="18"/>
      </w:rPr>
      <w:t>14</w:t>
    </w:r>
    <w:r w:rsidRPr="00004DA7">
      <w:rPr>
        <w:b/>
        <w:sz w:val="18"/>
      </w:rPr>
      <w:fldChar w:fldCharType="end"/>
    </w:r>
    <w:r>
      <w:rPr>
        <w:b/>
        <w:sz w:val="18"/>
      </w:rPr>
      <w:tab/>
    </w:r>
    <w:r>
      <w:t>GE.17-12919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7" w:rsidRPr="00004DA7" w:rsidRDefault="00DD0A47" w:rsidP="00004DA7">
    <w:pPr>
      <w:pStyle w:val="Footer"/>
      <w:tabs>
        <w:tab w:val="clear" w:pos="9639"/>
        <w:tab w:val="right" w:pos="9638"/>
      </w:tabs>
      <w:rPr>
        <w:b/>
        <w:sz w:val="18"/>
      </w:rPr>
    </w:pPr>
    <w:r>
      <w:t>GE.17-12919</w:t>
    </w:r>
    <w:r>
      <w:tab/>
    </w:r>
    <w:r w:rsidRPr="00004DA7">
      <w:rPr>
        <w:b/>
        <w:sz w:val="18"/>
      </w:rPr>
      <w:fldChar w:fldCharType="begin"/>
    </w:r>
    <w:r w:rsidRPr="00004DA7">
      <w:rPr>
        <w:b/>
        <w:sz w:val="18"/>
      </w:rPr>
      <w:instrText xml:space="preserve"> PAGE  \* MERGEFORMAT </w:instrText>
    </w:r>
    <w:r w:rsidRPr="00004DA7">
      <w:rPr>
        <w:b/>
        <w:sz w:val="18"/>
      </w:rPr>
      <w:fldChar w:fldCharType="separate"/>
    </w:r>
    <w:r w:rsidR="009958DF">
      <w:rPr>
        <w:b/>
        <w:noProof/>
        <w:sz w:val="18"/>
      </w:rPr>
      <w:t>13</w:t>
    </w:r>
    <w:r w:rsidRPr="00004DA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7" w:rsidRPr="00004DA7" w:rsidRDefault="00DD0A47" w:rsidP="00004DA7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17-12919 (R)</w:t>
    </w:r>
    <w:r>
      <w:rPr>
        <w:lang w:val="en-US"/>
      </w:rPr>
      <w:t xml:space="preserve"> 100817 160817</w:t>
    </w:r>
    <w:r>
      <w:br/>
    </w:r>
    <w:r w:rsidRPr="00004DA7">
      <w:rPr>
        <w:rFonts w:ascii="C39T30Lfz" w:hAnsi="C39T30Lfz"/>
        <w:spacing w:val="0"/>
        <w:w w:val="100"/>
        <w:sz w:val="56"/>
      </w:rPr>
      <w:t></w:t>
    </w:r>
    <w:r w:rsidRPr="00004DA7">
      <w:rPr>
        <w:rFonts w:ascii="C39T30Lfz" w:hAnsi="C39T30Lfz"/>
        <w:spacing w:val="0"/>
        <w:w w:val="100"/>
        <w:sz w:val="56"/>
      </w:rPr>
      <w:t></w:t>
    </w:r>
    <w:r w:rsidRPr="00004DA7">
      <w:rPr>
        <w:rFonts w:ascii="C39T30Lfz" w:hAnsi="C39T30Lfz"/>
        <w:spacing w:val="0"/>
        <w:w w:val="100"/>
        <w:sz w:val="56"/>
      </w:rPr>
      <w:t></w:t>
    </w:r>
    <w:r w:rsidRPr="00004DA7">
      <w:rPr>
        <w:rFonts w:ascii="C39T30Lfz" w:hAnsi="C39T30Lfz"/>
        <w:spacing w:val="0"/>
        <w:w w:val="100"/>
        <w:sz w:val="56"/>
      </w:rPr>
      <w:t></w:t>
    </w:r>
    <w:r w:rsidRPr="00004DA7">
      <w:rPr>
        <w:rFonts w:ascii="C39T30Lfz" w:hAnsi="C39T30Lfz"/>
        <w:spacing w:val="0"/>
        <w:w w:val="100"/>
        <w:sz w:val="56"/>
      </w:rPr>
      <w:t></w:t>
    </w:r>
    <w:r w:rsidRPr="00004DA7">
      <w:rPr>
        <w:rFonts w:ascii="C39T30Lfz" w:hAnsi="C39T30Lfz"/>
        <w:spacing w:val="0"/>
        <w:w w:val="100"/>
        <w:sz w:val="56"/>
      </w:rPr>
      <w:t></w:t>
    </w:r>
    <w:r w:rsidRPr="00004DA7">
      <w:rPr>
        <w:rFonts w:ascii="C39T30Lfz" w:hAnsi="C39T30Lfz"/>
        <w:spacing w:val="0"/>
        <w:w w:val="100"/>
        <w:sz w:val="56"/>
      </w:rPr>
      <w:t></w:t>
    </w:r>
    <w:r w:rsidRPr="00004DA7">
      <w:rPr>
        <w:rFonts w:ascii="C39T30Lfz" w:hAnsi="C39T30Lfz"/>
        <w:spacing w:val="0"/>
        <w:w w:val="100"/>
        <w:sz w:val="56"/>
      </w:rPr>
      <w:t></w:t>
    </w:r>
    <w:r w:rsidRPr="00004DA7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GRSG/2017/26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G/2017/26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47" w:rsidRPr="001075E9" w:rsidRDefault="00DD0A4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D0A47" w:rsidRDefault="00DD0A4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DD0A47" w:rsidRPr="007427CD" w:rsidRDefault="00DD0A47" w:rsidP="00004DA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ru-RU"/>
        </w:rPr>
      </w:pPr>
      <w:r>
        <w:rPr>
          <w:lang w:val="en-US"/>
        </w:rPr>
        <w:tab/>
      </w:r>
      <w:r>
        <w:rPr>
          <w:lang w:val="ru-RU"/>
        </w:rPr>
        <w:tab/>
      </w:r>
      <w:r w:rsidRPr="00EA7967">
        <w:rPr>
          <w:rStyle w:val="FootnoteReference"/>
          <w:lang w:val="ru-RU"/>
        </w:rPr>
        <w:t>*</w:t>
      </w:r>
      <w:r w:rsidRPr="00EA7967">
        <w:rPr>
          <w:lang w:val="ru-RU"/>
        </w:rPr>
        <w:tab/>
        <w:t xml:space="preserve">В соответствии с программой работы Комитета по внутреннему транспорту </w:t>
      </w:r>
      <w:r w:rsidRPr="00EA7967">
        <w:rPr>
          <w:lang w:val="ru-RU"/>
        </w:rPr>
        <w:br/>
        <w:t>на 201</w:t>
      </w:r>
      <w:r>
        <w:rPr>
          <w:lang w:val="ru-RU"/>
        </w:rPr>
        <w:t>6</w:t>
      </w:r>
      <w:r w:rsidRPr="00EA7967">
        <w:rPr>
          <w:lang w:val="ru-RU"/>
        </w:rPr>
        <w:t>−201</w:t>
      </w:r>
      <w:r>
        <w:rPr>
          <w:lang w:val="ru-RU"/>
        </w:rPr>
        <w:t>7</w:t>
      </w:r>
      <w:r w:rsidRPr="00EA7967">
        <w:rPr>
          <w:lang w:val="ru-RU"/>
        </w:rPr>
        <w:t xml:space="preserve"> годы (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 w:rsidRPr="00EA7967">
        <w:rPr>
          <w:lang w:val="ru-RU"/>
        </w:rPr>
        <w:t>/2</w:t>
      </w:r>
      <w:r>
        <w:rPr>
          <w:lang w:val="ru-RU"/>
        </w:rPr>
        <w:t>5</w:t>
      </w:r>
      <w:r w:rsidRPr="00EA7967">
        <w:rPr>
          <w:lang w:val="ru-RU"/>
        </w:rPr>
        <w:t>4, пункт</w:t>
      </w:r>
      <w:r>
        <w:rPr>
          <w:lang w:val="ru-RU"/>
        </w:rPr>
        <w:t>159,</w:t>
      </w:r>
      <w:r w:rsidRPr="00EA7967">
        <w:rPr>
          <w:lang w:val="ru-RU"/>
        </w:rPr>
        <w:t xml:space="preserve"> и </w:t>
      </w:r>
      <w:r w:rsidRPr="006A09CF">
        <w:t>ECE</w:t>
      </w:r>
      <w:r w:rsidRPr="00EA7967">
        <w:rPr>
          <w:lang w:val="ru-RU"/>
        </w:rPr>
        <w:t>/</w:t>
      </w:r>
      <w:r w:rsidRPr="006A09CF">
        <w:t>TRANS</w:t>
      </w:r>
      <w:r>
        <w:rPr>
          <w:lang w:val="ru-RU"/>
        </w:rPr>
        <w:t>/2016</w:t>
      </w:r>
      <w:r w:rsidRPr="00EA7967">
        <w:rPr>
          <w:lang w:val="ru-RU"/>
        </w:rPr>
        <w:t>/</w:t>
      </w:r>
      <w:r>
        <w:rPr>
          <w:lang w:val="ru-RU"/>
        </w:rPr>
        <w:t>28/</w:t>
      </w:r>
      <w:r>
        <w:rPr>
          <w:lang w:val="en-US"/>
        </w:rPr>
        <w:t>Add</w:t>
      </w:r>
      <w:r>
        <w:rPr>
          <w:lang w:val="ru-RU"/>
        </w:rPr>
        <w:t>.1</w:t>
      </w:r>
      <w:r w:rsidRPr="00EA7967">
        <w:rPr>
          <w:lang w:val="ru-RU"/>
        </w:rPr>
        <w:t xml:space="preserve">, </w:t>
      </w:r>
      <w:r>
        <w:rPr>
          <w:lang w:val="ru-RU"/>
        </w:rPr>
        <w:t>направление деятельности 3.1</w:t>
      </w:r>
      <w:r w:rsidRPr="00EA7967">
        <w:rPr>
          <w:lang w:val="ru-RU"/>
        </w:rPr>
        <w:t>) Всемирный форум будет разрабатывать, 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7" w:rsidRPr="00004DA7" w:rsidRDefault="008F24DE">
    <w:pPr>
      <w:pStyle w:val="Header"/>
    </w:pPr>
    <w:fldSimple w:instr=" TITLE  \* MERGEFORMAT ">
      <w:r>
        <w:t>ECE/TRANS/WP.29/GRSG/2017/26</w:t>
      </w:r>
    </w:fldSimple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47" w:rsidRPr="00004DA7" w:rsidRDefault="008F24DE" w:rsidP="00004DA7">
    <w:pPr>
      <w:pStyle w:val="Header"/>
      <w:jc w:val="right"/>
    </w:pPr>
    <w:fldSimple w:instr=" TITLE  \* MERGEFORMAT ">
      <w:r>
        <w:t>ECE/TRANS/WP.29/GRSG/2017/26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2F"/>
    <w:rsid w:val="000039F3"/>
    <w:rsid w:val="00004DA7"/>
    <w:rsid w:val="00033EE1"/>
    <w:rsid w:val="00034C9D"/>
    <w:rsid w:val="000372E2"/>
    <w:rsid w:val="00042B72"/>
    <w:rsid w:val="000558BD"/>
    <w:rsid w:val="000B57E7"/>
    <w:rsid w:val="000B6373"/>
    <w:rsid w:val="000E4E5B"/>
    <w:rsid w:val="000F09DF"/>
    <w:rsid w:val="000F0CF6"/>
    <w:rsid w:val="000F61B2"/>
    <w:rsid w:val="001075E9"/>
    <w:rsid w:val="0014152F"/>
    <w:rsid w:val="00161743"/>
    <w:rsid w:val="001749DB"/>
    <w:rsid w:val="00180183"/>
    <w:rsid w:val="0018024D"/>
    <w:rsid w:val="0018649F"/>
    <w:rsid w:val="00196389"/>
    <w:rsid w:val="001B3EF6"/>
    <w:rsid w:val="001C7A89"/>
    <w:rsid w:val="001E475C"/>
    <w:rsid w:val="001F3951"/>
    <w:rsid w:val="00253BFF"/>
    <w:rsid w:val="00255343"/>
    <w:rsid w:val="0027151D"/>
    <w:rsid w:val="002A2EFC"/>
    <w:rsid w:val="002B0106"/>
    <w:rsid w:val="002B74B1"/>
    <w:rsid w:val="002C0E18"/>
    <w:rsid w:val="002D5AAC"/>
    <w:rsid w:val="002E5067"/>
    <w:rsid w:val="002F098B"/>
    <w:rsid w:val="002F405F"/>
    <w:rsid w:val="002F7EEC"/>
    <w:rsid w:val="00301299"/>
    <w:rsid w:val="00305C08"/>
    <w:rsid w:val="00307FB6"/>
    <w:rsid w:val="00317339"/>
    <w:rsid w:val="00322004"/>
    <w:rsid w:val="003402C2"/>
    <w:rsid w:val="003549C3"/>
    <w:rsid w:val="00381C24"/>
    <w:rsid w:val="00387CD4"/>
    <w:rsid w:val="003958D0"/>
    <w:rsid w:val="003A0D43"/>
    <w:rsid w:val="003A48CE"/>
    <w:rsid w:val="003B00E5"/>
    <w:rsid w:val="003B118A"/>
    <w:rsid w:val="00407B78"/>
    <w:rsid w:val="004124B6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4392A"/>
    <w:rsid w:val="005639C1"/>
    <w:rsid w:val="005709E0"/>
    <w:rsid w:val="00572E19"/>
    <w:rsid w:val="005961C8"/>
    <w:rsid w:val="005966F1"/>
    <w:rsid w:val="005D3A6D"/>
    <w:rsid w:val="005D7914"/>
    <w:rsid w:val="005E2B41"/>
    <w:rsid w:val="005F0B42"/>
    <w:rsid w:val="006345DB"/>
    <w:rsid w:val="00640F49"/>
    <w:rsid w:val="00680D03"/>
    <w:rsid w:val="00681A10"/>
    <w:rsid w:val="00683D9E"/>
    <w:rsid w:val="006959DE"/>
    <w:rsid w:val="00695C43"/>
    <w:rsid w:val="006A1ED8"/>
    <w:rsid w:val="006C2031"/>
    <w:rsid w:val="006D461A"/>
    <w:rsid w:val="006E1C08"/>
    <w:rsid w:val="006F35EE"/>
    <w:rsid w:val="007021FF"/>
    <w:rsid w:val="00712895"/>
    <w:rsid w:val="007330C4"/>
    <w:rsid w:val="00734ACB"/>
    <w:rsid w:val="00757357"/>
    <w:rsid w:val="00792497"/>
    <w:rsid w:val="007C282F"/>
    <w:rsid w:val="00806737"/>
    <w:rsid w:val="00825F8D"/>
    <w:rsid w:val="00834B71"/>
    <w:rsid w:val="0086445C"/>
    <w:rsid w:val="00894693"/>
    <w:rsid w:val="008A08D7"/>
    <w:rsid w:val="008A37C8"/>
    <w:rsid w:val="008A5000"/>
    <w:rsid w:val="008B6909"/>
    <w:rsid w:val="008D53B6"/>
    <w:rsid w:val="008F24DE"/>
    <w:rsid w:val="008F7609"/>
    <w:rsid w:val="00906890"/>
    <w:rsid w:val="00911BE4"/>
    <w:rsid w:val="00940718"/>
    <w:rsid w:val="00951972"/>
    <w:rsid w:val="009608F3"/>
    <w:rsid w:val="00974C9F"/>
    <w:rsid w:val="009958DF"/>
    <w:rsid w:val="009A24AC"/>
    <w:rsid w:val="009A4388"/>
    <w:rsid w:val="009C6FE6"/>
    <w:rsid w:val="009D7E7D"/>
    <w:rsid w:val="00A14DA8"/>
    <w:rsid w:val="00A312BC"/>
    <w:rsid w:val="00A84021"/>
    <w:rsid w:val="00A84D35"/>
    <w:rsid w:val="00A917B3"/>
    <w:rsid w:val="00A96C98"/>
    <w:rsid w:val="00AB4B51"/>
    <w:rsid w:val="00B06626"/>
    <w:rsid w:val="00B10CC7"/>
    <w:rsid w:val="00B36DF7"/>
    <w:rsid w:val="00B539E7"/>
    <w:rsid w:val="00B62458"/>
    <w:rsid w:val="00B91532"/>
    <w:rsid w:val="00BA626B"/>
    <w:rsid w:val="00BC18B2"/>
    <w:rsid w:val="00BD33EE"/>
    <w:rsid w:val="00BE1CC7"/>
    <w:rsid w:val="00BE4F25"/>
    <w:rsid w:val="00C106D6"/>
    <w:rsid w:val="00C119AE"/>
    <w:rsid w:val="00C60F0C"/>
    <w:rsid w:val="00C805C9"/>
    <w:rsid w:val="00C9273D"/>
    <w:rsid w:val="00C92939"/>
    <w:rsid w:val="00CA1679"/>
    <w:rsid w:val="00CB151C"/>
    <w:rsid w:val="00CE5A1A"/>
    <w:rsid w:val="00CF55F6"/>
    <w:rsid w:val="00D33D63"/>
    <w:rsid w:val="00D42883"/>
    <w:rsid w:val="00D5253A"/>
    <w:rsid w:val="00D70267"/>
    <w:rsid w:val="00D90028"/>
    <w:rsid w:val="00D90138"/>
    <w:rsid w:val="00DD0A47"/>
    <w:rsid w:val="00DD78D1"/>
    <w:rsid w:val="00DE32CD"/>
    <w:rsid w:val="00DF2D4B"/>
    <w:rsid w:val="00DF5767"/>
    <w:rsid w:val="00DF71B9"/>
    <w:rsid w:val="00E12C5F"/>
    <w:rsid w:val="00E73F76"/>
    <w:rsid w:val="00E87F03"/>
    <w:rsid w:val="00EA2C9F"/>
    <w:rsid w:val="00EA420E"/>
    <w:rsid w:val="00ED0BDA"/>
    <w:rsid w:val="00EE142A"/>
    <w:rsid w:val="00EF1360"/>
    <w:rsid w:val="00EF3220"/>
    <w:rsid w:val="00F07A2F"/>
    <w:rsid w:val="00F2523A"/>
    <w:rsid w:val="00F43903"/>
    <w:rsid w:val="00F517F0"/>
    <w:rsid w:val="00F94155"/>
    <w:rsid w:val="00F9783F"/>
    <w:rsid w:val="00FB2F77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04D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styleId="BlockText">
    <w:name w:val="Block Text"/>
    <w:basedOn w:val="Normal"/>
    <w:semiHidden/>
    <w:unhideWhenUsed/>
    <w:rsid w:val="00004DA7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hAnsiTheme="minorHAns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4659</Words>
  <Characters>26559</Characters>
  <Application>Microsoft Office Word</Application>
  <DocSecurity>4</DocSecurity>
  <Lines>221</Lines>
  <Paragraphs>62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ECE/TRANS/WP.29/GRSG/2017/26</vt:lpstr>
      <vt:lpstr>ECE/TRANS/WP.29/GRSG/2017/26</vt:lpstr>
      <vt:lpstr>A/</vt:lpstr>
    </vt:vector>
  </TitlesOfParts>
  <Company>DCM</Company>
  <LinksUpToDate>false</LinksUpToDate>
  <CharactersWithSpaces>31156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ECE/TRANS/WP.29/GRSG/2017/26</dc:title>
  <dc:creator>Larisa MAYKOVSKAYA</dc:creator>
  <cp:lastModifiedBy>Benedicte Boudol</cp:lastModifiedBy>
  <cp:revision>2</cp:revision>
  <cp:lastPrinted>2017-08-16T13:34:00Z</cp:lastPrinted>
  <dcterms:created xsi:type="dcterms:W3CDTF">2017-08-23T15:10:00Z</dcterms:created>
  <dcterms:modified xsi:type="dcterms:W3CDTF">2017-08-23T15:10:00Z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