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917E83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917E83" w:rsidP="00917E83">
            <w:pPr>
              <w:jc w:val="right"/>
            </w:pPr>
            <w:r w:rsidRPr="00917E83">
              <w:rPr>
                <w:sz w:val="40"/>
              </w:rPr>
              <w:t>ECE</w:t>
            </w:r>
            <w:r>
              <w:t>/TRANS/WP.29/GRSG/2017/17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917E83" w:rsidP="00C97039">
            <w:pPr>
              <w:spacing w:before="240"/>
            </w:pPr>
            <w:r>
              <w:t>Distr. générale</w:t>
            </w:r>
          </w:p>
          <w:p w:rsidR="00917E83" w:rsidRDefault="00917E83" w:rsidP="00917E83">
            <w:pPr>
              <w:spacing w:line="240" w:lineRule="exact"/>
            </w:pPr>
            <w:r>
              <w:t>14 juillet 2017</w:t>
            </w:r>
          </w:p>
          <w:p w:rsidR="00917E83" w:rsidRDefault="00917E83" w:rsidP="00917E83">
            <w:pPr>
              <w:spacing w:line="240" w:lineRule="exact"/>
            </w:pPr>
            <w:r>
              <w:t>Français</w:t>
            </w:r>
          </w:p>
          <w:p w:rsidR="00917E83" w:rsidRPr="00DB58B5" w:rsidRDefault="00917E83" w:rsidP="00917E83">
            <w:pPr>
              <w:spacing w:line="240" w:lineRule="exact"/>
            </w:pPr>
            <w:r>
              <w:t>Original 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492F25" w:rsidRDefault="00492F25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492F25" w:rsidRDefault="00492F25" w:rsidP="00257168">
      <w:pPr>
        <w:spacing w:before="120" w:after="120" w:line="240" w:lineRule="exact"/>
        <w:rPr>
          <w:b/>
        </w:rPr>
      </w:pPr>
      <w:r>
        <w:rPr>
          <w:b/>
        </w:rPr>
        <w:t>Groupe de travail des dispositions générales de sécurité</w:t>
      </w:r>
    </w:p>
    <w:p w:rsidR="00492F25" w:rsidRDefault="00492F25" w:rsidP="00257168">
      <w:pPr>
        <w:spacing w:before="120" w:line="240" w:lineRule="exact"/>
        <w:rPr>
          <w:b/>
        </w:rPr>
      </w:pPr>
      <w:r>
        <w:rPr>
          <w:b/>
        </w:rPr>
        <w:t>113</w:t>
      </w:r>
      <w:r w:rsidRPr="00492F25">
        <w:rPr>
          <w:b/>
          <w:vertAlign w:val="superscript"/>
        </w:rPr>
        <w:t>e</w:t>
      </w:r>
      <w:r>
        <w:rPr>
          <w:b/>
        </w:rPr>
        <w:t> session</w:t>
      </w:r>
    </w:p>
    <w:p w:rsidR="00492F25" w:rsidRDefault="00492F25" w:rsidP="00257168">
      <w:pPr>
        <w:spacing w:line="240" w:lineRule="exact"/>
      </w:pPr>
      <w:r>
        <w:t>Genève, 10-13 octobre 2017</w:t>
      </w:r>
    </w:p>
    <w:p w:rsidR="00492F25" w:rsidRDefault="00492F25" w:rsidP="00257168">
      <w:pPr>
        <w:spacing w:line="240" w:lineRule="exact"/>
      </w:pPr>
      <w:r>
        <w:t>Point 6 b) de l’ordre du jour provisoire</w:t>
      </w:r>
    </w:p>
    <w:p w:rsidR="00492F25" w:rsidRPr="00F25553" w:rsidRDefault="00492F25" w:rsidP="00492F25">
      <w:pPr>
        <w:rPr>
          <w:b/>
        </w:rPr>
      </w:pPr>
      <w:r w:rsidRPr="00F25553">
        <w:rPr>
          <w:b/>
        </w:rPr>
        <w:t xml:space="preserve">Amendements aux </w:t>
      </w:r>
      <w:r>
        <w:rPr>
          <w:b/>
        </w:rPr>
        <w:t>r</w:t>
      </w:r>
      <w:r w:rsidRPr="00F25553">
        <w:rPr>
          <w:b/>
        </w:rPr>
        <w:t xml:space="preserve">èglements concernant les véhicules </w:t>
      </w:r>
      <w:r>
        <w:rPr>
          <w:b/>
        </w:rPr>
        <w:t xml:space="preserve">fonctionnant </w:t>
      </w:r>
      <w:r>
        <w:rPr>
          <w:b/>
        </w:rPr>
        <w:br/>
        <w:t xml:space="preserve">au gaz : </w:t>
      </w:r>
      <w:r w:rsidRPr="00F25553">
        <w:rPr>
          <w:b/>
        </w:rPr>
        <w:t xml:space="preserve">Règlement </w:t>
      </w:r>
      <w:r w:rsidRPr="00492F25">
        <w:rPr>
          <w:rFonts w:eastAsia="MS Mincho"/>
          <w:b/>
          <w:szCs w:val="22"/>
        </w:rPr>
        <w:t>n</w:t>
      </w:r>
      <w:r w:rsidRPr="00492F25">
        <w:rPr>
          <w:rFonts w:eastAsia="MS Mincho"/>
          <w:b/>
          <w:szCs w:val="22"/>
          <w:vertAlign w:val="superscript"/>
        </w:rPr>
        <w:t>o</w:t>
      </w:r>
      <w:r>
        <w:rPr>
          <w:b/>
        </w:rPr>
        <w:t> </w:t>
      </w:r>
      <w:r w:rsidRPr="00F25553">
        <w:rPr>
          <w:b/>
        </w:rPr>
        <w:t xml:space="preserve">110 (Véhicules alimentés au GNC </w:t>
      </w:r>
      <w:r>
        <w:rPr>
          <w:b/>
        </w:rPr>
        <w:t>ou</w:t>
      </w:r>
      <w:r w:rsidRPr="00F25553">
        <w:rPr>
          <w:b/>
        </w:rPr>
        <w:t xml:space="preserve"> </w:t>
      </w:r>
      <w:r>
        <w:rPr>
          <w:b/>
        </w:rPr>
        <w:t>au GNL</w:t>
      </w:r>
      <w:r w:rsidRPr="00F25553">
        <w:rPr>
          <w:b/>
        </w:rPr>
        <w:t>)</w:t>
      </w:r>
    </w:p>
    <w:p w:rsidR="00492F25" w:rsidRDefault="00492F25" w:rsidP="00492F25">
      <w:pPr>
        <w:pStyle w:val="HChG"/>
      </w:pPr>
      <w:r>
        <w:tab/>
      </w:r>
      <w:r>
        <w:tab/>
      </w:r>
      <w:r w:rsidRPr="009A4DC6">
        <w:t>Proposition de série</w:t>
      </w:r>
      <w:r>
        <w:t> </w:t>
      </w:r>
      <w:r w:rsidRPr="009A4DC6">
        <w:t>03 d</w:t>
      </w:r>
      <w:r>
        <w:t>’</w:t>
      </w:r>
      <w:r w:rsidRPr="009A4DC6">
        <w:t xml:space="preserve">amendements au Règlement </w:t>
      </w:r>
      <w:r w:rsidRPr="002D76F4">
        <w:rPr>
          <w:rFonts w:eastAsia="MS Mincho"/>
          <w:szCs w:val="22"/>
        </w:rPr>
        <w:t>n</w:t>
      </w:r>
      <w:r w:rsidRPr="002D76F4">
        <w:rPr>
          <w:rFonts w:eastAsia="MS Mincho"/>
          <w:szCs w:val="22"/>
          <w:vertAlign w:val="superscript"/>
        </w:rPr>
        <w:t>o</w:t>
      </w:r>
      <w:r>
        <w:t> </w:t>
      </w:r>
      <w:r w:rsidRPr="009A4DC6">
        <w:t xml:space="preserve">110 (Véhicules alimentés au GNC </w:t>
      </w:r>
      <w:r>
        <w:t>ou</w:t>
      </w:r>
      <w:r w:rsidRPr="009A4DC6">
        <w:t xml:space="preserve"> au GNL)</w:t>
      </w:r>
    </w:p>
    <w:p w:rsidR="00492F25" w:rsidRPr="00183715" w:rsidRDefault="00492F25" w:rsidP="00492F25">
      <w:pPr>
        <w:pStyle w:val="H1G"/>
      </w:pPr>
      <w:r>
        <w:tab/>
      </w:r>
      <w:r>
        <w:tab/>
      </w:r>
      <w:r w:rsidRPr="00183715">
        <w:t>Communication de l</w:t>
      </w:r>
      <w:r>
        <w:t>’</w:t>
      </w:r>
      <w:r w:rsidRPr="00183715">
        <w:t>expert de l</w:t>
      </w:r>
      <w:r>
        <w:t>’</w:t>
      </w:r>
      <w:r w:rsidRPr="00183715">
        <w:t>Allemagne</w:t>
      </w:r>
      <w:r w:rsidRPr="00492F25">
        <w:rPr>
          <w:rStyle w:val="FootnoteReference"/>
          <w:sz w:val="20"/>
          <w:vertAlign w:val="baseline"/>
        </w:rPr>
        <w:footnoteReference w:customMarkFollows="1" w:id="2"/>
        <w:t>*</w:t>
      </w:r>
    </w:p>
    <w:p w:rsidR="00F9573C" w:rsidRDefault="00492F25" w:rsidP="00492F25">
      <w:pPr>
        <w:pStyle w:val="SingleTxtG"/>
        <w:ind w:firstLine="567"/>
      </w:pPr>
      <w:r w:rsidRPr="009A4DC6">
        <w:t>Le texte ci-après, établi par l</w:t>
      </w:r>
      <w:r>
        <w:t>’</w:t>
      </w:r>
      <w:r w:rsidRPr="009A4DC6">
        <w:t>expert de l</w:t>
      </w:r>
      <w:r>
        <w:t>’</w:t>
      </w:r>
      <w:r w:rsidRPr="009A4DC6">
        <w:t xml:space="preserve">Allemagne, a pour objet </w:t>
      </w:r>
      <w:r>
        <w:t xml:space="preserve">de proposer </w:t>
      </w:r>
      <w:r w:rsidRPr="009A4DC6">
        <w:t>une nouvelle série d</w:t>
      </w:r>
      <w:r>
        <w:t>’</w:t>
      </w:r>
      <w:r w:rsidRPr="009A4DC6">
        <w:t>amendements au Règlement n</w:t>
      </w:r>
      <w:r w:rsidRPr="009A4DC6">
        <w:rPr>
          <w:vertAlign w:val="superscript"/>
        </w:rPr>
        <w:t>o</w:t>
      </w:r>
      <w:r w:rsidRPr="009A4DC6">
        <w:t xml:space="preserve"> 110 </w:t>
      </w:r>
      <w:r>
        <w:t xml:space="preserve">pour </w:t>
      </w:r>
      <w:r w:rsidRPr="009A4DC6">
        <w:t>améliorer les spécifications concernant l</w:t>
      </w:r>
      <w:r>
        <w:t>’</w:t>
      </w:r>
      <w:r w:rsidRPr="009A4DC6">
        <w:t>installation et l</w:t>
      </w:r>
      <w:r>
        <w:t>’</w:t>
      </w:r>
      <w:r w:rsidRPr="009A4DC6">
        <w:t>inspection des bouteilles de gaz naturel comprimé (GNC) ou des réservoirs de gaz naturel liquéfié (GNL) et de leurs accessoires. Les modifications qu</w:t>
      </w:r>
      <w:r>
        <w:t>’</w:t>
      </w:r>
      <w:r w:rsidRPr="009A4DC6">
        <w:t>il est proposé d</w:t>
      </w:r>
      <w:r>
        <w:t>’</w:t>
      </w:r>
      <w:r w:rsidRPr="009A4DC6">
        <w:t xml:space="preserve">apporter au </w:t>
      </w:r>
      <w:r>
        <w:t xml:space="preserve">texte actuel du Règlement </w:t>
      </w:r>
      <w:r w:rsidRPr="002D76F4">
        <w:rPr>
          <w:rFonts w:eastAsia="MS Mincho"/>
          <w:szCs w:val="22"/>
        </w:rPr>
        <w:t>n</w:t>
      </w:r>
      <w:r w:rsidRPr="002D76F4">
        <w:rPr>
          <w:rFonts w:eastAsia="MS Mincho"/>
          <w:szCs w:val="22"/>
          <w:vertAlign w:val="superscript"/>
        </w:rPr>
        <w:t>o</w:t>
      </w:r>
      <w:r>
        <w:t> 110</w:t>
      </w:r>
      <w:r w:rsidRPr="009A4DC6">
        <w:t xml:space="preserve"> figurent en caractères gras pour les ajouts</w:t>
      </w:r>
      <w:r>
        <w:t>.</w:t>
      </w:r>
    </w:p>
    <w:p w:rsidR="001033EB" w:rsidRPr="00571AAB" w:rsidRDefault="00492F25" w:rsidP="001033EB">
      <w:pPr>
        <w:pStyle w:val="HChG"/>
      </w:pPr>
      <w:r>
        <w:br w:type="page"/>
      </w:r>
      <w:r w:rsidR="001033EB" w:rsidRPr="009A4DC6">
        <w:lastRenderedPageBreak/>
        <w:tab/>
      </w:r>
      <w:r w:rsidR="001033EB" w:rsidRPr="00571AAB">
        <w:t>I.</w:t>
      </w:r>
      <w:r w:rsidR="001033EB" w:rsidRPr="00571AAB">
        <w:tab/>
        <w:t>Proposition</w:t>
      </w:r>
    </w:p>
    <w:p w:rsidR="001033EB" w:rsidRPr="00C22B7C" w:rsidRDefault="001C513C" w:rsidP="001033EB">
      <w:pPr>
        <w:pStyle w:val="SingleTxtG"/>
        <w:rPr>
          <w:lang w:val="fr-FR" w:eastAsia="ar-SA"/>
        </w:rPr>
      </w:pPr>
      <w:r>
        <w:rPr>
          <w:i/>
          <w:iCs/>
          <w:lang w:val="fr-FR" w:eastAsia="ar-SA"/>
        </w:rPr>
        <w:t>Ajouter un nouveau paragraphe </w:t>
      </w:r>
      <w:r w:rsidR="001033EB" w:rsidRPr="00C22B7C">
        <w:rPr>
          <w:i/>
          <w:lang w:val="fr-FR" w:eastAsia="ar-SA"/>
        </w:rPr>
        <w:t>18.1.6.1</w:t>
      </w:r>
      <w:r w:rsidR="001033EB" w:rsidRPr="00C22B7C">
        <w:rPr>
          <w:lang w:val="fr-FR" w:eastAsia="ar-SA"/>
        </w:rPr>
        <w:t>, libellé comme suit :</w:t>
      </w:r>
    </w:p>
    <w:p w:rsidR="001033EB" w:rsidRPr="00C22B7C" w:rsidRDefault="001033EB" w:rsidP="001C513C">
      <w:pPr>
        <w:pStyle w:val="SingleTxtG"/>
        <w:ind w:left="2268" w:hanging="1134"/>
        <w:rPr>
          <w:b/>
          <w:lang w:val="fr-FR" w:eastAsia="ar-SA"/>
        </w:rPr>
      </w:pPr>
      <w:r w:rsidRPr="00E40AF0">
        <w:rPr>
          <w:lang w:val="fr-FR" w:eastAsia="ar-SA"/>
        </w:rPr>
        <w:t>« </w:t>
      </w:r>
      <w:r>
        <w:rPr>
          <w:b/>
          <w:lang w:val="fr-FR" w:eastAsia="ar-SA"/>
        </w:rPr>
        <w:t>18.1.6.1</w:t>
      </w:r>
      <w:r w:rsidRPr="00C22B7C">
        <w:rPr>
          <w:b/>
          <w:lang w:val="fr-FR" w:eastAsia="ar-SA"/>
        </w:rPr>
        <w:tab/>
        <w:t>Nonobstant</w:t>
      </w:r>
      <w:r w:rsidR="001C513C">
        <w:rPr>
          <w:b/>
          <w:lang w:val="fr-FR" w:eastAsia="ar-SA"/>
        </w:rPr>
        <w:t xml:space="preserve"> les dispositions du paragraphe </w:t>
      </w:r>
      <w:r>
        <w:rPr>
          <w:b/>
          <w:lang w:val="fr-FR" w:eastAsia="ar-SA"/>
        </w:rPr>
        <w:t>18.1.6</w:t>
      </w:r>
      <w:r w:rsidRPr="00C22B7C">
        <w:rPr>
          <w:b/>
          <w:lang w:val="fr-FR" w:eastAsia="ar-SA"/>
        </w:rPr>
        <w:t>, il faut veiller à ce qu</w:t>
      </w:r>
      <w:r>
        <w:rPr>
          <w:b/>
          <w:lang w:val="fr-FR" w:eastAsia="ar-SA"/>
        </w:rPr>
        <w:t>’</w:t>
      </w:r>
      <w:r w:rsidRPr="00C22B7C">
        <w:rPr>
          <w:b/>
          <w:lang w:val="fr-FR" w:eastAsia="ar-SA"/>
        </w:rPr>
        <w:t xml:space="preserve">un accès suffisant à la bouteille de GNC ou au réservoir de GNL et </w:t>
      </w:r>
      <w:r>
        <w:rPr>
          <w:b/>
          <w:lang w:val="fr-FR" w:eastAsia="ar-SA"/>
        </w:rPr>
        <w:t xml:space="preserve">à </w:t>
      </w:r>
      <w:r w:rsidRPr="00C22B7C">
        <w:rPr>
          <w:b/>
          <w:lang w:val="fr-FR" w:eastAsia="ar-SA"/>
        </w:rPr>
        <w:t>leurs accessoires permette une inspection visuelle (périodique) sans qu</w:t>
      </w:r>
      <w:r>
        <w:rPr>
          <w:b/>
          <w:lang w:val="fr-FR" w:eastAsia="ar-SA"/>
        </w:rPr>
        <w:t>’</w:t>
      </w:r>
      <w:r w:rsidRPr="00C22B7C">
        <w:rPr>
          <w:b/>
          <w:lang w:val="fr-FR" w:eastAsia="ar-SA"/>
        </w:rPr>
        <w:t>il soit nécessaire de démonter un organe ou un élément du capot de protection.</w:t>
      </w:r>
      <w:r w:rsidRPr="001C513C">
        <w:rPr>
          <w:lang w:val="fr-FR" w:eastAsia="ar-SA"/>
        </w:rPr>
        <w:t> ».</w:t>
      </w:r>
    </w:p>
    <w:p w:rsidR="001033EB" w:rsidRPr="00183715" w:rsidRDefault="001033EB" w:rsidP="001033EB">
      <w:pPr>
        <w:pStyle w:val="HChG"/>
      </w:pPr>
      <w:r w:rsidRPr="00C22B7C">
        <w:tab/>
      </w:r>
      <w:r w:rsidRPr="00183715">
        <w:t>II.</w:t>
      </w:r>
      <w:r w:rsidRPr="00183715">
        <w:tab/>
        <w:t>Justification</w:t>
      </w:r>
    </w:p>
    <w:p w:rsidR="001033EB" w:rsidRPr="007A5AF8" w:rsidRDefault="001033EB" w:rsidP="001033EB">
      <w:pPr>
        <w:pStyle w:val="SingleTxtG"/>
      </w:pPr>
      <w:r w:rsidRPr="00A45759">
        <w:t>1.</w:t>
      </w:r>
      <w:r w:rsidRPr="00A45759">
        <w:tab/>
        <w:t>Cette proposition répond à la nécessité d</w:t>
      </w:r>
      <w:r>
        <w:t>’</w:t>
      </w:r>
      <w:r w:rsidRPr="00A45759">
        <w:t>améliorer les prescriptions du Règlement. Elle est fondée sur le document informel GRSG-112-33, qui a déjà été présenté à</w:t>
      </w:r>
      <w:r w:rsidR="00D23302">
        <w:t xml:space="preserve"> </w:t>
      </w:r>
      <w:r w:rsidRPr="00A45759">
        <w:t>la</w:t>
      </w:r>
      <w:r w:rsidR="00D23302">
        <w:t xml:space="preserve"> </w:t>
      </w:r>
      <w:r w:rsidR="00DC3B96">
        <w:t>112</w:t>
      </w:r>
      <w:r w:rsidR="00DC3B96" w:rsidRPr="00DC3B96">
        <w:rPr>
          <w:vertAlign w:val="superscript"/>
        </w:rPr>
        <w:t>e</w:t>
      </w:r>
      <w:r w:rsidR="00DC3B96">
        <w:t> </w:t>
      </w:r>
      <w:r w:rsidRPr="00A45759">
        <w:t>session du Groupe de travail des dispositions générales de sécurité (GRSG).</w:t>
      </w:r>
    </w:p>
    <w:p w:rsidR="001033EB" w:rsidRDefault="001033EB" w:rsidP="001033EB">
      <w:pPr>
        <w:pStyle w:val="SingleTxtG"/>
      </w:pPr>
      <w:r w:rsidRPr="00A15C75">
        <w:t>2.</w:t>
      </w:r>
      <w:r w:rsidRPr="00A15C75">
        <w:tab/>
      </w:r>
      <w:r>
        <w:t>Depuis 2012, p</w:t>
      </w:r>
      <w:r w:rsidRPr="00A15C75">
        <w:t>lusieurs accidents</w:t>
      </w:r>
      <w:r>
        <w:t xml:space="preserve"> se sont produits,</w:t>
      </w:r>
      <w:r w:rsidRPr="00A15C75">
        <w:t xml:space="preserve"> dans lesquels </w:t>
      </w:r>
      <w:r>
        <w:t>d</w:t>
      </w:r>
      <w:r w:rsidR="001C513C">
        <w:t>es bouteilles de type </w:t>
      </w:r>
      <w:r w:rsidRPr="00A15C75">
        <w:t xml:space="preserve">1 de véhicules alimentés au gaz naturel comprimé (GNC) (sur des véhicules </w:t>
      </w:r>
      <w:r>
        <w:t>équipés d’origine</w:t>
      </w:r>
      <w:r w:rsidRPr="00A15C75">
        <w:t>) ont explosé lors de leur</w:t>
      </w:r>
      <w:r>
        <w:t xml:space="preserve"> remplissage.</w:t>
      </w:r>
      <w:r w:rsidRPr="00A15C75">
        <w:t xml:space="preserve"> D</w:t>
      </w:r>
      <w:r>
        <w:t>’</w:t>
      </w:r>
      <w:r w:rsidRPr="00A15C75">
        <w:t xml:space="preserve">après les enquêtes, </w:t>
      </w:r>
      <w:r>
        <w:t xml:space="preserve">ces </w:t>
      </w:r>
      <w:r w:rsidRPr="00A15C75">
        <w:t>explosion</w:t>
      </w:r>
      <w:r>
        <w:t>s étaient dues à la corrosion</w:t>
      </w:r>
      <w:r w:rsidRPr="00A15C75">
        <w:t xml:space="preserve">. Un autre </w:t>
      </w:r>
      <w:r>
        <w:t xml:space="preserve">constructeur d’origine </w:t>
      </w:r>
      <w:r w:rsidRPr="00A15C75">
        <w:t>confronté à des problèmes similaires avec des bouteilles de type</w:t>
      </w:r>
      <w:r w:rsidR="001C513C">
        <w:t> </w:t>
      </w:r>
      <w:r w:rsidRPr="00A15C75">
        <w:t xml:space="preserve">1 a, à la suite de </w:t>
      </w:r>
      <w:r>
        <w:t xml:space="preserve">ces </w:t>
      </w:r>
      <w:r w:rsidRPr="00A15C75">
        <w:t xml:space="preserve">accidents, entrepris de rappeler et </w:t>
      </w:r>
      <w:r>
        <w:t>d’</w:t>
      </w:r>
      <w:r w:rsidRPr="00A15C75">
        <w:t>échanger les bouteilles. La corrosion (et d</w:t>
      </w:r>
      <w:r>
        <w:t>’</w:t>
      </w:r>
      <w:r w:rsidRPr="00A15C75">
        <w:t xml:space="preserve">autres détériorations) apparaissent en utilisation normale </w:t>
      </w:r>
      <w:r>
        <w:t>des véhicules.</w:t>
      </w:r>
    </w:p>
    <w:p w:rsidR="001033EB" w:rsidRPr="00C36E33" w:rsidRDefault="001033EB" w:rsidP="001033EB">
      <w:pPr>
        <w:pStyle w:val="SingleTxtG"/>
      </w:pPr>
      <w:r w:rsidRPr="001C513C">
        <w:rPr>
          <w:spacing w:val="-1"/>
          <w:lang w:val="fr-FR"/>
        </w:rPr>
        <w:t>3.</w:t>
      </w:r>
      <w:r w:rsidRPr="001C513C">
        <w:rPr>
          <w:spacing w:val="-1"/>
          <w:lang w:val="fr-FR"/>
        </w:rPr>
        <w:tab/>
      </w:r>
      <w:r w:rsidR="001C513C" w:rsidRPr="001C513C">
        <w:rPr>
          <w:spacing w:val="-1"/>
          <w:lang w:val="fr-FR"/>
        </w:rPr>
        <w:t>Le paragraphe </w:t>
      </w:r>
      <w:r w:rsidRPr="001C513C">
        <w:rPr>
          <w:spacing w:val="-1"/>
          <w:lang w:val="fr-FR"/>
        </w:rPr>
        <w:t>18.1.6 du Règlement</w:t>
      </w:r>
      <w:r w:rsidR="001C513C" w:rsidRPr="001C513C">
        <w:rPr>
          <w:spacing w:val="-1"/>
          <w:lang w:val="fr-FR"/>
        </w:rPr>
        <w:t xml:space="preserve"> </w:t>
      </w:r>
      <w:r w:rsidR="001C513C" w:rsidRPr="001C513C">
        <w:rPr>
          <w:rFonts w:eastAsia="MS Mincho"/>
          <w:spacing w:val="-1"/>
          <w:szCs w:val="22"/>
          <w:lang w:val="fr-FR"/>
        </w:rPr>
        <w:t>n</w:t>
      </w:r>
      <w:r w:rsidR="001C513C" w:rsidRPr="001C513C">
        <w:rPr>
          <w:rFonts w:eastAsia="MS Mincho"/>
          <w:spacing w:val="-1"/>
          <w:szCs w:val="22"/>
          <w:vertAlign w:val="superscript"/>
          <w:lang w:val="fr-FR"/>
        </w:rPr>
        <w:t>o</w:t>
      </w:r>
      <w:r w:rsidR="001C513C" w:rsidRPr="001C513C">
        <w:rPr>
          <w:spacing w:val="-1"/>
          <w:lang w:val="fr-FR"/>
        </w:rPr>
        <w:t> </w:t>
      </w:r>
      <w:r w:rsidRPr="001C513C">
        <w:rPr>
          <w:spacing w:val="-1"/>
          <w:lang w:val="fr-FR"/>
        </w:rPr>
        <w:t xml:space="preserve">110 dispose que « le </w:t>
      </w:r>
      <w:r w:rsidR="001C513C" w:rsidRPr="001C513C">
        <w:rPr>
          <w:spacing w:val="-1"/>
          <w:lang w:val="fr-FR"/>
        </w:rPr>
        <w:t xml:space="preserve">système GNC et/ou </w:t>
      </w:r>
      <w:r w:rsidRPr="001C513C">
        <w:rPr>
          <w:spacing w:val="-1"/>
          <w:lang w:val="fr-FR"/>
        </w:rPr>
        <w:t>GNL</w:t>
      </w:r>
      <w:r w:rsidRPr="00A15C75">
        <w:rPr>
          <w:lang w:val="fr-FR"/>
        </w:rPr>
        <w:t xml:space="preserve"> doit être installé de manière telle qu</w:t>
      </w:r>
      <w:r>
        <w:rPr>
          <w:lang w:val="fr-FR"/>
        </w:rPr>
        <w:t>’</w:t>
      </w:r>
      <w:r w:rsidRPr="00A15C75">
        <w:rPr>
          <w:lang w:val="fr-FR"/>
        </w:rPr>
        <w:t>il soit</w:t>
      </w:r>
      <w:r>
        <w:rPr>
          <w:lang w:val="fr-FR"/>
        </w:rPr>
        <w:t xml:space="preserve"> </w:t>
      </w:r>
      <w:r w:rsidRPr="00A15C75">
        <w:rPr>
          <w:lang w:val="fr-FR"/>
        </w:rPr>
        <w:t>protégé au mieux contre les détériorations dues par exemple au déplacement</w:t>
      </w:r>
      <w:r>
        <w:rPr>
          <w:lang w:val="fr-FR"/>
        </w:rPr>
        <w:t xml:space="preserve"> </w:t>
      </w:r>
      <w:r w:rsidRPr="00A15C75">
        <w:rPr>
          <w:lang w:val="fr-FR"/>
        </w:rPr>
        <w:t>d</w:t>
      </w:r>
      <w:r>
        <w:rPr>
          <w:lang w:val="fr-FR"/>
        </w:rPr>
        <w:t>’</w:t>
      </w:r>
      <w:r w:rsidRPr="00A15C75">
        <w:rPr>
          <w:lang w:val="fr-FR"/>
        </w:rPr>
        <w:t>éléments du véhicule, aux chocs, à la poussière de la route, aux opérations</w:t>
      </w:r>
      <w:r>
        <w:rPr>
          <w:lang w:val="fr-FR"/>
        </w:rPr>
        <w:t xml:space="preserve"> </w:t>
      </w:r>
      <w:r w:rsidRPr="00A15C75">
        <w:rPr>
          <w:lang w:val="fr-FR"/>
        </w:rPr>
        <w:t>de chargement et de déchargement du véhicule ou à des mouvements de la</w:t>
      </w:r>
      <w:r>
        <w:rPr>
          <w:lang w:val="fr-FR"/>
        </w:rPr>
        <w:t xml:space="preserve"> </w:t>
      </w:r>
      <w:r w:rsidR="00D23302">
        <w:rPr>
          <w:lang w:val="fr-FR"/>
        </w:rPr>
        <w:t>charge transportée</w:t>
      </w:r>
      <w:r>
        <w:rPr>
          <w:lang w:val="fr-FR"/>
        </w:rPr>
        <w:t> »</w:t>
      </w:r>
      <w:r w:rsidR="00D23302">
        <w:rPr>
          <w:lang w:val="fr-FR"/>
        </w:rPr>
        <w:t>.</w:t>
      </w:r>
      <w:r w:rsidR="001C513C">
        <w:rPr>
          <w:lang w:val="fr-FR"/>
        </w:rPr>
        <w:t xml:space="preserve"> </w:t>
      </w:r>
      <w:r w:rsidRPr="00AF5581">
        <w:rPr>
          <w:lang w:val="fr-FR"/>
        </w:rPr>
        <w:t xml:space="preserve">Par conséquent, il </w:t>
      </w:r>
      <w:r>
        <w:rPr>
          <w:lang w:val="fr-FR"/>
        </w:rPr>
        <w:t>y a</w:t>
      </w:r>
      <w:r w:rsidRPr="00AF5581">
        <w:rPr>
          <w:lang w:val="fr-FR"/>
        </w:rPr>
        <w:t xml:space="preserve"> normalement un capot ou une </w:t>
      </w:r>
      <w:r>
        <w:rPr>
          <w:lang w:val="fr-FR"/>
        </w:rPr>
        <w:t xml:space="preserve">autre </w:t>
      </w:r>
      <w:r w:rsidRPr="00AF5581">
        <w:rPr>
          <w:lang w:val="fr-FR"/>
        </w:rPr>
        <w:t>sorte de couvercle protégeant notamment la bouteille ou le réservoir, ce qui favorise la corrosion.</w:t>
      </w:r>
    </w:p>
    <w:p w:rsidR="001033EB" w:rsidRPr="00143993" w:rsidRDefault="001033EB" w:rsidP="001033EB">
      <w:pPr>
        <w:pStyle w:val="SingleTxtG"/>
      </w:pPr>
      <w:r w:rsidRPr="00C36E33">
        <w:t>4.</w:t>
      </w:r>
      <w:r w:rsidRPr="00C36E33">
        <w:tab/>
        <w:t>En outre, les dispositions du paragraphe</w:t>
      </w:r>
      <w:r w:rsidR="001C513C">
        <w:t> </w:t>
      </w:r>
      <w:r w:rsidRPr="00C36E33">
        <w:t>18.1.6 et leur application sont incompatibles avec les prescriptions du paragraphe</w:t>
      </w:r>
      <w:r w:rsidR="001C513C">
        <w:t> </w:t>
      </w:r>
      <w:r w:rsidRPr="00C36E33">
        <w:t>4.1.4 de l</w:t>
      </w:r>
      <w:r>
        <w:t>’</w:t>
      </w:r>
      <w:r w:rsidRPr="00C36E33">
        <w:t>annexe</w:t>
      </w:r>
      <w:r w:rsidR="001C513C">
        <w:t> </w:t>
      </w:r>
      <w:r w:rsidRPr="00C36E33">
        <w:t>3a</w:t>
      </w:r>
      <w:r>
        <w:t xml:space="preserve"> portant </w:t>
      </w:r>
      <w:r w:rsidRPr="00C36E33">
        <w:t xml:space="preserve">sur </w:t>
      </w:r>
      <w:r>
        <w:t>la « requalification périodique » des bouteilles de GNC, qui imposent une inspection visuelle afin de déceler les altérations et les détériorations.</w:t>
      </w:r>
    </w:p>
    <w:p w:rsidR="001033EB" w:rsidRDefault="001033EB" w:rsidP="001033EB">
      <w:pPr>
        <w:pStyle w:val="SingleTxtG"/>
      </w:pPr>
      <w:r w:rsidRPr="00B065AD">
        <w:t>5.</w:t>
      </w:r>
      <w:r w:rsidRPr="00B065AD">
        <w:tab/>
      </w:r>
      <w:r w:rsidRPr="00B065AD">
        <w:rPr>
          <w:lang w:val="fr-FR"/>
        </w:rPr>
        <w:t>Même si le Règlement n</w:t>
      </w:r>
      <w:r w:rsidRPr="00B065AD">
        <w:rPr>
          <w:vertAlign w:val="superscript"/>
          <w:lang w:val="fr-FR"/>
        </w:rPr>
        <w:t>o</w:t>
      </w:r>
      <w:r w:rsidRPr="00B065AD">
        <w:rPr>
          <w:lang w:val="fr-FR"/>
        </w:rPr>
        <w:t xml:space="preserve"> 67 ne prescrit pas expressément la requalification périodique des réservoirs contrairement au Règlement </w:t>
      </w:r>
      <w:r w:rsidR="001C513C" w:rsidRPr="001C513C">
        <w:rPr>
          <w:rFonts w:eastAsia="MS Mincho"/>
          <w:szCs w:val="22"/>
          <w:lang w:val="fr-FR"/>
        </w:rPr>
        <w:t>n</w:t>
      </w:r>
      <w:r w:rsidR="001C513C" w:rsidRPr="001C513C">
        <w:rPr>
          <w:rFonts w:eastAsia="MS Mincho"/>
          <w:szCs w:val="22"/>
          <w:vertAlign w:val="superscript"/>
          <w:lang w:val="fr-FR"/>
        </w:rPr>
        <w:t>o</w:t>
      </w:r>
      <w:r w:rsidR="001C513C">
        <w:rPr>
          <w:lang w:val="fr-FR"/>
        </w:rPr>
        <w:t> </w:t>
      </w:r>
      <w:r w:rsidRPr="00B065AD">
        <w:rPr>
          <w:lang w:val="fr-FR"/>
        </w:rPr>
        <w:t xml:space="preserve">110, </w:t>
      </w:r>
      <w:r>
        <w:rPr>
          <w:lang w:val="fr-FR"/>
        </w:rPr>
        <w:t>l</w:t>
      </w:r>
      <w:r w:rsidRPr="00B065AD">
        <w:rPr>
          <w:lang w:val="fr-FR"/>
        </w:rPr>
        <w:t>es effets de la corrosion des réservoirs à G</w:t>
      </w:r>
      <w:r>
        <w:rPr>
          <w:lang w:val="fr-FR"/>
        </w:rPr>
        <w:t>NL</w:t>
      </w:r>
      <w:r w:rsidRPr="00B065AD">
        <w:rPr>
          <w:lang w:val="fr-FR"/>
        </w:rPr>
        <w:t xml:space="preserve"> sont similaires à ceux obser</w:t>
      </w:r>
      <w:r w:rsidR="001C513C">
        <w:rPr>
          <w:lang w:val="fr-FR"/>
        </w:rPr>
        <w:t>vés sur les bouteilles de GNC.</w:t>
      </w:r>
    </w:p>
    <w:p w:rsidR="001033EB" w:rsidRPr="001F1713" w:rsidRDefault="001033EB" w:rsidP="001033EB">
      <w:pPr>
        <w:pStyle w:val="SingleTxtG"/>
      </w:pPr>
      <w:r w:rsidRPr="00B065AD">
        <w:rPr>
          <w:lang w:val="fr-FR"/>
        </w:rPr>
        <w:t>6.</w:t>
      </w:r>
      <w:r w:rsidRPr="00B065AD">
        <w:rPr>
          <w:lang w:val="fr-FR"/>
        </w:rPr>
        <w:tab/>
      </w:r>
      <w:r>
        <w:rPr>
          <w:lang w:val="fr-FR"/>
        </w:rPr>
        <w:t>L</w:t>
      </w:r>
      <w:r w:rsidRPr="00B065AD">
        <w:rPr>
          <w:lang w:val="fr-FR"/>
        </w:rPr>
        <w:t>e paragraphe</w:t>
      </w:r>
      <w:r w:rsidR="001C513C">
        <w:rPr>
          <w:lang w:val="fr-FR"/>
        </w:rPr>
        <w:t> </w:t>
      </w:r>
      <w:r w:rsidRPr="00B065AD">
        <w:rPr>
          <w:lang w:val="fr-FR"/>
        </w:rPr>
        <w:t>18.8.6</w:t>
      </w:r>
      <w:r>
        <w:rPr>
          <w:lang w:val="fr-FR"/>
        </w:rPr>
        <w:t>,</w:t>
      </w:r>
      <w:r w:rsidRPr="00B065AD">
        <w:rPr>
          <w:lang w:val="fr-FR"/>
        </w:rPr>
        <w:t xml:space="preserve"> </w:t>
      </w:r>
      <w:r>
        <w:rPr>
          <w:lang w:val="fr-FR"/>
        </w:rPr>
        <w:t xml:space="preserve">qui précise </w:t>
      </w:r>
      <w:r w:rsidRPr="00B065AD">
        <w:rPr>
          <w:lang w:val="fr-FR"/>
        </w:rPr>
        <w:t>que « </w:t>
      </w:r>
      <w:r>
        <w:rPr>
          <w:lang w:val="fr-FR"/>
        </w:rPr>
        <w:t>t</w:t>
      </w:r>
      <w:r w:rsidRPr="00B065AD">
        <w:rPr>
          <w:lang w:val="fr-FR"/>
        </w:rPr>
        <w:t xml:space="preserve">ous les raccords doivent être situés à des emplacements accessibles aux fins </w:t>
      </w:r>
      <w:r>
        <w:rPr>
          <w:lang w:val="fr-FR"/>
        </w:rPr>
        <w:t xml:space="preserve">d’une inspection » peut aussi être incompatible avec les solutions susmentionnées. </w:t>
      </w:r>
      <w:r w:rsidRPr="001F1713">
        <w:t>Bien que les bouteilles de type</w:t>
      </w:r>
      <w:r w:rsidR="001C513C">
        <w:t> </w:t>
      </w:r>
      <w:r w:rsidRPr="001F1713">
        <w:t xml:space="preserve">2 et 3 et </w:t>
      </w:r>
      <w:r>
        <w:t xml:space="preserve">surtout </w:t>
      </w:r>
      <w:r w:rsidRPr="001F1713">
        <w:t>celles de type</w:t>
      </w:r>
      <w:r w:rsidR="001C513C">
        <w:t> </w:t>
      </w:r>
      <w:r w:rsidRPr="001F1713">
        <w:t xml:space="preserve">4 </w:t>
      </w:r>
      <w:r>
        <w:t>ne présentent</w:t>
      </w:r>
      <w:r w:rsidRPr="001F1713">
        <w:t xml:space="preserve"> pas de problèmes </w:t>
      </w:r>
      <w:r>
        <w:t xml:space="preserve">de corrosion, il faut également garantir leur inspection visuelle en raison du fait que des détériorations externes </w:t>
      </w:r>
      <w:r w:rsidRPr="009D55A8">
        <w:t>sont potentiellement graves</w:t>
      </w:r>
      <w:r w:rsidR="001C513C">
        <w:t>.</w:t>
      </w:r>
    </w:p>
    <w:p w:rsidR="00492F25" w:rsidRDefault="001033EB" w:rsidP="001033EB">
      <w:pPr>
        <w:pStyle w:val="SingleTxtG"/>
      </w:pPr>
      <w:r w:rsidRPr="00EA18C4">
        <w:t>7.</w:t>
      </w:r>
      <w:r w:rsidRPr="00EA18C4">
        <w:tab/>
        <w:t xml:space="preserve">La </w:t>
      </w:r>
      <w:r>
        <w:t xml:space="preserve">présente </w:t>
      </w:r>
      <w:r w:rsidRPr="00EA18C4">
        <w:t>proposition vise à satisfaire en même temps aux prescriptions de protection adéquate et d</w:t>
      </w:r>
      <w:r>
        <w:t>’</w:t>
      </w:r>
      <w:r w:rsidRPr="00EA18C4">
        <w:t xml:space="preserve">accès suffisant à la bouteille et à ses accessoires pour permettre </w:t>
      </w:r>
      <w:proofErr w:type="gramStart"/>
      <w:r w:rsidRPr="00EA18C4">
        <w:t>une</w:t>
      </w:r>
      <w:proofErr w:type="gramEnd"/>
      <w:r w:rsidRPr="00EA18C4">
        <w:t xml:space="preserve"> inspection visuelle régulière. L</w:t>
      </w:r>
      <w:r>
        <w:t>’</w:t>
      </w:r>
      <w:r w:rsidRPr="00EA18C4">
        <w:t>accès pourrait se faire, par exemple, par une trappe d</w:t>
      </w:r>
      <w:r>
        <w:t>’</w:t>
      </w:r>
      <w:r w:rsidRPr="00EA18C4">
        <w:t>inspection placée dans le capot.</w:t>
      </w:r>
    </w:p>
    <w:p w:rsidR="001033EB" w:rsidRPr="001033EB" w:rsidRDefault="001033EB" w:rsidP="001033EB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033EB" w:rsidRPr="001033EB" w:rsidSect="00917E83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B12" w:rsidRDefault="002D2B12" w:rsidP="00F95C08">
      <w:pPr>
        <w:spacing w:line="240" w:lineRule="auto"/>
      </w:pPr>
    </w:p>
  </w:endnote>
  <w:endnote w:type="continuationSeparator" w:id="0">
    <w:p w:rsidR="002D2B12" w:rsidRPr="00AC3823" w:rsidRDefault="002D2B12" w:rsidP="00AC3823">
      <w:pPr>
        <w:pStyle w:val="Footer"/>
      </w:pPr>
    </w:p>
  </w:endnote>
  <w:endnote w:type="continuationNotice" w:id="1">
    <w:p w:rsidR="002D2B12" w:rsidRDefault="002D2B1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E83" w:rsidRPr="00917E83" w:rsidRDefault="00917E83" w:rsidP="00917E83">
    <w:pPr>
      <w:pStyle w:val="Footer"/>
      <w:tabs>
        <w:tab w:val="right" w:pos="9638"/>
      </w:tabs>
    </w:pPr>
    <w:r w:rsidRPr="00917E83">
      <w:rPr>
        <w:b/>
        <w:sz w:val="18"/>
      </w:rPr>
      <w:fldChar w:fldCharType="begin"/>
    </w:r>
    <w:r w:rsidRPr="00917E83">
      <w:rPr>
        <w:b/>
        <w:sz w:val="18"/>
      </w:rPr>
      <w:instrText xml:space="preserve"> PAGE  \* MERGEFORMAT </w:instrText>
    </w:r>
    <w:r w:rsidRPr="00917E83">
      <w:rPr>
        <w:b/>
        <w:sz w:val="18"/>
      </w:rPr>
      <w:fldChar w:fldCharType="separate"/>
    </w:r>
    <w:r w:rsidR="00203262">
      <w:rPr>
        <w:b/>
        <w:noProof/>
        <w:sz w:val="18"/>
      </w:rPr>
      <w:t>2</w:t>
    </w:r>
    <w:r w:rsidRPr="00917E83">
      <w:rPr>
        <w:b/>
        <w:sz w:val="18"/>
      </w:rPr>
      <w:fldChar w:fldCharType="end"/>
    </w:r>
    <w:r>
      <w:rPr>
        <w:b/>
        <w:sz w:val="18"/>
      </w:rPr>
      <w:tab/>
    </w:r>
    <w:r>
      <w:t>GE.17-11939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E83" w:rsidRPr="00917E83" w:rsidRDefault="00917E83" w:rsidP="00917E83">
    <w:pPr>
      <w:pStyle w:val="Footer"/>
      <w:tabs>
        <w:tab w:val="right" w:pos="9638"/>
      </w:tabs>
      <w:rPr>
        <w:b/>
        <w:sz w:val="18"/>
      </w:rPr>
    </w:pPr>
    <w:r>
      <w:t>GE.17-11939</w:t>
    </w:r>
    <w:r>
      <w:tab/>
    </w:r>
    <w:r w:rsidRPr="00917E83">
      <w:rPr>
        <w:b/>
        <w:sz w:val="18"/>
      </w:rPr>
      <w:fldChar w:fldCharType="begin"/>
    </w:r>
    <w:r w:rsidRPr="00917E83">
      <w:rPr>
        <w:b/>
        <w:sz w:val="18"/>
      </w:rPr>
      <w:instrText xml:space="preserve"> PAGE  \* MERGEFORMAT </w:instrText>
    </w:r>
    <w:r w:rsidRPr="00917E83">
      <w:rPr>
        <w:b/>
        <w:sz w:val="18"/>
      </w:rPr>
      <w:fldChar w:fldCharType="separate"/>
    </w:r>
    <w:r w:rsidR="00DC3B96">
      <w:rPr>
        <w:b/>
        <w:noProof/>
        <w:sz w:val="18"/>
      </w:rPr>
      <w:t>2</w:t>
    </w:r>
    <w:r w:rsidRPr="00917E8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FA" w:rsidRPr="00917E83" w:rsidRDefault="00917E83" w:rsidP="00917E83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17-11939  (F)    070817    160817</w:t>
    </w:r>
    <w:r>
      <w:rPr>
        <w:sz w:val="20"/>
      </w:rPr>
      <w:br/>
    </w:r>
    <w:r w:rsidRPr="00917E83">
      <w:rPr>
        <w:rFonts w:ascii="C39T30Lfz" w:hAnsi="C39T30Lfz"/>
        <w:sz w:val="56"/>
      </w:rPr>
      <w:t></w:t>
    </w:r>
    <w:r w:rsidRPr="00917E83">
      <w:rPr>
        <w:rFonts w:ascii="C39T30Lfz" w:hAnsi="C39T30Lfz"/>
        <w:sz w:val="56"/>
      </w:rPr>
      <w:t></w:t>
    </w:r>
    <w:r w:rsidRPr="00917E83">
      <w:rPr>
        <w:rFonts w:ascii="C39T30Lfz" w:hAnsi="C39T30Lfz"/>
        <w:sz w:val="56"/>
      </w:rPr>
      <w:t></w:t>
    </w:r>
    <w:r w:rsidRPr="00917E83">
      <w:rPr>
        <w:rFonts w:ascii="C39T30Lfz" w:hAnsi="C39T30Lfz"/>
        <w:sz w:val="56"/>
      </w:rPr>
      <w:t></w:t>
    </w:r>
    <w:r w:rsidRPr="00917E83">
      <w:rPr>
        <w:rFonts w:ascii="C39T30Lfz" w:hAnsi="C39T30Lfz"/>
        <w:sz w:val="56"/>
      </w:rPr>
      <w:t></w:t>
    </w:r>
    <w:r w:rsidRPr="00917E83">
      <w:rPr>
        <w:rFonts w:ascii="C39T30Lfz" w:hAnsi="C39T30Lfz"/>
        <w:sz w:val="56"/>
      </w:rPr>
      <w:t></w:t>
    </w:r>
    <w:r w:rsidRPr="00917E83">
      <w:rPr>
        <w:rFonts w:ascii="C39T30Lfz" w:hAnsi="C39T30Lfz"/>
        <w:sz w:val="56"/>
      </w:rPr>
      <w:t></w:t>
    </w:r>
    <w:r w:rsidRPr="00917E83">
      <w:rPr>
        <w:rFonts w:ascii="C39T30Lfz" w:hAnsi="C39T30Lfz"/>
        <w:sz w:val="56"/>
      </w:rPr>
      <w:t></w:t>
    </w:r>
    <w:r w:rsidRPr="00917E83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GRSG/2017/17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G/2017/17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B12" w:rsidRPr="00AC3823" w:rsidRDefault="002D2B12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D2B12" w:rsidRPr="00AC3823" w:rsidRDefault="002D2B12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2D2B12" w:rsidRPr="00AC3823" w:rsidRDefault="002D2B12">
      <w:pPr>
        <w:spacing w:line="240" w:lineRule="auto"/>
        <w:rPr>
          <w:sz w:val="2"/>
          <w:szCs w:val="2"/>
        </w:rPr>
      </w:pPr>
    </w:p>
  </w:footnote>
  <w:footnote w:id="2">
    <w:p w:rsidR="00492F25" w:rsidRPr="00492F25" w:rsidRDefault="00492F25">
      <w:pPr>
        <w:pStyle w:val="FootnoteText"/>
      </w:pPr>
      <w:r w:rsidRPr="00492F25">
        <w:rPr>
          <w:rStyle w:val="FootnoteReference"/>
          <w:spacing w:val="-1"/>
        </w:rPr>
        <w:tab/>
      </w:r>
      <w:r w:rsidRPr="00492F25">
        <w:rPr>
          <w:rStyle w:val="FootnoteReference"/>
          <w:spacing w:val="-1"/>
          <w:sz w:val="20"/>
          <w:vertAlign w:val="baseline"/>
        </w:rPr>
        <w:t>*</w:t>
      </w:r>
      <w:r w:rsidRPr="00492F25">
        <w:rPr>
          <w:rStyle w:val="FootnoteReference"/>
          <w:spacing w:val="-1"/>
          <w:sz w:val="20"/>
          <w:vertAlign w:val="baseline"/>
        </w:rPr>
        <w:tab/>
      </w:r>
      <w:r w:rsidRPr="00492F25">
        <w:rPr>
          <w:spacing w:val="-1"/>
        </w:rPr>
        <w:t>Conformément au programme de travail du Comité des transports intérieurs pour la période 2016-2017</w:t>
      </w:r>
      <w:r>
        <w:t xml:space="preserve"> (ECE/TRANS/254, par. </w:t>
      </w:r>
      <w:r w:rsidRPr="00F636E0">
        <w:t>159, et ECE/TRANS/2016/28/Add.1, module</w:t>
      </w:r>
      <w:r>
        <w:t> </w:t>
      </w:r>
      <w:r w:rsidRPr="00F636E0">
        <w:t>3.1), le Forum mondial a pour mission d</w:t>
      </w:r>
      <w:r>
        <w:t>’</w:t>
      </w:r>
      <w:r w:rsidRPr="00F636E0">
        <w:t>élaborer, d</w:t>
      </w:r>
      <w:r>
        <w:t>’</w:t>
      </w:r>
      <w:r w:rsidRPr="00F636E0">
        <w:t>harmoniser et de mettre à jour les Règlements en vue d</w:t>
      </w:r>
      <w:r>
        <w:t>’</w:t>
      </w:r>
      <w:r w:rsidRPr="00F636E0">
        <w:t>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E83" w:rsidRPr="00917E83" w:rsidRDefault="00203262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08666A">
      <w:t>ECE/TRANS/WP.29/GRSG/2017/17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E83" w:rsidRPr="00917E83" w:rsidRDefault="00203262" w:rsidP="00917E83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08666A">
      <w:t>ECE/TRANS/WP.29/GRSG/2017/17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B12"/>
    <w:rsid w:val="00017F94"/>
    <w:rsid w:val="00023842"/>
    <w:rsid w:val="000334F9"/>
    <w:rsid w:val="00045FEB"/>
    <w:rsid w:val="0007796D"/>
    <w:rsid w:val="00082AFF"/>
    <w:rsid w:val="0008666A"/>
    <w:rsid w:val="000A5479"/>
    <w:rsid w:val="000B7790"/>
    <w:rsid w:val="001033EB"/>
    <w:rsid w:val="00111F2F"/>
    <w:rsid w:val="0014365E"/>
    <w:rsid w:val="00143C66"/>
    <w:rsid w:val="00176178"/>
    <w:rsid w:val="001C513C"/>
    <w:rsid w:val="001F525A"/>
    <w:rsid w:val="00203262"/>
    <w:rsid w:val="00223272"/>
    <w:rsid w:val="0024779E"/>
    <w:rsid w:val="00257168"/>
    <w:rsid w:val="002744B8"/>
    <w:rsid w:val="002832AC"/>
    <w:rsid w:val="002D2B12"/>
    <w:rsid w:val="002D7C93"/>
    <w:rsid w:val="002E2E8C"/>
    <w:rsid w:val="00305801"/>
    <w:rsid w:val="003916DE"/>
    <w:rsid w:val="00441C3B"/>
    <w:rsid w:val="00446FE5"/>
    <w:rsid w:val="00452396"/>
    <w:rsid w:val="004837D8"/>
    <w:rsid w:val="00492F25"/>
    <w:rsid w:val="004E468C"/>
    <w:rsid w:val="005505B7"/>
    <w:rsid w:val="00573BE5"/>
    <w:rsid w:val="00586ED3"/>
    <w:rsid w:val="00596AA9"/>
    <w:rsid w:val="0071601D"/>
    <w:rsid w:val="00761CEA"/>
    <w:rsid w:val="007A62E6"/>
    <w:rsid w:val="007F20FA"/>
    <w:rsid w:val="0080684C"/>
    <w:rsid w:val="00871C75"/>
    <w:rsid w:val="008776DC"/>
    <w:rsid w:val="00917E83"/>
    <w:rsid w:val="009446C0"/>
    <w:rsid w:val="009705C8"/>
    <w:rsid w:val="009C1CF4"/>
    <w:rsid w:val="009F6B74"/>
    <w:rsid w:val="00A30353"/>
    <w:rsid w:val="00AC3823"/>
    <w:rsid w:val="00AE323C"/>
    <w:rsid w:val="00AF0CB5"/>
    <w:rsid w:val="00B00181"/>
    <w:rsid w:val="00B00B0D"/>
    <w:rsid w:val="00B765F7"/>
    <w:rsid w:val="00BA0CA9"/>
    <w:rsid w:val="00BE4711"/>
    <w:rsid w:val="00C02897"/>
    <w:rsid w:val="00C97039"/>
    <w:rsid w:val="00D23302"/>
    <w:rsid w:val="00D3439C"/>
    <w:rsid w:val="00DB1831"/>
    <w:rsid w:val="00DC3B96"/>
    <w:rsid w:val="00DD3BFD"/>
    <w:rsid w:val="00DF6678"/>
    <w:rsid w:val="00E0299A"/>
    <w:rsid w:val="00E40AF0"/>
    <w:rsid w:val="00E85C74"/>
    <w:rsid w:val="00EA6547"/>
    <w:rsid w:val="00EA6EA4"/>
    <w:rsid w:val="00ED2461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627</Words>
  <Characters>3576</Characters>
  <Application>Microsoft Office Word</Application>
  <DocSecurity>4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ECE/TRANS/WP.29/GRSG/2017/17</vt:lpstr>
      <vt:lpstr>ECE/TRANS/WP.29/GRSG/2017/17</vt:lpstr>
    </vt:vector>
  </TitlesOfParts>
  <Company>DCM</Company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ECE/TRANS/WP.29/GRSG/2017/17</dc:title>
  <dc:creator>Marie DESCHAMPS</dc:creator>
  <cp:lastModifiedBy>Benedicte Boudol</cp:lastModifiedBy>
  <cp:revision>2</cp:revision>
  <cp:lastPrinted>2017-08-16T06:09:00Z</cp:lastPrinted>
  <dcterms:created xsi:type="dcterms:W3CDTF">2017-08-18T08:49:00Z</dcterms:created>
  <dcterms:modified xsi:type="dcterms:W3CDTF">2017-08-18T08:49:00Z</dcterms:modified>
</cp:coreProperties>
</file>