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A39D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A39D7" w:rsidP="009A39D7">
            <w:pPr>
              <w:jc w:val="right"/>
            </w:pPr>
            <w:r w:rsidRPr="009A39D7">
              <w:rPr>
                <w:sz w:val="40"/>
              </w:rPr>
              <w:t>ECE</w:t>
            </w:r>
            <w:r>
              <w:t>/TRANS/WP.29/GRSG/2017/16</w:t>
            </w:r>
          </w:p>
        </w:tc>
      </w:tr>
      <w:tr w:rsidR="002D5AAC" w:rsidRPr="00BB157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9A39D7" w:rsidP="00387CD4">
            <w:pPr>
              <w:spacing w:before="240"/>
              <w:rPr>
                <w:lang w:val="en-US"/>
              </w:rPr>
            </w:pPr>
            <w:r>
              <w:rPr>
                <w:lang w:val="en-US"/>
              </w:rPr>
              <w:t>Distr.: General</w:t>
            </w:r>
          </w:p>
          <w:p w:rsidR="009A39D7" w:rsidRDefault="009A39D7" w:rsidP="009A39D7">
            <w:pPr>
              <w:spacing w:line="240" w:lineRule="exact"/>
              <w:rPr>
                <w:lang w:val="en-US"/>
              </w:rPr>
            </w:pPr>
            <w:r>
              <w:rPr>
                <w:lang w:val="en-US"/>
              </w:rPr>
              <w:t>14 July 2017</w:t>
            </w:r>
          </w:p>
          <w:p w:rsidR="009A39D7" w:rsidRDefault="009A39D7" w:rsidP="009A39D7">
            <w:pPr>
              <w:spacing w:line="240" w:lineRule="exact"/>
              <w:rPr>
                <w:lang w:val="en-US"/>
              </w:rPr>
            </w:pPr>
            <w:r>
              <w:rPr>
                <w:lang w:val="en-US"/>
              </w:rPr>
              <w:t>Russian</w:t>
            </w:r>
          </w:p>
          <w:p w:rsidR="009A39D7" w:rsidRPr="008D53B6" w:rsidRDefault="009A39D7" w:rsidP="009A39D7">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9A39D7" w:rsidRPr="009A39D7" w:rsidRDefault="009A39D7" w:rsidP="009A39D7">
      <w:pPr>
        <w:spacing w:before="120"/>
        <w:rPr>
          <w:sz w:val="28"/>
          <w:szCs w:val="28"/>
        </w:rPr>
      </w:pPr>
      <w:r w:rsidRPr="009A39D7">
        <w:rPr>
          <w:sz w:val="28"/>
          <w:szCs w:val="28"/>
        </w:rPr>
        <w:t>Комитет по внутреннему транспорту</w:t>
      </w:r>
    </w:p>
    <w:p w:rsidR="009A39D7" w:rsidRPr="009A39D7" w:rsidRDefault="009A39D7" w:rsidP="009A39D7">
      <w:pPr>
        <w:spacing w:before="120"/>
        <w:rPr>
          <w:b/>
          <w:sz w:val="24"/>
          <w:szCs w:val="24"/>
        </w:rPr>
      </w:pPr>
      <w:r w:rsidRPr="009A39D7">
        <w:rPr>
          <w:b/>
          <w:sz w:val="24"/>
          <w:szCs w:val="24"/>
        </w:rPr>
        <w:t xml:space="preserve">Всемирный форум для согласования </w:t>
      </w:r>
      <w:r w:rsidRPr="009A39D7">
        <w:rPr>
          <w:b/>
          <w:sz w:val="24"/>
          <w:szCs w:val="24"/>
        </w:rPr>
        <w:br/>
        <w:t>правил в области транспортных средств</w:t>
      </w:r>
    </w:p>
    <w:p w:rsidR="009A39D7" w:rsidRPr="009A39D7" w:rsidRDefault="009A39D7" w:rsidP="009A39D7">
      <w:pPr>
        <w:spacing w:before="120"/>
        <w:rPr>
          <w:b/>
        </w:rPr>
      </w:pPr>
      <w:r w:rsidRPr="009A39D7">
        <w:rPr>
          <w:b/>
        </w:rPr>
        <w:t>Рабочая группа по общим предписаниям,</w:t>
      </w:r>
      <w:r w:rsidRPr="009A39D7">
        <w:rPr>
          <w:b/>
        </w:rPr>
        <w:br/>
        <w:t>касающимся безопасности</w:t>
      </w:r>
    </w:p>
    <w:p w:rsidR="009A39D7" w:rsidRPr="009A39D7" w:rsidRDefault="009A39D7" w:rsidP="00AE498C">
      <w:pPr>
        <w:spacing w:before="120"/>
        <w:rPr>
          <w:b/>
          <w:bCs/>
        </w:rPr>
      </w:pPr>
      <w:r w:rsidRPr="009A39D7">
        <w:rPr>
          <w:b/>
          <w:bCs/>
        </w:rPr>
        <w:t>113-я сессия</w:t>
      </w:r>
    </w:p>
    <w:p w:rsidR="009A39D7" w:rsidRPr="009A39D7" w:rsidRDefault="009A39D7" w:rsidP="009A39D7">
      <w:r w:rsidRPr="009A39D7">
        <w:t>Женева, 10</w:t>
      </w:r>
      <w:r w:rsidR="00AE498C" w:rsidRPr="008A45EF">
        <w:t>–</w:t>
      </w:r>
      <w:r w:rsidRPr="009A39D7">
        <w:t>13 октября 2017 года</w:t>
      </w:r>
    </w:p>
    <w:p w:rsidR="009A39D7" w:rsidRPr="009A39D7" w:rsidRDefault="009A39D7" w:rsidP="009A39D7">
      <w:r w:rsidRPr="009A39D7">
        <w:t xml:space="preserve">Пункт 6 </w:t>
      </w:r>
      <w:r w:rsidRPr="009A39D7">
        <w:rPr>
          <w:lang w:val="en-US"/>
        </w:rPr>
        <w:t>a</w:t>
      </w:r>
      <w:r w:rsidRPr="009A39D7">
        <w:t>) предварительной повестки дня</w:t>
      </w:r>
    </w:p>
    <w:p w:rsidR="009A39D7" w:rsidRPr="009A39D7" w:rsidRDefault="009A39D7" w:rsidP="009A39D7">
      <w:pPr>
        <w:rPr>
          <w:b/>
        </w:rPr>
      </w:pPr>
      <w:r w:rsidRPr="009A39D7">
        <w:rPr>
          <w:b/>
        </w:rPr>
        <w:t>Поправки к правилам, касающимся</w:t>
      </w:r>
      <w:r w:rsidR="00AE498C" w:rsidRPr="00AE498C">
        <w:rPr>
          <w:b/>
        </w:rPr>
        <w:t xml:space="preserve"> </w:t>
      </w:r>
      <w:r w:rsidRPr="009A39D7">
        <w:rPr>
          <w:b/>
        </w:rPr>
        <w:t xml:space="preserve">транспортных </w:t>
      </w:r>
      <w:r w:rsidR="00111C59" w:rsidRPr="00111C59">
        <w:rPr>
          <w:b/>
        </w:rPr>
        <w:br/>
      </w:r>
      <w:r w:rsidRPr="009A39D7">
        <w:rPr>
          <w:b/>
        </w:rPr>
        <w:t>средств, двигатели которых</w:t>
      </w:r>
      <w:r w:rsidR="00AE498C" w:rsidRPr="00AE498C">
        <w:rPr>
          <w:b/>
        </w:rPr>
        <w:t xml:space="preserve"> </w:t>
      </w:r>
      <w:r w:rsidRPr="009A39D7">
        <w:rPr>
          <w:b/>
        </w:rPr>
        <w:t>работают на газе:</w:t>
      </w:r>
    </w:p>
    <w:p w:rsidR="009A39D7" w:rsidRPr="009A39D7" w:rsidRDefault="009A39D7" w:rsidP="009A39D7">
      <w:pPr>
        <w:rPr>
          <w:b/>
        </w:rPr>
      </w:pPr>
      <w:r w:rsidRPr="009A39D7">
        <w:rPr>
          <w:b/>
        </w:rPr>
        <w:t>Правила</w:t>
      </w:r>
      <w:r w:rsidR="00AE498C">
        <w:rPr>
          <w:b/>
        </w:rPr>
        <w:t xml:space="preserve"> № </w:t>
      </w:r>
      <w:r w:rsidRPr="009A39D7">
        <w:rPr>
          <w:b/>
        </w:rPr>
        <w:t xml:space="preserve">67 (транспортные средства, </w:t>
      </w:r>
      <w:r w:rsidR="00111C59" w:rsidRPr="00111C59">
        <w:rPr>
          <w:b/>
        </w:rPr>
        <w:br/>
      </w:r>
      <w:r w:rsidRPr="009A39D7">
        <w:rPr>
          <w:b/>
        </w:rPr>
        <w:t>работающие на СНГ)</w:t>
      </w:r>
    </w:p>
    <w:p w:rsidR="009A39D7" w:rsidRPr="009A39D7" w:rsidRDefault="00AE498C" w:rsidP="00AE498C">
      <w:pPr>
        <w:pStyle w:val="HChGR"/>
      </w:pPr>
      <w:r w:rsidRPr="00111C59">
        <w:tab/>
      </w:r>
      <w:r w:rsidRPr="00111C59">
        <w:tab/>
      </w:r>
      <w:r w:rsidR="009A39D7" w:rsidRPr="009A39D7">
        <w:t xml:space="preserve">Предложение по поправкам серии 02 </w:t>
      </w:r>
      <w:r w:rsidRPr="00AE498C">
        <w:br/>
      </w:r>
      <w:r w:rsidR="009A39D7" w:rsidRPr="009A39D7">
        <w:t>к Правилам №</w:t>
      </w:r>
      <w:r>
        <w:rPr>
          <w:lang w:val="en-US"/>
        </w:rPr>
        <w:t> </w:t>
      </w:r>
      <w:r w:rsidR="009A39D7" w:rsidRPr="009A39D7">
        <w:t>67 (</w:t>
      </w:r>
      <w:r w:rsidR="009A39D7" w:rsidRPr="009A39D7">
        <w:rPr>
          <w:bCs/>
        </w:rPr>
        <w:t>транспортные средства, работающие на СНГ</w:t>
      </w:r>
      <w:r w:rsidR="009A39D7" w:rsidRPr="009A39D7">
        <w:t>)</w:t>
      </w:r>
    </w:p>
    <w:p w:rsidR="009A39D7" w:rsidRPr="009A39D7" w:rsidRDefault="00AE498C" w:rsidP="00AE498C">
      <w:pPr>
        <w:pStyle w:val="H1GR"/>
        <w:rPr>
          <w:vertAlign w:val="superscript"/>
        </w:rPr>
      </w:pPr>
      <w:r w:rsidRPr="00AE498C">
        <w:tab/>
      </w:r>
      <w:r w:rsidRPr="00AE498C">
        <w:tab/>
      </w:r>
      <w:r w:rsidR="009A39D7" w:rsidRPr="009A39D7">
        <w:t>Представлено экспертом от Германии</w:t>
      </w:r>
      <w:r w:rsidR="009A39D7" w:rsidRPr="00AE498C">
        <w:rPr>
          <w:b w:val="0"/>
          <w:sz w:val="20"/>
        </w:rPr>
        <w:footnoteReference w:customMarkFollows="1" w:id="1"/>
        <w:t>*</w:t>
      </w:r>
    </w:p>
    <w:p w:rsidR="009A39D7" w:rsidRPr="009A39D7" w:rsidRDefault="00AE498C" w:rsidP="00AE498C">
      <w:pPr>
        <w:pStyle w:val="SingleTxtGR"/>
      </w:pPr>
      <w:r w:rsidRPr="00111C59">
        <w:tab/>
      </w:r>
      <w:r w:rsidR="009A39D7" w:rsidRPr="009A39D7">
        <w:t>Воспроизведенный ниже текст был подготовлен экспертом от Германии, с тем чтобы предложить новую серию поправок к Правилам № 67 для усове</w:t>
      </w:r>
      <w:r w:rsidR="009A39D7" w:rsidRPr="009A39D7">
        <w:t>р</w:t>
      </w:r>
      <w:r w:rsidR="009A39D7" w:rsidRPr="009A39D7">
        <w:t>шенствования технических требований относительно клапанных групп, уст</w:t>
      </w:r>
      <w:r w:rsidR="009A39D7" w:rsidRPr="009A39D7">
        <w:t>а</w:t>
      </w:r>
      <w:r w:rsidR="009A39D7" w:rsidRPr="009A39D7">
        <w:t xml:space="preserve">новленных на транспортных средствах, работающих на сжиженном нефтяном газе (СНГ), а также технических требований об установке и осмотре баллонов </w:t>
      </w:r>
      <w:proofErr w:type="gramStart"/>
      <w:r w:rsidR="009A39D7" w:rsidRPr="009A39D7">
        <w:t>с</w:t>
      </w:r>
      <w:proofErr w:type="gramEnd"/>
      <w:r w:rsidR="009A39D7" w:rsidRPr="009A39D7">
        <w:t xml:space="preserve"> сжиженным природным газом (СПГ) и их вспомогательного оборудования. И</w:t>
      </w:r>
      <w:r w:rsidR="009A39D7" w:rsidRPr="009A39D7">
        <w:t>з</w:t>
      </w:r>
      <w:r w:rsidR="009A39D7" w:rsidRPr="009A39D7">
        <w:t>менения к нынешнему тексту Правил № 67 выделены жирным шрифтом в сл</w:t>
      </w:r>
      <w:r w:rsidR="009A39D7" w:rsidRPr="009A39D7">
        <w:t>у</w:t>
      </w:r>
      <w:r w:rsidR="009A39D7" w:rsidRPr="009A39D7">
        <w:t>чае новых положений.</w:t>
      </w:r>
    </w:p>
    <w:p w:rsidR="009A39D7" w:rsidRPr="009A39D7" w:rsidRDefault="009A39D7" w:rsidP="00AE498C">
      <w:pPr>
        <w:pStyle w:val="HChGR"/>
      </w:pPr>
      <w:r w:rsidRPr="009A39D7">
        <w:br w:type="page"/>
      </w:r>
      <w:r w:rsidRPr="009A39D7">
        <w:lastRenderedPageBreak/>
        <w:tab/>
      </w:r>
      <w:r w:rsidRPr="009A39D7">
        <w:rPr>
          <w:lang w:val="en-GB"/>
        </w:rPr>
        <w:t>I</w:t>
      </w:r>
      <w:r w:rsidRPr="009A39D7">
        <w:t>.</w:t>
      </w:r>
      <w:r w:rsidRPr="009A39D7">
        <w:tab/>
        <w:t>Предложение</w:t>
      </w:r>
    </w:p>
    <w:p w:rsidR="009A39D7" w:rsidRPr="009A39D7" w:rsidRDefault="009A39D7" w:rsidP="00AE498C">
      <w:pPr>
        <w:pStyle w:val="SingleTxtGR"/>
      </w:pPr>
      <w:r w:rsidRPr="009A39D7">
        <w:rPr>
          <w:i/>
        </w:rPr>
        <w:t xml:space="preserve">Пункты 6.15.8 и 6.15.8.1 </w:t>
      </w:r>
      <w:r w:rsidRPr="009A39D7">
        <w:t>изменить следующим образом:</w:t>
      </w:r>
    </w:p>
    <w:p w:rsidR="009A39D7" w:rsidRPr="009A39D7" w:rsidRDefault="00A128B3" w:rsidP="007B6568">
      <w:pPr>
        <w:pStyle w:val="SingleTxtGR"/>
        <w:ind w:left="2268" w:hanging="1134"/>
      </w:pPr>
      <w:r>
        <w:t>«</w:t>
      </w:r>
      <w:r w:rsidR="009A39D7" w:rsidRPr="009A39D7">
        <w:t>6.15.8</w:t>
      </w:r>
      <w:r w:rsidR="009A39D7" w:rsidRPr="009A39D7">
        <w:tab/>
        <w:t>Положения, касающиеся предохранительного клапана (разгрузо</w:t>
      </w:r>
      <w:r w:rsidR="009A39D7" w:rsidRPr="009A39D7">
        <w:t>ч</w:t>
      </w:r>
      <w:r w:rsidR="009A39D7" w:rsidRPr="009A39D7">
        <w:t xml:space="preserve">ного клапана) </w:t>
      </w:r>
    </w:p>
    <w:p w:rsidR="009A39D7" w:rsidRPr="009A39D7" w:rsidRDefault="009A39D7" w:rsidP="007B6568">
      <w:pPr>
        <w:pStyle w:val="SingleTxtGR"/>
        <w:ind w:left="2268" w:hanging="1134"/>
      </w:pPr>
      <w:r w:rsidRPr="009A39D7">
        <w:t>6.15.8.1</w:t>
      </w:r>
      <w:r w:rsidRPr="009A39D7">
        <w:tab/>
        <w:t>Предохранительный клапан должен устанавливаться внутри балл</w:t>
      </w:r>
      <w:r w:rsidRPr="009A39D7">
        <w:t>о</w:t>
      </w:r>
      <w:r w:rsidRPr="009A39D7">
        <w:t>на или на баллоне в том месте, где топливо находится в газообра</w:t>
      </w:r>
      <w:r w:rsidRPr="009A39D7">
        <w:t>з</w:t>
      </w:r>
      <w:r w:rsidRPr="009A39D7">
        <w:t xml:space="preserve">ном состоянии. </w:t>
      </w:r>
      <w:r w:rsidRPr="009A39D7">
        <w:rPr>
          <w:b/>
        </w:rPr>
        <w:t>Любой элемент, соединяющий п</w:t>
      </w:r>
      <w:r w:rsidRPr="009A39D7">
        <w:rPr>
          <w:b/>
          <w:bCs/>
        </w:rPr>
        <w:t>редохранител</w:t>
      </w:r>
      <w:r w:rsidRPr="009A39D7">
        <w:rPr>
          <w:b/>
          <w:bCs/>
        </w:rPr>
        <w:t>ь</w:t>
      </w:r>
      <w:r w:rsidRPr="009A39D7">
        <w:rPr>
          <w:b/>
          <w:bCs/>
        </w:rPr>
        <w:t>ный клапан с газовой компонентой, изготавливается из мета</w:t>
      </w:r>
      <w:r w:rsidRPr="009A39D7">
        <w:rPr>
          <w:b/>
          <w:bCs/>
        </w:rPr>
        <w:t>л</w:t>
      </w:r>
      <w:r w:rsidRPr="009A39D7">
        <w:rPr>
          <w:b/>
          <w:bCs/>
        </w:rPr>
        <w:t>лического материала</w:t>
      </w:r>
      <w:proofErr w:type="gramStart"/>
      <w:r w:rsidRPr="009A39D7">
        <w:rPr>
          <w:b/>
        </w:rPr>
        <w:t>.</w:t>
      </w:r>
      <w:r w:rsidR="00A128B3">
        <w:t>»</w:t>
      </w:r>
      <w:proofErr w:type="gramEnd"/>
    </w:p>
    <w:p w:rsidR="009A39D7" w:rsidRPr="009A39D7" w:rsidRDefault="009A39D7" w:rsidP="00AE498C">
      <w:pPr>
        <w:pStyle w:val="SingleTxtGR"/>
        <w:rPr>
          <w:i/>
        </w:rPr>
      </w:pPr>
      <w:r w:rsidRPr="009A39D7">
        <w:rPr>
          <w:i/>
        </w:rPr>
        <w:t xml:space="preserve">Пункт 6.15.8.7 </w:t>
      </w:r>
      <w:r w:rsidRPr="009A39D7">
        <w:t>изменить следующим образом:</w:t>
      </w:r>
    </w:p>
    <w:p w:rsidR="009A39D7" w:rsidRPr="009A39D7" w:rsidRDefault="00A128B3" w:rsidP="007B6568">
      <w:pPr>
        <w:pStyle w:val="SingleTxtGR"/>
        <w:ind w:left="2268" w:hanging="1134"/>
      </w:pPr>
      <w:r>
        <w:t>«</w:t>
      </w:r>
      <w:r w:rsidR="009A39D7" w:rsidRPr="009A39D7">
        <w:t>6.15.8.7</w:t>
      </w:r>
      <w:r w:rsidR="009A39D7" w:rsidRPr="009A39D7">
        <w:tab/>
        <w:t>Ограничитель давления дол</w:t>
      </w:r>
      <w:r>
        <w:t>жен быть смонтирован на баллоне</w:t>
      </w:r>
      <w:r w:rsidR="009A39D7" w:rsidRPr="009A39D7">
        <w:t xml:space="preserve"> в том месте, где топливо находится в газообразном состоянии. </w:t>
      </w:r>
      <w:r w:rsidR="009A39D7" w:rsidRPr="009A39D7">
        <w:rPr>
          <w:b/>
        </w:rPr>
        <w:t>Любой элемент, соединяющий п</w:t>
      </w:r>
      <w:r w:rsidR="009A39D7" w:rsidRPr="009A39D7">
        <w:rPr>
          <w:b/>
          <w:bCs/>
        </w:rPr>
        <w:t>редохранительный клапан с газовой компонентой, изготавливается из металлического материала</w:t>
      </w:r>
      <w:proofErr w:type="gramStart"/>
      <w:r w:rsidR="009A39D7" w:rsidRPr="00A128B3">
        <w:rPr>
          <w:b/>
        </w:rPr>
        <w:t>.</w:t>
      </w:r>
      <w:r>
        <w:t>»</w:t>
      </w:r>
      <w:proofErr w:type="gramEnd"/>
    </w:p>
    <w:p w:rsidR="009A39D7" w:rsidRPr="009A39D7" w:rsidRDefault="009A39D7" w:rsidP="00AE498C">
      <w:pPr>
        <w:pStyle w:val="SingleTxtGR"/>
      </w:pPr>
      <w:r w:rsidRPr="008A45EF">
        <w:rPr>
          <w:i/>
        </w:rPr>
        <w:t>Включить новый пункт 17.1.6.1</w:t>
      </w:r>
      <w:r w:rsidRPr="009A39D7">
        <w:t xml:space="preserve"> </w:t>
      </w:r>
      <w:r w:rsidRPr="009A39D7">
        <w:rPr>
          <w:iCs/>
        </w:rPr>
        <w:t>следующего содержания</w:t>
      </w:r>
      <w:r w:rsidRPr="009A39D7">
        <w:t>:</w:t>
      </w:r>
    </w:p>
    <w:p w:rsidR="009A39D7" w:rsidRPr="009A39D7" w:rsidRDefault="00A128B3" w:rsidP="007B6568">
      <w:pPr>
        <w:pStyle w:val="SingleTxtGR"/>
        <w:ind w:left="2268" w:hanging="1134"/>
      </w:pPr>
      <w:r>
        <w:t>«</w:t>
      </w:r>
      <w:r w:rsidR="009A39D7" w:rsidRPr="00A128B3">
        <w:rPr>
          <w:b/>
        </w:rPr>
        <w:t>17.1.6.1</w:t>
      </w:r>
      <w:r w:rsidR="009A39D7" w:rsidRPr="00A128B3">
        <w:rPr>
          <w:b/>
        </w:rPr>
        <w:tab/>
        <w:t>Независимо от положений пункта 17.1.6 к баллону СНГ и его вспомогательному оборудованию обеспечивается достаточный доступ для (периодического) визуального осмотра без необх</w:t>
      </w:r>
      <w:r w:rsidR="009A39D7" w:rsidRPr="00A128B3">
        <w:rPr>
          <w:b/>
        </w:rPr>
        <w:t>о</w:t>
      </w:r>
      <w:r w:rsidR="009A39D7" w:rsidRPr="00A128B3">
        <w:rPr>
          <w:b/>
        </w:rPr>
        <w:t>димости разборки каких-либо элементов или части защитного корпуса</w:t>
      </w:r>
      <w:proofErr w:type="gramStart"/>
      <w:r w:rsidR="009A39D7" w:rsidRPr="00A128B3">
        <w:rPr>
          <w:b/>
        </w:rPr>
        <w:t>.</w:t>
      </w:r>
      <w:r>
        <w:t>»</w:t>
      </w:r>
      <w:proofErr w:type="gramEnd"/>
    </w:p>
    <w:p w:rsidR="009A39D7" w:rsidRPr="009A39D7" w:rsidRDefault="009A39D7" w:rsidP="000274E1">
      <w:pPr>
        <w:pStyle w:val="HChGR"/>
      </w:pPr>
      <w:r w:rsidRPr="009A39D7">
        <w:tab/>
      </w:r>
      <w:r w:rsidRPr="009A39D7">
        <w:rPr>
          <w:lang w:val="en-GB"/>
        </w:rPr>
        <w:t>II</w:t>
      </w:r>
      <w:r w:rsidRPr="009A39D7">
        <w:t>.</w:t>
      </w:r>
      <w:r w:rsidRPr="009A39D7">
        <w:tab/>
        <w:t>Обоснование</w:t>
      </w:r>
    </w:p>
    <w:p w:rsidR="009A39D7" w:rsidRPr="000274E1" w:rsidRDefault="009A39D7" w:rsidP="000274E1">
      <w:pPr>
        <w:pStyle w:val="SingleTxtGR"/>
        <w:rPr>
          <w:i/>
        </w:rPr>
      </w:pPr>
      <w:r w:rsidRPr="000274E1">
        <w:rPr>
          <w:i/>
        </w:rPr>
        <w:t>По пунктам 6.15.8.1 и 6.15.8.7</w:t>
      </w:r>
      <w:r w:rsidRPr="0012440B">
        <w:t>:</w:t>
      </w:r>
    </w:p>
    <w:p w:rsidR="009A39D7" w:rsidRPr="009A39D7" w:rsidRDefault="009A39D7" w:rsidP="000274E1">
      <w:pPr>
        <w:pStyle w:val="SingleTxtGR"/>
      </w:pPr>
      <w:r w:rsidRPr="009A39D7">
        <w:t>1.</w:t>
      </w:r>
      <w:r w:rsidRPr="009A39D7">
        <w:tab/>
        <w:t xml:space="preserve">Настоящее предложение связано с необходимостью усовершенствования предписаний данных Правил. Оно уже было представлено на 112-й сессии </w:t>
      </w:r>
      <w:r w:rsidRPr="009A39D7">
        <w:rPr>
          <w:lang w:val="en-GB"/>
        </w:rPr>
        <w:t>GRSG</w:t>
      </w:r>
      <w:r w:rsidRPr="009A39D7">
        <w:t xml:space="preserve"> на основе неофициальных документов </w:t>
      </w:r>
      <w:r w:rsidRPr="009A39D7">
        <w:rPr>
          <w:lang w:val="en-GB"/>
        </w:rPr>
        <w:t>GRSG</w:t>
      </w:r>
      <w:r w:rsidRPr="009A39D7">
        <w:t xml:space="preserve">-112-31 и </w:t>
      </w:r>
      <w:r w:rsidRPr="009A39D7">
        <w:rPr>
          <w:lang w:val="en-GB"/>
        </w:rPr>
        <w:t>GRSG</w:t>
      </w:r>
      <w:r w:rsidRPr="009A39D7">
        <w:t>-112-32.</w:t>
      </w:r>
    </w:p>
    <w:p w:rsidR="009A39D7" w:rsidRPr="009A39D7" w:rsidRDefault="009A39D7" w:rsidP="000274E1">
      <w:pPr>
        <w:pStyle w:val="SingleTxtGR"/>
      </w:pPr>
      <w:r w:rsidRPr="009A39D7">
        <w:t>2.</w:t>
      </w:r>
      <w:r w:rsidRPr="009A39D7">
        <w:tab/>
        <w:t>В 2014 году в Германии транспортное средство, работающее на СНГ, з</w:t>
      </w:r>
      <w:r w:rsidRPr="009A39D7">
        <w:t>а</w:t>
      </w:r>
      <w:r w:rsidRPr="009A39D7">
        <w:t>горелось в результате ДТП. В ходе проведения спасательных операций баллон с СНГ взорвался, в результате чего десять сотрудников пожарной команды пол</w:t>
      </w:r>
      <w:r w:rsidRPr="009A39D7">
        <w:t>у</w:t>
      </w:r>
      <w:r w:rsidRPr="009A39D7">
        <w:t>чили серьезные ранения.</w:t>
      </w:r>
    </w:p>
    <w:p w:rsidR="009A39D7" w:rsidRPr="009A39D7" w:rsidRDefault="009A39D7" w:rsidP="000274E1">
      <w:pPr>
        <w:pStyle w:val="SingleTxtGR"/>
      </w:pPr>
      <w:r w:rsidRPr="009A39D7">
        <w:t>3.</w:t>
      </w:r>
      <w:r w:rsidRPr="009A39D7">
        <w:tab/>
        <w:t>В контексте этого происшествия орган по официальному утверждению типа Германии (</w:t>
      </w:r>
      <w:r w:rsidRPr="009A39D7">
        <w:rPr>
          <w:lang w:val="en-GB"/>
        </w:rPr>
        <w:t>KBA</w:t>
      </w:r>
      <w:r w:rsidRPr="009A39D7">
        <w:t>) сделал вывод о том, что произошло повреждение патру</w:t>
      </w:r>
      <w:r w:rsidRPr="009A39D7">
        <w:t>б</w:t>
      </w:r>
      <w:r w:rsidRPr="009A39D7">
        <w:t>ка, соединяющего ПК/ОД клапанной группы с газовой компонентой, и что о</w:t>
      </w:r>
      <w:r w:rsidRPr="009A39D7">
        <w:t>б</w:t>
      </w:r>
      <w:r w:rsidRPr="009A39D7">
        <w:t>ломки патрубка заблокировали как ПК, так и ОД, поэтому своевременно пон</w:t>
      </w:r>
      <w:r w:rsidRPr="009A39D7">
        <w:t>и</w:t>
      </w:r>
      <w:r w:rsidRPr="009A39D7">
        <w:t>зить давление не удалось. ПК и ОД были активированы, однако обломки знач</w:t>
      </w:r>
      <w:r w:rsidRPr="009A39D7">
        <w:t>и</w:t>
      </w:r>
      <w:r w:rsidRPr="009A39D7">
        <w:t>тельно ограничили эффективное сечение соответствующего трубопровода и помешали сбросу давления.</w:t>
      </w:r>
    </w:p>
    <w:p w:rsidR="009A39D7" w:rsidRPr="000274E1" w:rsidRDefault="009A39D7" w:rsidP="000274E1">
      <w:pPr>
        <w:pStyle w:val="SingleTxtGR"/>
        <w:rPr>
          <w:i/>
        </w:rPr>
      </w:pPr>
      <w:r w:rsidRPr="000274E1">
        <w:rPr>
          <w:i/>
        </w:rPr>
        <w:t>По пункту 17.1.6.1</w:t>
      </w:r>
      <w:r w:rsidRPr="0012440B">
        <w:t>:</w:t>
      </w:r>
    </w:p>
    <w:p w:rsidR="009A39D7" w:rsidRPr="009A39D7" w:rsidRDefault="009A39D7" w:rsidP="000274E1">
      <w:pPr>
        <w:pStyle w:val="SingleTxtGR"/>
      </w:pPr>
      <w:r w:rsidRPr="009A39D7">
        <w:t>4.</w:t>
      </w:r>
      <w:r w:rsidRPr="009A39D7">
        <w:tab/>
        <w:t>С 2012 года имели место различные случаи разрыва баллонов с компр</w:t>
      </w:r>
      <w:r w:rsidRPr="009A39D7">
        <w:t>и</w:t>
      </w:r>
      <w:r w:rsidRPr="009A39D7">
        <w:t>мированным природным газом (КПГ) типа 1, установленных на транспортных средствах (изготовителя оригинального оборудования (ИОО)), во время заря</w:t>
      </w:r>
      <w:r w:rsidRPr="009A39D7">
        <w:t>д</w:t>
      </w:r>
      <w:r w:rsidRPr="009A39D7">
        <w:t xml:space="preserve">ки. Проведенные расследования показали, что причиной этих разрывов служит коррозия. Еще один изготовитель оригинального оборудования сообщил об </w:t>
      </w:r>
      <w:proofErr w:type="gramStart"/>
      <w:r w:rsidRPr="009A39D7">
        <w:t>аналогичных проблемах</w:t>
      </w:r>
      <w:proofErr w:type="gramEnd"/>
      <w:r w:rsidRPr="009A39D7">
        <w:t xml:space="preserve"> с баллонами типа 1, и после таких происшествий были инициированы отзыв и обмен этих баллонов. Коррозия и иной ущерб характе</w:t>
      </w:r>
      <w:r w:rsidRPr="009A39D7">
        <w:t>р</w:t>
      </w:r>
      <w:r w:rsidRPr="009A39D7">
        <w:t>ны для обычных условий эксплуатации транспортных средств, функциониру</w:t>
      </w:r>
      <w:r w:rsidRPr="009A39D7">
        <w:t>ю</w:t>
      </w:r>
      <w:r w:rsidRPr="009A39D7">
        <w:t>щих не только на КПГ, но и на СНГ. Поэтому было решено внести изменения и в Правила № 67 ООН.</w:t>
      </w:r>
    </w:p>
    <w:p w:rsidR="009A39D7" w:rsidRPr="009A39D7" w:rsidRDefault="009A39D7" w:rsidP="000274E1">
      <w:pPr>
        <w:pStyle w:val="SingleTxtGR"/>
      </w:pPr>
      <w:r w:rsidRPr="009A39D7">
        <w:lastRenderedPageBreak/>
        <w:t>5.</w:t>
      </w:r>
      <w:r w:rsidRPr="009A39D7">
        <w:tab/>
        <w:t xml:space="preserve">Пункт 17.1.6 Правил № 67 ООН гласит, что </w:t>
      </w:r>
      <w:r w:rsidR="003B4414">
        <w:t>«</w:t>
      </w:r>
      <w:r w:rsidRPr="009A39D7">
        <w:t>систему СНГ устанавливают таким образом, чтобы обеспечивалась ее максимальная возможная защита от повреждения, например повреждения, обусловленного смещением элементов оборудования транспортного средства, столкновением, попаданием гравия или же обусловленного погрузкой или разгрузкой транспортного средства либо смещением этого груза</w:t>
      </w:r>
      <w:r w:rsidR="003B4414">
        <w:t>»</w:t>
      </w:r>
      <w:r w:rsidRPr="009A39D7">
        <w:t>. Обычно речь идет об условиях, стимулирующих ко</w:t>
      </w:r>
      <w:r w:rsidRPr="009A39D7">
        <w:t>р</w:t>
      </w:r>
      <w:r w:rsidRPr="009A39D7">
        <w:t>розионное воздействие на защитный корпус и другие виды покрытия, в частн</w:t>
      </w:r>
      <w:r w:rsidRPr="009A39D7">
        <w:t>о</w:t>
      </w:r>
      <w:r w:rsidRPr="009A39D7">
        <w:t>сти баллонов/баков.</w:t>
      </w:r>
    </w:p>
    <w:p w:rsidR="009A39D7" w:rsidRPr="009A39D7" w:rsidRDefault="009A39D7" w:rsidP="000274E1">
      <w:pPr>
        <w:pStyle w:val="SingleTxtGR"/>
      </w:pPr>
      <w:r w:rsidRPr="009A39D7">
        <w:t>6.</w:t>
      </w:r>
      <w:r w:rsidRPr="009A39D7">
        <w:tab/>
        <w:t>И хотя в Правилах № 67 ООН, в отличие от Правил № 110 ООН, никакого четкого требования о</w:t>
      </w:r>
      <w:r w:rsidR="003B4414">
        <w:t xml:space="preserve"> </w:t>
      </w:r>
      <w:r w:rsidRPr="009A39D7">
        <w:t>периодической проверке</w:t>
      </w:r>
      <w:r w:rsidR="003B4414">
        <w:t xml:space="preserve"> </w:t>
      </w:r>
      <w:proofErr w:type="gramStart"/>
      <w:r w:rsidRPr="009A39D7">
        <w:t>баллонов</w:t>
      </w:r>
      <w:proofErr w:type="gramEnd"/>
      <w:r w:rsidRPr="009A39D7">
        <w:t xml:space="preserve"> на соответствие уст</w:t>
      </w:r>
      <w:r w:rsidRPr="009A39D7">
        <w:t>а</w:t>
      </w:r>
      <w:r w:rsidRPr="009A39D7">
        <w:t xml:space="preserve">новленным требованиям не предусмотрено, общая проблема коррозионного воздействия актуальна и для баллонов КПГ. </w:t>
      </w:r>
    </w:p>
    <w:p w:rsidR="00E12C5F" w:rsidRPr="008A45EF" w:rsidRDefault="009A39D7" w:rsidP="000274E1">
      <w:pPr>
        <w:pStyle w:val="SingleTxtGR"/>
      </w:pPr>
      <w:r w:rsidRPr="009A39D7">
        <w:t>7.</w:t>
      </w:r>
      <w:r w:rsidRPr="009A39D7">
        <w:tab/>
        <w:t xml:space="preserve">Пункт 17.8.7, который гласит, что </w:t>
      </w:r>
      <w:r w:rsidR="003B4414">
        <w:t>«</w:t>
      </w:r>
      <w:r w:rsidRPr="009A39D7">
        <w:t>все соединения должны находиться в доступных местах, где их можно осмотреть</w:t>
      </w:r>
      <w:r w:rsidR="003B4414">
        <w:t>»</w:t>
      </w:r>
      <w:r w:rsidRPr="009A39D7">
        <w:t>, также может противоречить и</w:t>
      </w:r>
      <w:r w:rsidRPr="009A39D7">
        <w:t>з</w:t>
      </w:r>
      <w:r w:rsidRPr="009A39D7">
        <w:t>ложенным выше предписаниям. Настоящее предложение нацелено как на в</w:t>
      </w:r>
      <w:r w:rsidRPr="009A39D7">
        <w:t>ы</w:t>
      </w:r>
      <w:r w:rsidRPr="009A39D7">
        <w:t>полнение требования об адекватной защите, так и на обеспечение гарантии д</w:t>
      </w:r>
      <w:r w:rsidRPr="009A39D7">
        <w:t>о</w:t>
      </w:r>
      <w:r w:rsidRPr="009A39D7">
        <w:t>статочного доступа к баллону и его вспомогательному оборудованию для пр</w:t>
      </w:r>
      <w:r w:rsidRPr="009A39D7">
        <w:t>о</w:t>
      </w:r>
      <w:r w:rsidRPr="009A39D7">
        <w:t>ведения регулярного визуального осмотра. Такой доступ может быть обеспечен, например, посредством проведения осмотра через отверстие в защитном корп</w:t>
      </w:r>
      <w:r w:rsidRPr="009A39D7">
        <w:t>у</w:t>
      </w:r>
      <w:r w:rsidRPr="009A39D7">
        <w:t>се.</w:t>
      </w:r>
    </w:p>
    <w:p w:rsidR="000274E1" w:rsidRPr="008A45EF" w:rsidRDefault="000274E1" w:rsidP="000274E1">
      <w:pPr>
        <w:pStyle w:val="SingleTxtGR"/>
        <w:spacing w:before="240" w:after="0"/>
        <w:jc w:val="center"/>
        <w:rPr>
          <w:u w:val="single"/>
        </w:rPr>
      </w:pPr>
      <w:r w:rsidRPr="008A45EF">
        <w:rPr>
          <w:u w:val="single"/>
        </w:rPr>
        <w:tab/>
      </w:r>
      <w:r w:rsidRPr="008A45EF">
        <w:rPr>
          <w:u w:val="single"/>
        </w:rPr>
        <w:tab/>
      </w:r>
      <w:r w:rsidRPr="008A45EF">
        <w:rPr>
          <w:u w:val="single"/>
        </w:rPr>
        <w:tab/>
      </w:r>
    </w:p>
    <w:sectPr w:rsidR="000274E1" w:rsidRPr="008A45EF" w:rsidSect="009A39D7">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8A" w:rsidRPr="00A312BC" w:rsidRDefault="0078058A" w:rsidP="00A312BC"/>
  </w:endnote>
  <w:endnote w:type="continuationSeparator" w:id="0">
    <w:p w:rsidR="0078058A" w:rsidRPr="00A312BC" w:rsidRDefault="007805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7" w:rsidRPr="009A39D7" w:rsidRDefault="009A39D7">
    <w:pPr>
      <w:pStyle w:val="Footer"/>
    </w:pPr>
    <w:r w:rsidRPr="009A39D7">
      <w:rPr>
        <w:b/>
        <w:sz w:val="18"/>
      </w:rPr>
      <w:fldChar w:fldCharType="begin"/>
    </w:r>
    <w:r w:rsidRPr="009A39D7">
      <w:rPr>
        <w:b/>
        <w:sz w:val="18"/>
      </w:rPr>
      <w:instrText xml:space="preserve"> PAGE  \* MERGEFORMAT </w:instrText>
    </w:r>
    <w:r w:rsidRPr="009A39D7">
      <w:rPr>
        <w:b/>
        <w:sz w:val="18"/>
      </w:rPr>
      <w:fldChar w:fldCharType="separate"/>
    </w:r>
    <w:r w:rsidR="00316382">
      <w:rPr>
        <w:b/>
        <w:noProof/>
        <w:sz w:val="18"/>
      </w:rPr>
      <w:t>2</w:t>
    </w:r>
    <w:r w:rsidRPr="009A39D7">
      <w:rPr>
        <w:b/>
        <w:sz w:val="18"/>
      </w:rPr>
      <w:fldChar w:fldCharType="end"/>
    </w:r>
    <w:r>
      <w:rPr>
        <w:b/>
        <w:sz w:val="18"/>
      </w:rPr>
      <w:tab/>
    </w:r>
    <w:r>
      <w:t>GE.17-11937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7" w:rsidRPr="009A39D7" w:rsidRDefault="009A39D7" w:rsidP="009A39D7">
    <w:pPr>
      <w:pStyle w:val="Footer"/>
      <w:tabs>
        <w:tab w:val="clear" w:pos="9639"/>
        <w:tab w:val="right" w:pos="9638"/>
      </w:tabs>
      <w:rPr>
        <w:b/>
        <w:sz w:val="18"/>
      </w:rPr>
    </w:pPr>
    <w:r>
      <w:t>GE.17-11937</w:t>
    </w:r>
    <w:r>
      <w:tab/>
    </w:r>
    <w:r w:rsidRPr="009A39D7">
      <w:rPr>
        <w:b/>
        <w:sz w:val="18"/>
      </w:rPr>
      <w:fldChar w:fldCharType="begin"/>
    </w:r>
    <w:r w:rsidRPr="009A39D7">
      <w:rPr>
        <w:b/>
        <w:sz w:val="18"/>
      </w:rPr>
      <w:instrText xml:space="preserve"> PAGE  \* MERGEFORMAT </w:instrText>
    </w:r>
    <w:r w:rsidRPr="009A39D7">
      <w:rPr>
        <w:b/>
        <w:sz w:val="18"/>
      </w:rPr>
      <w:fldChar w:fldCharType="separate"/>
    </w:r>
    <w:r w:rsidR="00316382">
      <w:rPr>
        <w:b/>
        <w:noProof/>
        <w:sz w:val="18"/>
      </w:rPr>
      <w:t>3</w:t>
    </w:r>
    <w:r w:rsidRPr="009A39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9A39D7" w:rsidRDefault="009A39D7" w:rsidP="009A39D7">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7F561E3A" wp14:editId="25D2A09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17-11937  (R)</w:t>
    </w:r>
    <w:r w:rsidR="008A45EF">
      <w:rPr>
        <w:lang w:val="en-US"/>
      </w:rPr>
      <w:t xml:space="preserve">  11</w:t>
    </w:r>
    <w:r w:rsidR="00AE498C">
      <w:rPr>
        <w:lang w:val="en-US"/>
      </w:rPr>
      <w:t>0817  170817</w:t>
    </w:r>
    <w:r>
      <w:br/>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sidRPr="009A39D7">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GRSG/2017/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8A" w:rsidRPr="001075E9" w:rsidRDefault="0078058A" w:rsidP="001075E9">
      <w:pPr>
        <w:tabs>
          <w:tab w:val="right" w:pos="2155"/>
        </w:tabs>
        <w:spacing w:after="80" w:line="240" w:lineRule="auto"/>
        <w:ind w:left="680"/>
        <w:rPr>
          <w:u w:val="single"/>
        </w:rPr>
      </w:pPr>
      <w:r>
        <w:rPr>
          <w:u w:val="single"/>
        </w:rPr>
        <w:tab/>
      </w:r>
    </w:p>
  </w:footnote>
  <w:footnote w:type="continuationSeparator" w:id="0">
    <w:p w:rsidR="0078058A" w:rsidRDefault="0078058A" w:rsidP="00407B78">
      <w:pPr>
        <w:tabs>
          <w:tab w:val="right" w:pos="2155"/>
        </w:tabs>
        <w:spacing w:after="80"/>
        <w:ind w:left="680"/>
        <w:rPr>
          <w:u w:val="single"/>
        </w:rPr>
      </w:pPr>
      <w:r>
        <w:rPr>
          <w:u w:val="single"/>
        </w:rPr>
        <w:tab/>
      </w:r>
    </w:p>
  </w:footnote>
  <w:footnote w:id="1">
    <w:p w:rsidR="009A39D7" w:rsidRPr="007427CD" w:rsidRDefault="009A39D7" w:rsidP="00AE498C">
      <w:pPr>
        <w:pStyle w:val="FootnoteText"/>
        <w:rPr>
          <w:lang w:val="ru-RU"/>
        </w:rPr>
      </w:pPr>
      <w:r>
        <w:rPr>
          <w:lang w:val="en-US"/>
        </w:rPr>
        <w:tab/>
      </w:r>
      <w:r w:rsidRPr="00AE498C">
        <w:rPr>
          <w:rStyle w:val="FootnoteReference"/>
          <w:sz w:val="20"/>
          <w:vertAlign w:val="baseline"/>
          <w:lang w:val="ru-RU"/>
        </w:rPr>
        <w:t>*</w:t>
      </w:r>
      <w:r w:rsidRPr="00AE498C">
        <w:rPr>
          <w:sz w:val="20"/>
          <w:lang w:val="ru-RU"/>
        </w:rPr>
        <w:tab/>
      </w:r>
      <w:r w:rsidRPr="00EA7967">
        <w:rPr>
          <w:lang w:val="ru-RU"/>
        </w:rPr>
        <w:t xml:space="preserve">В соответствии с программой работы Комитета по внутреннему транспорту </w:t>
      </w:r>
      <w:r w:rsidRPr="00EA7967">
        <w:rPr>
          <w:lang w:val="ru-RU"/>
        </w:rPr>
        <w:br/>
        <w:t>на 201</w:t>
      </w:r>
      <w:r>
        <w:rPr>
          <w:lang w:val="ru-RU"/>
        </w:rPr>
        <w:t>6</w:t>
      </w:r>
      <w:r w:rsidRPr="00EA7967">
        <w:rPr>
          <w:lang w:val="ru-RU"/>
        </w:rPr>
        <w:t>−201</w:t>
      </w:r>
      <w:r>
        <w:rPr>
          <w:lang w:val="ru-RU"/>
        </w:rPr>
        <w:t>7</w:t>
      </w:r>
      <w:r w:rsidRPr="00EA7967">
        <w:rPr>
          <w:lang w:val="ru-RU"/>
        </w:rPr>
        <w:t xml:space="preserve"> годы (</w:t>
      </w:r>
      <w:r w:rsidRPr="006A09CF">
        <w:t>ECE</w:t>
      </w:r>
      <w:r w:rsidRPr="00EA7967">
        <w:rPr>
          <w:lang w:val="ru-RU"/>
        </w:rPr>
        <w:t>/</w:t>
      </w:r>
      <w:r w:rsidRPr="006A09CF">
        <w:t>TRANS</w:t>
      </w:r>
      <w:r w:rsidRPr="00EA7967">
        <w:rPr>
          <w:lang w:val="ru-RU"/>
        </w:rPr>
        <w:t>/2</w:t>
      </w:r>
      <w:r>
        <w:rPr>
          <w:lang w:val="ru-RU"/>
        </w:rPr>
        <w:t>5</w:t>
      </w:r>
      <w:r w:rsidRPr="00EA7967">
        <w:rPr>
          <w:lang w:val="ru-RU"/>
        </w:rPr>
        <w:t>4, пункт</w:t>
      </w:r>
      <w:r w:rsidR="007B6568" w:rsidRPr="007B6568">
        <w:rPr>
          <w:lang w:val="ru-RU"/>
        </w:rPr>
        <w:t xml:space="preserve"> </w:t>
      </w:r>
      <w:r>
        <w:rPr>
          <w:lang w:val="ru-RU"/>
        </w:rPr>
        <w:t>159,</w:t>
      </w:r>
      <w:r w:rsidRPr="00EA7967">
        <w:rPr>
          <w:lang w:val="ru-RU"/>
        </w:rPr>
        <w:t xml:space="preserve"> и </w:t>
      </w:r>
      <w:r w:rsidRPr="006A09CF">
        <w:t>ECE</w:t>
      </w:r>
      <w:r w:rsidRPr="00EA7967">
        <w:rPr>
          <w:lang w:val="ru-RU"/>
        </w:rPr>
        <w:t>/</w:t>
      </w:r>
      <w:r w:rsidRPr="006A09CF">
        <w:t>TRANS</w:t>
      </w:r>
      <w:r>
        <w:rPr>
          <w:lang w:val="ru-RU"/>
        </w:rPr>
        <w:t>/2016</w:t>
      </w:r>
      <w:r w:rsidRPr="00EA7967">
        <w:rPr>
          <w:lang w:val="ru-RU"/>
        </w:rPr>
        <w:t>/</w:t>
      </w:r>
      <w:r>
        <w:rPr>
          <w:lang w:val="ru-RU"/>
        </w:rPr>
        <w:t>28/</w:t>
      </w:r>
      <w:r>
        <w:rPr>
          <w:lang w:val="en-US"/>
        </w:rPr>
        <w:t>Add</w:t>
      </w:r>
      <w:r>
        <w:rPr>
          <w:lang w:val="ru-RU"/>
        </w:rPr>
        <w:t>.1</w:t>
      </w:r>
      <w:r w:rsidRPr="00EA7967">
        <w:rPr>
          <w:lang w:val="ru-RU"/>
        </w:rPr>
        <w:t xml:space="preserve">, </w:t>
      </w:r>
      <w:r>
        <w:rPr>
          <w:lang w:val="ru-RU"/>
        </w:rPr>
        <w:t>направление деятельности 3.1</w:t>
      </w:r>
      <w:r w:rsidRPr="00EA7967">
        <w:rPr>
          <w:lang w:val="ru-RU"/>
        </w:rPr>
        <w:t>) Всемирный форум будет разрабатывать, согласовывать и</w:t>
      </w:r>
      <w:r w:rsidRPr="006A09CF">
        <w:rPr>
          <w:lang w:val="en-US"/>
        </w:rPr>
        <w:t> </w:t>
      </w:r>
      <w:r w:rsidRPr="00EA7967">
        <w:rPr>
          <w:lang w:val="ru-RU"/>
        </w:rPr>
        <w:t xml:space="preserve">обновлять правила в целях улучшения характеристик транспортных средств. </w:t>
      </w:r>
      <w:r w:rsidRPr="007427CD">
        <w:rPr>
          <w:lang w:val="ru-RU"/>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7" w:rsidRPr="009A39D7" w:rsidRDefault="00BB1574">
    <w:pPr>
      <w:pStyle w:val="Header"/>
    </w:pPr>
    <w:fldSimple w:instr=" TITLE  \* MERGEFORMAT ">
      <w:r w:rsidR="001F1064">
        <w:t>ECE/TRANS/WP.29/GRSG/2017/16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7" w:rsidRPr="009A39D7" w:rsidRDefault="00BB1574" w:rsidP="009A39D7">
    <w:pPr>
      <w:pStyle w:val="Header"/>
      <w:jc w:val="right"/>
    </w:pPr>
    <w:fldSimple w:instr=" TITLE  \* MERGEFORMAT ">
      <w:r w:rsidR="001F1064">
        <w:t>ECE/TRANS/WP.29/GRSG/2017/16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8A"/>
    <w:rsid w:val="000274E1"/>
    <w:rsid w:val="00033EE1"/>
    <w:rsid w:val="00042B72"/>
    <w:rsid w:val="000456F9"/>
    <w:rsid w:val="000558BD"/>
    <w:rsid w:val="000B57E7"/>
    <w:rsid w:val="000B6373"/>
    <w:rsid w:val="000E4E5B"/>
    <w:rsid w:val="000F09DF"/>
    <w:rsid w:val="000F61B2"/>
    <w:rsid w:val="001075E9"/>
    <w:rsid w:val="00111C59"/>
    <w:rsid w:val="0012440B"/>
    <w:rsid w:val="00127015"/>
    <w:rsid w:val="0014152F"/>
    <w:rsid w:val="0015686C"/>
    <w:rsid w:val="00180183"/>
    <w:rsid w:val="0018024D"/>
    <w:rsid w:val="0018649F"/>
    <w:rsid w:val="00196389"/>
    <w:rsid w:val="001B3EF6"/>
    <w:rsid w:val="001C7A89"/>
    <w:rsid w:val="001F1064"/>
    <w:rsid w:val="00255343"/>
    <w:rsid w:val="0027151D"/>
    <w:rsid w:val="002A2EFC"/>
    <w:rsid w:val="002B0106"/>
    <w:rsid w:val="002B74B1"/>
    <w:rsid w:val="002C0E18"/>
    <w:rsid w:val="002D5AAC"/>
    <w:rsid w:val="002E5067"/>
    <w:rsid w:val="002F405F"/>
    <w:rsid w:val="002F7EEC"/>
    <w:rsid w:val="00301299"/>
    <w:rsid w:val="00305C08"/>
    <w:rsid w:val="00307FB6"/>
    <w:rsid w:val="00316382"/>
    <w:rsid w:val="00317339"/>
    <w:rsid w:val="00322004"/>
    <w:rsid w:val="003402C2"/>
    <w:rsid w:val="00381C24"/>
    <w:rsid w:val="00387CD4"/>
    <w:rsid w:val="003958D0"/>
    <w:rsid w:val="003A0D43"/>
    <w:rsid w:val="003A48CE"/>
    <w:rsid w:val="003B00E5"/>
    <w:rsid w:val="003B4414"/>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8058A"/>
    <w:rsid w:val="00792497"/>
    <w:rsid w:val="007B6568"/>
    <w:rsid w:val="00806737"/>
    <w:rsid w:val="00825F8D"/>
    <w:rsid w:val="00834B71"/>
    <w:rsid w:val="0086445C"/>
    <w:rsid w:val="00894693"/>
    <w:rsid w:val="008A08D7"/>
    <w:rsid w:val="008A37C8"/>
    <w:rsid w:val="008A45EF"/>
    <w:rsid w:val="008B6909"/>
    <w:rsid w:val="008D53B6"/>
    <w:rsid w:val="008F7609"/>
    <w:rsid w:val="00906890"/>
    <w:rsid w:val="00911BE4"/>
    <w:rsid w:val="00951972"/>
    <w:rsid w:val="009608F3"/>
    <w:rsid w:val="009A24AC"/>
    <w:rsid w:val="009A39D7"/>
    <w:rsid w:val="009C6FE6"/>
    <w:rsid w:val="009D7E7D"/>
    <w:rsid w:val="00A128B3"/>
    <w:rsid w:val="00A14DA8"/>
    <w:rsid w:val="00A312BC"/>
    <w:rsid w:val="00A84021"/>
    <w:rsid w:val="00A84D35"/>
    <w:rsid w:val="00A917B3"/>
    <w:rsid w:val="00AB4B51"/>
    <w:rsid w:val="00AE498C"/>
    <w:rsid w:val="00B10CC7"/>
    <w:rsid w:val="00B36DF7"/>
    <w:rsid w:val="00B539E7"/>
    <w:rsid w:val="00B62458"/>
    <w:rsid w:val="00BB1574"/>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D6AF-B662-4F59-9B86-15A25DCA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4</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ECE/TRANS/WP.29/GRSG/2017/16</vt:lpstr>
      <vt:lpstr>ECE/TRANS/WP.29/GRSG/2017/16</vt:lpstr>
      <vt:lpstr>A/</vt:lpstr>
    </vt:vector>
  </TitlesOfParts>
  <Company>DCM</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ECE/TRANS/WP.29/GRSG/2017/16</dc:title>
  <dc:creator>Sharkina</dc:creator>
  <cp:lastModifiedBy>Benedicte Boudol</cp:lastModifiedBy>
  <cp:revision>2</cp:revision>
  <cp:lastPrinted>2017-08-17T12:49:00Z</cp:lastPrinted>
  <dcterms:created xsi:type="dcterms:W3CDTF">2017-08-17T14:44:00Z</dcterms:created>
  <dcterms:modified xsi:type="dcterms:W3CDTF">2017-08-17T14:44:00Z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