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F39D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F39D9" w:rsidP="006F39D9">
            <w:pPr>
              <w:jc w:val="right"/>
            </w:pPr>
            <w:r w:rsidRPr="006F39D9">
              <w:rPr>
                <w:sz w:val="40"/>
              </w:rPr>
              <w:t>ECE</w:t>
            </w:r>
            <w:r>
              <w:t>/TRANS/WP.29/GRSG/2017/4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F39D9" w:rsidP="00892A2F">
            <w:pPr>
              <w:spacing w:before="240"/>
            </w:pPr>
            <w:r>
              <w:t>Distr. générale</w:t>
            </w:r>
          </w:p>
          <w:p w:rsidR="006F39D9" w:rsidRDefault="006F39D9" w:rsidP="006F39D9">
            <w:pPr>
              <w:spacing w:line="240" w:lineRule="exact"/>
            </w:pPr>
            <w:r>
              <w:t>1</w:t>
            </w:r>
            <w:r w:rsidRPr="006F39D9">
              <w:rPr>
                <w:vertAlign w:val="superscript"/>
              </w:rPr>
              <w:t>er</w:t>
            </w:r>
            <w:r>
              <w:t xml:space="preserve"> février 2017</w:t>
            </w:r>
          </w:p>
          <w:p w:rsidR="006F39D9" w:rsidRDefault="006F39D9" w:rsidP="006F39D9">
            <w:pPr>
              <w:spacing w:line="240" w:lineRule="exact"/>
            </w:pPr>
            <w:r>
              <w:t>Français</w:t>
            </w:r>
          </w:p>
          <w:p w:rsidR="006F39D9" w:rsidRPr="00DB58B5" w:rsidRDefault="006F39D9" w:rsidP="006F39D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F39D9" w:rsidRDefault="006F39D9" w:rsidP="006F39D9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F39D9" w:rsidRDefault="006F39D9" w:rsidP="006F39D9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6F39D9" w:rsidRDefault="006F39D9" w:rsidP="006F39D9">
      <w:pPr>
        <w:spacing w:before="120" w:line="240" w:lineRule="exact"/>
        <w:rPr>
          <w:b/>
        </w:rPr>
      </w:pPr>
      <w:r>
        <w:rPr>
          <w:b/>
        </w:rPr>
        <w:t>112</w:t>
      </w:r>
      <w:r w:rsidRPr="00C932D8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F39D9" w:rsidRDefault="006F39D9" w:rsidP="006F39D9">
      <w:pPr>
        <w:spacing w:line="240" w:lineRule="exact"/>
      </w:pPr>
      <w:r>
        <w:t>Genève, 24-28 avril 2017</w:t>
      </w:r>
    </w:p>
    <w:p w:rsidR="006F39D9" w:rsidRDefault="006F39D9" w:rsidP="006F39D9">
      <w:pPr>
        <w:spacing w:line="240" w:lineRule="exact"/>
      </w:pPr>
      <w:r>
        <w:t>Point 9 de l’ordre du jour provisoire</w:t>
      </w:r>
    </w:p>
    <w:p w:rsidR="006F39D9" w:rsidRPr="00BE3E61" w:rsidRDefault="006F39D9" w:rsidP="006F39D9">
      <w:pPr>
        <w:spacing w:line="240" w:lineRule="exact"/>
        <w:rPr>
          <w:b/>
        </w:rPr>
      </w:pPr>
      <w:r w:rsidRPr="00BE3E61">
        <w:rPr>
          <w:b/>
        </w:rPr>
        <w:t xml:space="preserve">Règlement </w:t>
      </w:r>
      <w:r w:rsidRPr="00BE3E61">
        <w:rPr>
          <w:rFonts w:eastAsia="MS Mincho"/>
          <w:b/>
        </w:rPr>
        <w:t>n</w:t>
      </w:r>
      <w:r w:rsidRPr="00BE3E61">
        <w:rPr>
          <w:rFonts w:eastAsia="MS Mincho"/>
          <w:b/>
          <w:vertAlign w:val="superscript"/>
        </w:rPr>
        <w:t>o</w:t>
      </w:r>
      <w:r w:rsidRPr="00BE3E61">
        <w:rPr>
          <w:b/>
        </w:rPr>
        <w:t> </w:t>
      </w:r>
      <w:r>
        <w:rPr>
          <w:b/>
        </w:rPr>
        <w:t xml:space="preserve">110 </w:t>
      </w:r>
      <w:r w:rsidRPr="00BE3E61">
        <w:rPr>
          <w:b/>
        </w:rPr>
        <w:t>(</w:t>
      </w:r>
      <w:r w:rsidR="00FD13BF">
        <w:rPr>
          <w:b/>
        </w:rPr>
        <w:t>Véhicules alimentés au GNC et au GNL</w:t>
      </w:r>
      <w:r w:rsidRPr="00BE3E61">
        <w:rPr>
          <w:b/>
        </w:rPr>
        <w:t>)</w:t>
      </w:r>
    </w:p>
    <w:p w:rsidR="00FD13BF" w:rsidRPr="00C64780" w:rsidRDefault="00FD13BF" w:rsidP="00FD13B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64780">
        <w:rPr>
          <w:lang w:val="fr-FR"/>
        </w:rPr>
        <w:t xml:space="preserve">Proposition de </w:t>
      </w:r>
      <w:r>
        <w:rPr>
          <w:lang w:val="fr-FR"/>
        </w:rPr>
        <w:t>c</w:t>
      </w:r>
      <w:r w:rsidRPr="00C64780">
        <w:rPr>
          <w:lang w:val="fr-FR"/>
        </w:rPr>
        <w:t>omplément 6 à la série 01 d’amend</w:t>
      </w:r>
      <w:r>
        <w:rPr>
          <w:lang w:val="fr-FR"/>
        </w:rPr>
        <w:t>e</w:t>
      </w:r>
      <w:r w:rsidRPr="00C64780">
        <w:rPr>
          <w:lang w:val="fr-FR"/>
        </w:rPr>
        <w:t xml:space="preserve">ments </w:t>
      </w:r>
      <w:r>
        <w:rPr>
          <w:lang w:val="fr-FR"/>
        </w:rPr>
        <w:br/>
        <w:t>au Règlement</w:t>
      </w:r>
      <w:r w:rsidRPr="00C64780">
        <w:rPr>
          <w:lang w:val="fr-FR"/>
        </w:rPr>
        <w:t xml:space="preserve"> </w:t>
      </w:r>
      <w:r w:rsidRPr="00FD13BF">
        <w:rPr>
          <w:rFonts w:eastAsia="MS Mincho"/>
          <w:lang w:val="fr-FR"/>
        </w:rPr>
        <w:t>n</w:t>
      </w:r>
      <w:r w:rsidRPr="00FD13B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C64780">
        <w:rPr>
          <w:lang w:val="fr-FR"/>
        </w:rPr>
        <w:t xml:space="preserve">110 (Véhicules alimentés au </w:t>
      </w:r>
      <w:r>
        <w:rPr>
          <w:lang w:val="fr-FR"/>
        </w:rPr>
        <w:t xml:space="preserve">GNC </w:t>
      </w:r>
      <w:r>
        <w:rPr>
          <w:lang w:val="fr-FR"/>
        </w:rPr>
        <w:br/>
      </w:r>
      <w:r w:rsidRPr="00C64780">
        <w:rPr>
          <w:lang w:val="fr-FR"/>
        </w:rPr>
        <w:t xml:space="preserve">et au </w:t>
      </w:r>
      <w:r>
        <w:rPr>
          <w:lang w:val="fr-FR"/>
        </w:rPr>
        <w:t>GNL</w:t>
      </w:r>
      <w:r w:rsidRPr="00C64780">
        <w:rPr>
          <w:lang w:val="fr-FR"/>
        </w:rPr>
        <w:t>)</w:t>
      </w:r>
    </w:p>
    <w:p w:rsidR="00FD13BF" w:rsidRPr="00C64780" w:rsidRDefault="00FD13BF" w:rsidP="00FD13BF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64780">
        <w:rPr>
          <w:lang w:val="fr-FR"/>
        </w:rPr>
        <w:t>Communication de l’expert des Pays-Bas</w:t>
      </w:r>
      <w:r w:rsidRPr="00FD13BF">
        <w:rPr>
          <w:b w:val="0"/>
          <w:sz w:val="20"/>
          <w:lang w:val="fr-FR"/>
        </w:rPr>
        <w:footnoteReference w:customMarkFollows="1" w:id="2"/>
        <w:t>*</w:t>
      </w:r>
    </w:p>
    <w:p w:rsidR="00FD13BF" w:rsidRPr="00E636C6" w:rsidRDefault="00FD13BF" w:rsidP="005D35D3">
      <w:pPr>
        <w:pStyle w:val="SingleTxtG"/>
        <w:ind w:firstLine="567"/>
        <w:rPr>
          <w:lang w:val="fr-FR"/>
        </w:rPr>
      </w:pPr>
      <w:r w:rsidRPr="00E636C6">
        <w:rPr>
          <w:lang w:val="fr-FR"/>
        </w:rPr>
        <w:t xml:space="preserve">Le texte ci-après a été établi par l’expert des Pays-Bas afin de </w:t>
      </w:r>
      <w:r>
        <w:rPr>
          <w:lang w:val="fr-FR"/>
        </w:rPr>
        <w:t>corriger</w:t>
      </w:r>
      <w:r w:rsidRPr="00E636C6">
        <w:rPr>
          <w:lang w:val="fr-FR"/>
        </w:rPr>
        <w:t xml:space="preserve"> une erreur dans les d</w:t>
      </w:r>
      <w:r>
        <w:rPr>
          <w:lang w:val="fr-FR"/>
        </w:rPr>
        <w:t>é</w:t>
      </w:r>
      <w:r w:rsidRPr="00E636C6">
        <w:rPr>
          <w:lang w:val="fr-FR"/>
        </w:rPr>
        <w:t xml:space="preserve">finitions </w:t>
      </w:r>
      <w:r>
        <w:rPr>
          <w:lang w:val="fr-FR"/>
        </w:rPr>
        <w:t xml:space="preserve">relatives à la vanne manuelle. </w:t>
      </w:r>
      <w:r w:rsidRPr="00E636C6">
        <w:rPr>
          <w:lang w:val="fr-FR"/>
        </w:rPr>
        <w:t>Il est fondé sur le document informel GRSG-111-20 distribué lors de la 111</w:t>
      </w:r>
      <w:r w:rsidR="005D35D3" w:rsidRPr="005D35D3">
        <w:rPr>
          <w:vertAlign w:val="superscript"/>
          <w:lang w:val="fr-FR"/>
        </w:rPr>
        <w:t>e</w:t>
      </w:r>
      <w:r w:rsidR="005D35D3">
        <w:rPr>
          <w:lang w:val="fr-FR"/>
        </w:rPr>
        <w:t> </w:t>
      </w:r>
      <w:r w:rsidRPr="00E636C6">
        <w:rPr>
          <w:lang w:val="fr-FR"/>
        </w:rPr>
        <w:t xml:space="preserve">session </w:t>
      </w:r>
      <w:r>
        <w:rPr>
          <w:lang w:val="fr-FR"/>
        </w:rPr>
        <w:t xml:space="preserve">du </w:t>
      </w:r>
      <w:r w:rsidRPr="00E636C6">
        <w:rPr>
          <w:lang w:val="fr-FR"/>
        </w:rPr>
        <w:t>Groupe de travail des dispositions générales de sécurité</w:t>
      </w:r>
      <w:r>
        <w:rPr>
          <w:lang w:val="fr-FR"/>
        </w:rPr>
        <w:t xml:space="preserve"> </w:t>
      </w:r>
      <w:r w:rsidRPr="00E636C6">
        <w:rPr>
          <w:lang w:val="fr-FR"/>
        </w:rPr>
        <w:t>(GRSG) (</w:t>
      </w:r>
      <w:r>
        <w:rPr>
          <w:lang w:val="fr-FR"/>
        </w:rPr>
        <w:t>voir le rapport publié sous la cote</w:t>
      </w:r>
      <w:r w:rsidRPr="00E636C6">
        <w:rPr>
          <w:lang w:val="fr-FR"/>
        </w:rPr>
        <w:t xml:space="preserve"> ECE/TRANS/WP.29/</w:t>
      </w:r>
      <w:r w:rsidR="005D35D3">
        <w:rPr>
          <w:lang w:val="fr-FR"/>
        </w:rPr>
        <w:t xml:space="preserve"> </w:t>
      </w:r>
      <w:r w:rsidRPr="00E636C6">
        <w:rPr>
          <w:lang w:val="fr-FR"/>
        </w:rPr>
        <w:t>GRSG/90, par.</w:t>
      </w:r>
      <w:r w:rsidR="005D35D3">
        <w:rPr>
          <w:lang w:val="fr-FR"/>
        </w:rPr>
        <w:t> </w:t>
      </w:r>
      <w:r w:rsidRPr="00E636C6">
        <w:rPr>
          <w:lang w:val="fr-FR"/>
        </w:rPr>
        <w:t xml:space="preserve">34). Les modifications </w:t>
      </w:r>
      <w:r>
        <w:rPr>
          <w:lang w:val="fr-FR"/>
        </w:rPr>
        <w:t xml:space="preserve">qu’il est proposé d’apporter </w:t>
      </w:r>
      <w:r w:rsidRPr="00E636C6">
        <w:rPr>
          <w:lang w:val="fr-FR"/>
        </w:rPr>
        <w:t xml:space="preserve">au texte actuel du Règlement </w:t>
      </w:r>
      <w:r w:rsidR="005D35D3" w:rsidRPr="005D35D3">
        <w:rPr>
          <w:rFonts w:eastAsia="MS Mincho"/>
          <w:lang w:val="fr-FR"/>
        </w:rPr>
        <w:t>n</w:t>
      </w:r>
      <w:r w:rsidR="005D35D3" w:rsidRPr="005D35D3">
        <w:rPr>
          <w:rFonts w:eastAsia="MS Mincho"/>
          <w:vertAlign w:val="superscript"/>
          <w:lang w:val="fr-FR"/>
        </w:rPr>
        <w:t>o</w:t>
      </w:r>
      <w:r w:rsidR="005D35D3">
        <w:rPr>
          <w:lang w:val="fr-FR"/>
        </w:rPr>
        <w:t> </w:t>
      </w:r>
      <w:r w:rsidRPr="00E636C6">
        <w:rPr>
          <w:lang w:val="fr-FR"/>
        </w:rPr>
        <w:t xml:space="preserve">110 figurent en caractères gras pour les ajouts et biffés pour les suppressions. </w:t>
      </w:r>
    </w:p>
    <w:p w:rsidR="00FD13BF" w:rsidRPr="00547480" w:rsidRDefault="00FD13BF" w:rsidP="005D35D3">
      <w:pPr>
        <w:pStyle w:val="HChG"/>
        <w:rPr>
          <w:lang w:val="fr-FR"/>
        </w:rPr>
      </w:pPr>
      <w:r w:rsidRPr="00E636C6">
        <w:rPr>
          <w:lang w:val="fr-FR"/>
        </w:rPr>
        <w:br w:type="page"/>
      </w:r>
      <w:r w:rsidR="005D35D3">
        <w:rPr>
          <w:lang w:val="fr-FR"/>
        </w:rPr>
        <w:lastRenderedPageBreak/>
        <w:tab/>
      </w:r>
      <w:r w:rsidRPr="00547480">
        <w:rPr>
          <w:lang w:val="fr-FR"/>
        </w:rPr>
        <w:t>I.</w:t>
      </w:r>
      <w:r w:rsidRPr="00547480">
        <w:rPr>
          <w:lang w:val="fr-FR"/>
        </w:rPr>
        <w:tab/>
        <w:t>Prop</w:t>
      </w:r>
      <w:r>
        <w:rPr>
          <w:lang w:val="fr-FR"/>
        </w:rPr>
        <w:t>os</w:t>
      </w:r>
      <w:r w:rsidRPr="00547480">
        <w:rPr>
          <w:lang w:val="fr-FR"/>
        </w:rPr>
        <w:t>ition</w:t>
      </w:r>
    </w:p>
    <w:p w:rsidR="00FD13BF" w:rsidRPr="00547480" w:rsidRDefault="00FD13BF" w:rsidP="005D35D3">
      <w:pPr>
        <w:pStyle w:val="SingleTxtG"/>
        <w:keepNext/>
        <w:rPr>
          <w:rFonts w:eastAsia="MS Mincho"/>
          <w:bCs/>
          <w:spacing w:val="-2"/>
          <w:lang w:val="fr-FR" w:eastAsia="ja-JP"/>
        </w:rPr>
      </w:pPr>
      <w:r w:rsidRPr="00547480">
        <w:rPr>
          <w:rFonts w:eastAsia="MS Mincho"/>
          <w:bCs/>
          <w:i/>
          <w:spacing w:val="-2"/>
          <w:lang w:val="fr-FR" w:eastAsia="ja-JP"/>
        </w:rPr>
        <w:t>Paragraphes 4.16 à 4.16.4 (Définitions)</w:t>
      </w:r>
      <w:r w:rsidRPr="005D35D3">
        <w:rPr>
          <w:rFonts w:eastAsia="MS Mincho"/>
          <w:bCs/>
          <w:spacing w:val="-2"/>
          <w:lang w:val="fr-FR" w:eastAsia="ja-JP"/>
        </w:rPr>
        <w:t xml:space="preserve">, </w:t>
      </w:r>
      <w:r>
        <w:rPr>
          <w:rFonts w:eastAsia="MS Mincho"/>
          <w:bCs/>
          <w:spacing w:val="-2"/>
          <w:lang w:val="fr-FR" w:eastAsia="ja-JP"/>
        </w:rPr>
        <w:t>modifier comme suit</w:t>
      </w:r>
      <w:r w:rsidR="005D35D3">
        <w:rPr>
          <w:rFonts w:eastAsia="MS Mincho"/>
          <w:bCs/>
          <w:spacing w:val="-2"/>
          <w:lang w:val="fr-FR" w:eastAsia="ja-JP"/>
        </w:rPr>
        <w:t> :</w:t>
      </w:r>
    </w:p>
    <w:p w:rsidR="00FD13BF" w:rsidRPr="00547480" w:rsidRDefault="00FD13BF" w:rsidP="00A27C08">
      <w:pPr>
        <w:pStyle w:val="SingleTxtG"/>
        <w:keepNext/>
        <w:ind w:left="2268" w:hanging="1134"/>
        <w:rPr>
          <w:rFonts w:eastAsia="MS Mincho"/>
          <w:bCs/>
          <w:spacing w:val="-2"/>
          <w:lang w:val="fr-FR" w:eastAsia="ja-JP"/>
        </w:rPr>
      </w:pPr>
      <w:r>
        <w:rPr>
          <w:rFonts w:eastAsia="MS Mincho"/>
          <w:bCs/>
          <w:spacing w:val="-2"/>
          <w:lang w:val="en-US" w:eastAsia="ja-JP"/>
        </w:rPr>
        <w:t>«</w:t>
      </w:r>
      <w:r w:rsidR="005D35D3">
        <w:rPr>
          <w:rFonts w:eastAsia="MS Mincho"/>
          <w:bCs/>
          <w:spacing w:val="-2"/>
          <w:lang w:val="en-US" w:eastAsia="ja-JP"/>
        </w:rPr>
        <w:t> </w:t>
      </w:r>
      <w:r w:rsidRPr="005B06DD">
        <w:rPr>
          <w:rFonts w:eastAsia="MS Mincho"/>
          <w:bCs/>
          <w:spacing w:val="-2"/>
          <w:lang w:val="en-US" w:eastAsia="ja-JP"/>
        </w:rPr>
        <w:t>4.16</w:t>
      </w:r>
      <w:r w:rsidRPr="005B06DD">
        <w:rPr>
          <w:rFonts w:eastAsia="MS Mincho"/>
          <w:bCs/>
          <w:spacing w:val="-2"/>
          <w:lang w:val="en-US" w:eastAsia="ja-JP"/>
        </w:rPr>
        <w:tab/>
      </w:r>
      <w:r w:rsidRPr="00547480">
        <w:rPr>
          <w:rFonts w:eastAsia="MS Mincho"/>
          <w:bCs/>
          <w:spacing w:val="-2"/>
          <w:lang w:val="fr-FR" w:eastAsia="ja-JP"/>
        </w:rPr>
        <w:t xml:space="preserve">Par </w:t>
      </w:r>
      <w:r w:rsidR="00A27C08">
        <w:rPr>
          <w:lang w:val="en-US"/>
        </w:rPr>
        <w:t>“</w:t>
      </w:r>
      <w:r w:rsidRPr="00547480">
        <w:rPr>
          <w:rFonts w:eastAsia="MS Mincho"/>
          <w:bCs/>
          <w:i/>
          <w:spacing w:val="-2"/>
          <w:lang w:val="fr-FR" w:eastAsia="ja-JP"/>
        </w:rPr>
        <w:t>accessoires fixés au réservoir</w:t>
      </w:r>
      <w:r w:rsidR="00A27C08">
        <w:rPr>
          <w:lang w:val="en-US"/>
        </w:rPr>
        <w:t>”</w:t>
      </w:r>
      <w:r w:rsidRPr="00547480">
        <w:rPr>
          <w:rFonts w:eastAsia="MS Mincho"/>
          <w:bCs/>
          <w:spacing w:val="-2"/>
          <w:lang w:val="fr-FR" w:eastAsia="ja-JP"/>
        </w:rPr>
        <w:t>, les organes suivants (non exclusivement), qui peuvent être soit indépendants soit combinés</w:t>
      </w:r>
      <w:r w:rsidR="005D35D3">
        <w:rPr>
          <w:rFonts w:eastAsia="MS Mincho"/>
          <w:bCs/>
          <w:spacing w:val="-2"/>
          <w:lang w:val="fr-FR" w:eastAsia="ja-JP"/>
        </w:rPr>
        <w:t> </w:t>
      </w:r>
      <w:r w:rsidRPr="00547480">
        <w:rPr>
          <w:rFonts w:eastAsia="MS Mincho"/>
          <w:bCs/>
          <w:spacing w:val="-2"/>
          <w:lang w:val="fr-FR" w:eastAsia="ja-JP"/>
        </w:rPr>
        <w:t>:</w:t>
      </w:r>
    </w:p>
    <w:p w:rsidR="00FD13BF" w:rsidRPr="00547480" w:rsidRDefault="00FD13BF" w:rsidP="005D35D3">
      <w:pPr>
        <w:pStyle w:val="SingleTxtG"/>
        <w:ind w:left="2268" w:hanging="1134"/>
        <w:rPr>
          <w:lang w:val="fr-FR"/>
        </w:rPr>
      </w:pPr>
      <w:r w:rsidRPr="005B06DD">
        <w:rPr>
          <w:lang w:val="en-US"/>
        </w:rPr>
        <w:t>4.16.1</w:t>
      </w:r>
      <w:r w:rsidRPr="005B06DD">
        <w:rPr>
          <w:lang w:val="en-US"/>
        </w:rPr>
        <w:tab/>
      </w:r>
      <w:r w:rsidR="00A27C08">
        <w:rPr>
          <w:lang w:val="en-US"/>
        </w:rPr>
        <w:t>“</w:t>
      </w:r>
      <w:r w:rsidRPr="00547480">
        <w:rPr>
          <w:i/>
          <w:lang w:val="fr-FR"/>
        </w:rPr>
        <w:t>Vanne manuelle</w:t>
      </w:r>
      <w:r w:rsidR="00A27C08">
        <w:rPr>
          <w:lang w:val="en-US"/>
        </w:rPr>
        <w:t>”</w:t>
      </w:r>
      <w:r w:rsidR="00A27C08">
        <w:rPr>
          <w:lang w:val="fr-FR"/>
        </w:rPr>
        <w:t> − </w:t>
      </w:r>
      <w:r w:rsidRPr="00547480">
        <w:rPr>
          <w:strike/>
          <w:lang w:val="fr-FR"/>
        </w:rPr>
        <w:t xml:space="preserve">vanne qui est commandée manuellement </w:t>
      </w:r>
      <w:r w:rsidRPr="00547480">
        <w:rPr>
          <w:b/>
          <w:lang w:val="fr-FR"/>
        </w:rPr>
        <w:t>vanne manuelle</w:t>
      </w:r>
      <w:r w:rsidRPr="00547480">
        <w:rPr>
          <w:lang w:val="fr-FR"/>
        </w:rPr>
        <w:t xml:space="preserve"> </w:t>
      </w:r>
      <w:r>
        <w:rPr>
          <w:b/>
          <w:bCs/>
          <w:lang w:val="fr-FR"/>
        </w:rPr>
        <w:t>répondant à</w:t>
      </w:r>
      <w:r w:rsidRPr="00547480">
        <w:rPr>
          <w:b/>
          <w:bCs/>
          <w:lang w:val="fr-FR"/>
        </w:rPr>
        <w:t xml:space="preserve"> la d</w:t>
      </w:r>
      <w:r>
        <w:rPr>
          <w:b/>
          <w:bCs/>
          <w:lang w:val="fr-FR"/>
        </w:rPr>
        <w:t>é</w:t>
      </w:r>
      <w:r w:rsidR="00A27C08">
        <w:rPr>
          <w:b/>
          <w:bCs/>
          <w:lang w:val="fr-FR"/>
        </w:rPr>
        <w:t>finition du paragraphe </w:t>
      </w:r>
      <w:r w:rsidRPr="00547480">
        <w:rPr>
          <w:b/>
          <w:bCs/>
          <w:lang w:val="fr-FR"/>
        </w:rPr>
        <w:t xml:space="preserve">4.22, fermement fixée sur </w:t>
      </w:r>
      <w:r>
        <w:rPr>
          <w:b/>
          <w:bCs/>
          <w:lang w:val="fr-FR"/>
        </w:rPr>
        <w:t>le réservoir</w:t>
      </w:r>
      <w:r w:rsidR="00A27C08">
        <w:rPr>
          <w:b/>
          <w:bCs/>
          <w:lang w:val="fr-FR"/>
        </w:rPr>
        <w:t> </w:t>
      </w:r>
      <w:r>
        <w:rPr>
          <w:lang w:val="fr-FR"/>
        </w:rPr>
        <w:t>;</w:t>
      </w:r>
    </w:p>
    <w:p w:rsidR="00FD13BF" w:rsidRPr="00CE1526" w:rsidRDefault="00FD13BF" w:rsidP="005D35D3">
      <w:pPr>
        <w:pStyle w:val="SingleTxtG"/>
        <w:ind w:left="2268" w:hanging="1134"/>
        <w:rPr>
          <w:lang w:val="fr-FR"/>
        </w:rPr>
      </w:pPr>
      <w:r w:rsidRPr="005B06DD">
        <w:rPr>
          <w:lang w:val="en-US"/>
        </w:rPr>
        <w:t>4.16.2</w:t>
      </w:r>
      <w:r w:rsidRPr="005B06DD">
        <w:rPr>
          <w:lang w:val="en-US"/>
        </w:rPr>
        <w:tab/>
      </w:r>
      <w:r w:rsidR="00A27C08" w:rsidRPr="00A27C08">
        <w:rPr>
          <w:iCs/>
          <w:lang w:val="en-US"/>
        </w:rPr>
        <w:t>“</w:t>
      </w:r>
      <w:r w:rsidRPr="00CE1526">
        <w:rPr>
          <w:i/>
          <w:iCs/>
          <w:lang w:val="fr-FR"/>
        </w:rPr>
        <w:t>Capteur/témoin de pression</w:t>
      </w:r>
      <w:r w:rsidR="00A27C08" w:rsidRPr="00A27C08">
        <w:rPr>
          <w:iCs/>
          <w:lang w:val="en-US"/>
        </w:rPr>
        <w:t>”</w:t>
      </w:r>
      <w:r w:rsidRPr="00CE1526">
        <w:rPr>
          <w:i/>
          <w:iCs/>
          <w:lang w:val="fr-FR"/>
        </w:rPr>
        <w:t xml:space="preserve"> </w:t>
      </w:r>
      <w:r w:rsidRPr="00CE1526">
        <w:rPr>
          <w:iCs/>
          <w:lang w:val="fr-FR"/>
        </w:rPr>
        <w:t>− dispositif pressurisé qui indique la pression d’un gaz ou d’un liquide</w:t>
      </w:r>
      <w:r w:rsidR="00A27C08">
        <w:rPr>
          <w:iCs/>
          <w:lang w:val="fr-FR"/>
        </w:rPr>
        <w:t> </w:t>
      </w:r>
      <w:r w:rsidRPr="00CE1526">
        <w:rPr>
          <w:iCs/>
          <w:lang w:val="fr-FR"/>
        </w:rPr>
        <w:t>;</w:t>
      </w:r>
    </w:p>
    <w:p w:rsidR="00FD13BF" w:rsidRPr="00CE1526" w:rsidRDefault="00FD13BF" w:rsidP="005D35D3">
      <w:pPr>
        <w:pStyle w:val="SingleTxtG"/>
        <w:ind w:left="2268" w:hanging="1134"/>
        <w:rPr>
          <w:lang w:val="fr-FR"/>
        </w:rPr>
      </w:pPr>
      <w:r w:rsidRPr="005B06DD">
        <w:rPr>
          <w:lang w:val="en-US"/>
        </w:rPr>
        <w:t>4.16.3</w:t>
      </w:r>
      <w:r w:rsidRPr="005B06DD">
        <w:rPr>
          <w:lang w:val="en-US"/>
        </w:rPr>
        <w:tab/>
      </w:r>
      <w:r w:rsidR="00A27C08">
        <w:rPr>
          <w:lang w:val="en-US"/>
        </w:rPr>
        <w:t>“</w:t>
      </w:r>
      <w:r w:rsidRPr="00CE1526">
        <w:rPr>
          <w:i/>
          <w:lang w:val="fr-FR"/>
        </w:rPr>
        <w:t>Limiteur de débit</w:t>
      </w:r>
      <w:r w:rsidR="00A27C08">
        <w:rPr>
          <w:lang w:val="en-US"/>
        </w:rPr>
        <w:t>”</w:t>
      </w:r>
      <w:r w:rsidRPr="00CE1526">
        <w:rPr>
          <w:lang w:val="fr-FR"/>
        </w:rPr>
        <w:t xml:space="preserve"> − soupape qui se ferme automatiquement ou qui limite le débit de gaz lorsque ce dernier dépasse une valeur prédéfinie</w:t>
      </w:r>
      <w:r w:rsidR="00D50C72">
        <w:rPr>
          <w:iCs/>
          <w:lang w:val="fr-FR"/>
        </w:rPr>
        <w:t> </w:t>
      </w:r>
      <w:r w:rsidR="00D50C72" w:rsidRPr="00CE1526">
        <w:rPr>
          <w:iCs/>
          <w:lang w:val="fr-FR"/>
        </w:rPr>
        <w:t>;</w:t>
      </w:r>
    </w:p>
    <w:p w:rsidR="00FD13BF" w:rsidRPr="00CE1526" w:rsidRDefault="00FD13BF" w:rsidP="005D35D3">
      <w:pPr>
        <w:pStyle w:val="SingleTxtG"/>
        <w:ind w:left="2268" w:hanging="1134"/>
        <w:rPr>
          <w:lang w:val="fr-FR"/>
        </w:rPr>
      </w:pPr>
      <w:r w:rsidRPr="005B06DD">
        <w:rPr>
          <w:lang w:val="en-US"/>
        </w:rPr>
        <w:t>4.16.4</w:t>
      </w:r>
      <w:r w:rsidRPr="005B06DD">
        <w:rPr>
          <w:lang w:val="en-US"/>
        </w:rPr>
        <w:tab/>
      </w:r>
      <w:r w:rsidR="00A27C08">
        <w:rPr>
          <w:lang w:val="en-US"/>
        </w:rPr>
        <w:t>“</w:t>
      </w:r>
      <w:r w:rsidRPr="00CE1526">
        <w:rPr>
          <w:i/>
          <w:lang w:val="fr-FR"/>
        </w:rPr>
        <w:t>Capot étanche</w:t>
      </w:r>
      <w:r w:rsidR="00A27C08">
        <w:rPr>
          <w:lang w:val="en-US"/>
        </w:rPr>
        <w:t>”</w:t>
      </w:r>
      <w:r w:rsidRPr="00CE1526">
        <w:rPr>
          <w:lang w:val="fr-FR"/>
        </w:rPr>
        <w:t xml:space="preserve"> − dispositif qui évacue une fuite de gaz vers l’air libre, y</w:t>
      </w:r>
      <w:r w:rsidR="00E82A4C">
        <w:rPr>
          <w:lang w:val="fr-FR"/>
        </w:rPr>
        <w:t> </w:t>
      </w:r>
      <w:r w:rsidRPr="00CE1526">
        <w:rPr>
          <w:lang w:val="fr-FR"/>
        </w:rPr>
        <w:t>compris le tuyau d’aération</w:t>
      </w:r>
      <w:r>
        <w:rPr>
          <w:lang w:val="fr-FR"/>
        </w:rPr>
        <w:t>.</w:t>
      </w:r>
      <w:r w:rsidR="00E82A4C">
        <w:rPr>
          <w:lang w:val="fr-FR"/>
        </w:rPr>
        <w:t> </w:t>
      </w:r>
      <w:r>
        <w:rPr>
          <w:lang w:val="fr-FR"/>
        </w:rPr>
        <w:t>».</w:t>
      </w:r>
    </w:p>
    <w:p w:rsidR="00FD13BF" w:rsidRPr="00CE1526" w:rsidRDefault="00FD13BF" w:rsidP="00D50C72">
      <w:pPr>
        <w:pStyle w:val="SingleTxtG"/>
        <w:keepNext/>
        <w:rPr>
          <w:lang w:val="fr-FR"/>
        </w:rPr>
      </w:pPr>
      <w:r w:rsidRPr="00CE1526">
        <w:rPr>
          <w:i/>
          <w:lang w:val="fr-FR"/>
        </w:rPr>
        <w:t>Paragraphe 4.22</w:t>
      </w:r>
      <w:r w:rsidRPr="00CE1526">
        <w:rPr>
          <w:lang w:val="fr-FR"/>
        </w:rPr>
        <w:t>, modifier comme suit</w:t>
      </w:r>
      <w:r w:rsidR="00D50C72">
        <w:rPr>
          <w:lang w:val="fr-FR"/>
        </w:rPr>
        <w:t> </w:t>
      </w:r>
      <w:r w:rsidRPr="00CE1526">
        <w:rPr>
          <w:lang w:val="fr-FR"/>
        </w:rPr>
        <w:t>:</w:t>
      </w:r>
    </w:p>
    <w:p w:rsidR="00FD13BF" w:rsidRPr="00CE1526" w:rsidRDefault="00FD13BF" w:rsidP="005D35D3">
      <w:pPr>
        <w:pStyle w:val="SingleTxtG"/>
        <w:ind w:left="2268" w:hanging="1134"/>
        <w:rPr>
          <w:rFonts w:eastAsia="MS Mincho"/>
          <w:bCs/>
          <w:spacing w:val="-2"/>
          <w:lang w:val="fr-FR" w:eastAsia="ja-JP"/>
        </w:rPr>
      </w:pPr>
      <w:r w:rsidRPr="00CE1526">
        <w:rPr>
          <w:lang w:val="fr-FR"/>
        </w:rPr>
        <w:t>«</w:t>
      </w:r>
      <w:r w:rsidR="00D50C72">
        <w:rPr>
          <w:lang w:val="fr-FR"/>
        </w:rPr>
        <w:t> </w:t>
      </w:r>
      <w:r w:rsidRPr="00CE1526">
        <w:rPr>
          <w:lang w:val="fr-FR"/>
        </w:rPr>
        <w:t>4.22</w:t>
      </w:r>
      <w:r w:rsidRPr="00CE1526">
        <w:rPr>
          <w:lang w:val="fr-FR"/>
        </w:rPr>
        <w:tab/>
        <w:t xml:space="preserve">Par </w:t>
      </w:r>
      <w:r w:rsidR="00A27C08">
        <w:rPr>
          <w:lang w:val="en-US"/>
        </w:rPr>
        <w:t>“</w:t>
      </w:r>
      <w:r>
        <w:rPr>
          <w:i/>
          <w:lang w:val="fr-FR"/>
        </w:rPr>
        <w:t>vanne manuelle</w:t>
      </w:r>
      <w:r w:rsidR="00A27C08" w:rsidRPr="00A27C08">
        <w:rPr>
          <w:lang w:val="en-US"/>
        </w:rPr>
        <w:t>”</w:t>
      </w:r>
      <w:r>
        <w:rPr>
          <w:i/>
          <w:lang w:val="fr-FR"/>
        </w:rPr>
        <w:t>,</w:t>
      </w:r>
      <w:r w:rsidRPr="00CE1526">
        <w:rPr>
          <w:lang w:val="fr-FR"/>
        </w:rPr>
        <w:t xml:space="preserve"> </w:t>
      </w:r>
      <w:r>
        <w:rPr>
          <w:lang w:val="fr-FR"/>
        </w:rPr>
        <w:t xml:space="preserve">une </w:t>
      </w:r>
      <w:r w:rsidRPr="00CE1526">
        <w:rPr>
          <w:lang w:val="fr-FR"/>
        </w:rPr>
        <w:t xml:space="preserve">vanne </w:t>
      </w:r>
      <w:r>
        <w:rPr>
          <w:strike/>
          <w:lang w:val="fr-FR"/>
        </w:rPr>
        <w:t>manuelle fermement fixée sur la bouteille ou le réservoir</w:t>
      </w:r>
      <w:r w:rsidRPr="00CE1526">
        <w:rPr>
          <w:lang w:val="fr-FR"/>
        </w:rPr>
        <w:t xml:space="preserve"> </w:t>
      </w:r>
      <w:r w:rsidRPr="00CE1526">
        <w:rPr>
          <w:b/>
          <w:bCs/>
          <w:lang w:val="fr-FR"/>
        </w:rPr>
        <w:t>qui est commandée manuellement</w:t>
      </w:r>
      <w:r w:rsidRPr="00D50C72">
        <w:rPr>
          <w:lang w:val="fr-FR"/>
        </w:rPr>
        <w:t>.</w:t>
      </w:r>
      <w:r w:rsidR="00D50C72">
        <w:rPr>
          <w:lang w:val="fr-FR"/>
        </w:rPr>
        <w:t> </w:t>
      </w:r>
      <w:r w:rsidRPr="00D50C72">
        <w:rPr>
          <w:lang w:val="fr-FR"/>
        </w:rPr>
        <w:t>».</w:t>
      </w:r>
    </w:p>
    <w:p w:rsidR="00FD13BF" w:rsidRPr="005B06DD" w:rsidRDefault="00FD13BF" w:rsidP="00D50C72">
      <w:pPr>
        <w:pStyle w:val="HChG"/>
        <w:rPr>
          <w:lang w:val="en-US"/>
        </w:rPr>
      </w:pPr>
      <w:r w:rsidRPr="00CE1526">
        <w:rPr>
          <w:lang w:val="fr-FR"/>
        </w:rPr>
        <w:tab/>
      </w:r>
      <w:r w:rsidRPr="005B06DD">
        <w:rPr>
          <w:lang w:val="en-US"/>
        </w:rPr>
        <w:t>II.</w:t>
      </w:r>
      <w:r w:rsidRPr="005B06DD">
        <w:rPr>
          <w:lang w:val="en-US"/>
        </w:rPr>
        <w:tab/>
        <w:t>Justification</w:t>
      </w:r>
    </w:p>
    <w:p w:rsidR="00F9573C" w:rsidRDefault="00FD13BF" w:rsidP="005D35D3">
      <w:pPr>
        <w:pStyle w:val="SingleTxtG"/>
        <w:ind w:firstLine="567"/>
        <w:rPr>
          <w:lang w:val="fr-FR"/>
        </w:rPr>
      </w:pPr>
      <w:r w:rsidRPr="00CE1526">
        <w:rPr>
          <w:lang w:val="fr-FR"/>
        </w:rPr>
        <w:t xml:space="preserve">La définition de la vanne manuelle en tant qu’accessoire fixé au réservoir </w:t>
      </w:r>
      <w:r w:rsidR="00D50C72">
        <w:rPr>
          <w:lang w:val="fr-FR"/>
        </w:rPr>
        <w:t>(par. </w:t>
      </w:r>
      <w:r w:rsidRPr="00CE1526">
        <w:rPr>
          <w:lang w:val="fr-FR"/>
        </w:rPr>
        <w:t xml:space="preserve">4.16) </w:t>
      </w:r>
      <w:r>
        <w:rPr>
          <w:lang w:val="fr-FR"/>
        </w:rPr>
        <w:t xml:space="preserve">est différente de la définition qui est donnée au </w:t>
      </w:r>
      <w:r w:rsidRPr="00CE1526">
        <w:rPr>
          <w:lang w:val="fr-FR"/>
        </w:rPr>
        <w:t>paragraph</w:t>
      </w:r>
      <w:r>
        <w:rPr>
          <w:lang w:val="fr-FR"/>
        </w:rPr>
        <w:t>e</w:t>
      </w:r>
      <w:r w:rsidR="00D50C72">
        <w:rPr>
          <w:lang w:val="fr-FR"/>
        </w:rPr>
        <w:t> </w:t>
      </w:r>
      <w:r w:rsidRPr="00CE1526">
        <w:rPr>
          <w:lang w:val="fr-FR"/>
        </w:rPr>
        <w:t xml:space="preserve">4.22. </w:t>
      </w:r>
      <w:r w:rsidRPr="00380267">
        <w:rPr>
          <w:lang w:val="fr-FR"/>
        </w:rPr>
        <w:t>Les modifications d’ordre rédactionnel qu’il est propos</w:t>
      </w:r>
      <w:r>
        <w:rPr>
          <w:lang w:val="fr-FR"/>
        </w:rPr>
        <w:t>é</w:t>
      </w:r>
      <w:r w:rsidRPr="00380267">
        <w:rPr>
          <w:lang w:val="fr-FR"/>
        </w:rPr>
        <w:t xml:space="preserve"> d’apporter visent à </w:t>
      </w:r>
      <w:r>
        <w:rPr>
          <w:lang w:val="fr-FR"/>
        </w:rPr>
        <w:t xml:space="preserve">rendre le texte de ces définitions plus clair. </w:t>
      </w:r>
    </w:p>
    <w:p w:rsidR="00D50C72" w:rsidRPr="00D50C72" w:rsidRDefault="00D50C72" w:rsidP="00D50C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0C72" w:rsidRPr="00D50C72" w:rsidSect="006F39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1B" w:rsidRDefault="00F91D1B" w:rsidP="00F95C08">
      <w:pPr>
        <w:spacing w:line="240" w:lineRule="auto"/>
      </w:pPr>
    </w:p>
  </w:endnote>
  <w:endnote w:type="continuationSeparator" w:id="0">
    <w:p w:rsidR="00F91D1B" w:rsidRPr="00AC3823" w:rsidRDefault="00F91D1B" w:rsidP="00AC3823">
      <w:pPr>
        <w:pStyle w:val="Pieddepage"/>
      </w:pPr>
    </w:p>
  </w:endnote>
  <w:endnote w:type="continuationNotice" w:id="1">
    <w:p w:rsidR="00F91D1B" w:rsidRDefault="00F91D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D9" w:rsidRPr="006F39D9" w:rsidRDefault="006F39D9" w:rsidP="006F39D9">
    <w:pPr>
      <w:pStyle w:val="Pieddepage"/>
      <w:tabs>
        <w:tab w:val="right" w:pos="9638"/>
      </w:tabs>
    </w:pPr>
    <w:r w:rsidRPr="006F39D9">
      <w:rPr>
        <w:b/>
        <w:sz w:val="18"/>
      </w:rPr>
      <w:fldChar w:fldCharType="begin"/>
    </w:r>
    <w:r w:rsidRPr="006F39D9">
      <w:rPr>
        <w:b/>
        <w:sz w:val="18"/>
      </w:rPr>
      <w:instrText xml:space="preserve"> PAGE  \* MERGEFORMAT </w:instrText>
    </w:r>
    <w:r w:rsidRPr="006F39D9">
      <w:rPr>
        <w:b/>
        <w:sz w:val="18"/>
      </w:rPr>
      <w:fldChar w:fldCharType="separate"/>
    </w:r>
    <w:r w:rsidR="005F75D0">
      <w:rPr>
        <w:b/>
        <w:noProof/>
        <w:sz w:val="18"/>
      </w:rPr>
      <w:t>2</w:t>
    </w:r>
    <w:r w:rsidRPr="006F39D9">
      <w:rPr>
        <w:b/>
        <w:sz w:val="18"/>
      </w:rPr>
      <w:fldChar w:fldCharType="end"/>
    </w:r>
    <w:r>
      <w:rPr>
        <w:b/>
        <w:sz w:val="18"/>
      </w:rPr>
      <w:tab/>
    </w:r>
    <w:r>
      <w:t>GE.17-01504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D9" w:rsidRPr="006F39D9" w:rsidRDefault="006F39D9" w:rsidP="006F39D9">
    <w:pPr>
      <w:pStyle w:val="Pieddepage"/>
      <w:tabs>
        <w:tab w:val="right" w:pos="9638"/>
      </w:tabs>
      <w:rPr>
        <w:b/>
        <w:sz w:val="18"/>
      </w:rPr>
    </w:pPr>
    <w:r>
      <w:t>GE.17-01504</w:t>
    </w:r>
    <w:r>
      <w:tab/>
    </w:r>
    <w:r w:rsidRPr="006F39D9">
      <w:rPr>
        <w:b/>
        <w:sz w:val="18"/>
      </w:rPr>
      <w:fldChar w:fldCharType="begin"/>
    </w:r>
    <w:r w:rsidRPr="006F39D9">
      <w:rPr>
        <w:b/>
        <w:sz w:val="18"/>
      </w:rPr>
      <w:instrText xml:space="preserve"> PAGE  \* MERGEFORMAT </w:instrText>
    </w:r>
    <w:r w:rsidRPr="006F39D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F39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F39D9" w:rsidRDefault="006F39D9" w:rsidP="006F39D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2B7C2627" wp14:editId="54D0628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17-01504  (F)</w:t>
    </w:r>
    <w:r w:rsidR="00FD13BF">
      <w:rPr>
        <w:sz w:val="20"/>
      </w:rPr>
      <w:t xml:space="preserve">    070217    030317</w:t>
    </w:r>
    <w:r>
      <w:rPr>
        <w:sz w:val="20"/>
      </w:rPr>
      <w:br/>
    </w:r>
    <w:r w:rsidRPr="006F39D9">
      <w:rPr>
        <w:rFonts w:ascii="C39T30Lfz" w:hAnsi="C39T30Lfz"/>
        <w:sz w:val="56"/>
      </w:rPr>
      <w:t></w:t>
    </w:r>
    <w:r w:rsidRPr="006F39D9">
      <w:rPr>
        <w:rFonts w:ascii="C39T30Lfz" w:hAnsi="C39T30Lfz"/>
        <w:sz w:val="56"/>
      </w:rPr>
      <w:t></w:t>
    </w:r>
    <w:r w:rsidRPr="006F39D9">
      <w:rPr>
        <w:rFonts w:ascii="C39T30Lfz" w:hAnsi="C39T30Lfz"/>
        <w:sz w:val="56"/>
      </w:rPr>
      <w:t></w:t>
    </w:r>
    <w:r w:rsidRPr="006F39D9">
      <w:rPr>
        <w:rFonts w:ascii="C39T30Lfz" w:hAnsi="C39T30Lfz"/>
        <w:sz w:val="56"/>
      </w:rPr>
      <w:t></w:t>
    </w:r>
    <w:r w:rsidRPr="006F39D9">
      <w:rPr>
        <w:rFonts w:ascii="C39T30Lfz" w:hAnsi="C39T30Lfz"/>
        <w:sz w:val="56"/>
      </w:rPr>
      <w:t></w:t>
    </w:r>
    <w:r w:rsidRPr="006F39D9">
      <w:rPr>
        <w:rFonts w:ascii="C39T30Lfz" w:hAnsi="C39T30Lfz"/>
        <w:sz w:val="56"/>
      </w:rPr>
      <w:t></w:t>
    </w:r>
    <w:r w:rsidRPr="006F39D9">
      <w:rPr>
        <w:rFonts w:ascii="C39T30Lfz" w:hAnsi="C39T30Lfz"/>
        <w:sz w:val="56"/>
      </w:rPr>
      <w:t></w:t>
    </w:r>
    <w:r w:rsidRPr="006F39D9">
      <w:rPr>
        <w:rFonts w:ascii="C39T30Lfz" w:hAnsi="C39T30Lfz"/>
        <w:sz w:val="56"/>
      </w:rPr>
      <w:t></w:t>
    </w:r>
    <w:r w:rsidRPr="006F39D9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40080" cy="640080"/>
          <wp:effectExtent l="0" t="0" r="7620" b="7620"/>
          <wp:wrapNone/>
          <wp:docPr id="3" name="Image 1" descr="http://undocs.org/m2/QRCode.ashx?DS=ECE/TRANS/WP.29/GRSG/2017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1B" w:rsidRPr="00AC3823" w:rsidRDefault="00F91D1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91D1B" w:rsidRPr="00AC3823" w:rsidRDefault="00F91D1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91D1B" w:rsidRPr="00AC3823" w:rsidRDefault="00F91D1B">
      <w:pPr>
        <w:spacing w:line="240" w:lineRule="auto"/>
        <w:rPr>
          <w:sz w:val="2"/>
          <w:szCs w:val="2"/>
        </w:rPr>
      </w:pPr>
    </w:p>
  </w:footnote>
  <w:footnote w:id="2">
    <w:p w:rsidR="00FD13BF" w:rsidRPr="00547480" w:rsidRDefault="00FD13BF" w:rsidP="00FD13BF">
      <w:pPr>
        <w:pStyle w:val="Notedebasdepage"/>
        <w:rPr>
          <w:lang w:val="fr-FR"/>
        </w:rPr>
      </w:pPr>
      <w:r>
        <w:rPr>
          <w:lang w:val="fr-FR"/>
        </w:rPr>
        <w:tab/>
      </w:r>
      <w:r w:rsidRPr="00547480">
        <w:rPr>
          <w:lang w:val="fr-FR"/>
        </w:rPr>
        <w:t>*</w:t>
      </w:r>
      <w:r w:rsidRPr="00547480">
        <w:rPr>
          <w:lang w:val="fr-FR"/>
        </w:rPr>
        <w:tab/>
        <w:t xml:space="preserve">Conformément au programme de travail du Comité des transports </w:t>
      </w:r>
      <w:r>
        <w:rPr>
          <w:lang w:val="fr-FR"/>
        </w:rPr>
        <w:t>intérieurs pour la période 2016</w:t>
      </w:r>
      <w:r>
        <w:rPr>
          <w:lang w:val="fr-FR"/>
        </w:rPr>
        <w:noBreakHyphen/>
        <w:t>2017 (ECE/TRANS/254, par. </w:t>
      </w:r>
      <w:r w:rsidRPr="00547480">
        <w:rPr>
          <w:lang w:val="fr-FR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</w:t>
      </w:r>
      <w:r>
        <w:rPr>
          <w:lang w:val="fr-FR"/>
        </w:rPr>
        <w:t> </w:t>
      </w:r>
      <w:r w:rsidRPr="00547480">
        <w:rPr>
          <w:lang w:val="fr-FR"/>
        </w:rPr>
        <w:t>vertu</w:t>
      </w:r>
      <w:r>
        <w:rPr>
          <w:lang w:val="fr-FR"/>
        </w:rPr>
        <w:t> </w:t>
      </w:r>
      <w:r w:rsidRPr="00547480">
        <w:rPr>
          <w:lang w:val="fr-FR"/>
        </w:rPr>
        <w:t>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D9" w:rsidRPr="006F39D9" w:rsidRDefault="00F91D1B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D124A">
      <w:t>ECE/TRANS/WP.29/GRSG/2017/4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D9" w:rsidRPr="006F39D9" w:rsidRDefault="00F91D1B" w:rsidP="006F39D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24A">
      <w:t>ECE/TRANS/WP.29/GRSG/2017/4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4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674F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D35D3"/>
    <w:rsid w:val="005F75D0"/>
    <w:rsid w:val="006F39D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27C08"/>
    <w:rsid w:val="00A30353"/>
    <w:rsid w:val="00AC3823"/>
    <w:rsid w:val="00AE323C"/>
    <w:rsid w:val="00AF0CB5"/>
    <w:rsid w:val="00B00181"/>
    <w:rsid w:val="00B00B0D"/>
    <w:rsid w:val="00B765F7"/>
    <w:rsid w:val="00BA0CA9"/>
    <w:rsid w:val="00BD124A"/>
    <w:rsid w:val="00C02897"/>
    <w:rsid w:val="00D3439C"/>
    <w:rsid w:val="00D50C72"/>
    <w:rsid w:val="00DB1831"/>
    <w:rsid w:val="00DC2FDC"/>
    <w:rsid w:val="00DD3BFD"/>
    <w:rsid w:val="00DF6678"/>
    <w:rsid w:val="00E82A4C"/>
    <w:rsid w:val="00E85C74"/>
    <w:rsid w:val="00EA6547"/>
    <w:rsid w:val="00EF2E22"/>
    <w:rsid w:val="00F35BAF"/>
    <w:rsid w:val="00F660DF"/>
    <w:rsid w:val="00F91D1B"/>
    <w:rsid w:val="00F94664"/>
    <w:rsid w:val="00F9573C"/>
    <w:rsid w:val="00F95C08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89137-E886-4B8A-869D-11B44A8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D13BF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ECE/TRANS/WP.29/GRSG/2017/4</vt:lpstr>
    </vt:vector>
  </TitlesOfParts>
  <Company>DCM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ECE/TRANS/WP.29/GRSG/2017/4</dc:title>
  <dc:subject/>
  <dc:creator>Nath V.</dc:creator>
  <cp:keywords/>
  <cp:lastModifiedBy>Bénédicte Boudol</cp:lastModifiedBy>
  <cp:revision>2</cp:revision>
  <cp:lastPrinted>2017-03-03T10:41:00Z</cp:lastPrinted>
  <dcterms:created xsi:type="dcterms:W3CDTF">2017-03-06T13:51:00Z</dcterms:created>
  <dcterms:modified xsi:type="dcterms:W3CDTF">2017-03-06T13:51:00Z</dcterms:modified>
</cp:coreProperties>
</file>