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F95767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FE2B53">
              <w:t>7</w:t>
            </w:r>
            <w:r w:rsidR="001F20EF">
              <w:t>/</w:t>
            </w:r>
            <w:r w:rsidR="00F95767">
              <w:t>4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403EBB" w:rsidP="00D5792F">
            <w:pPr>
              <w:spacing w:line="240" w:lineRule="exact"/>
            </w:pPr>
            <w:r>
              <w:t>1</w:t>
            </w:r>
            <w:r w:rsidR="009A1E55">
              <w:t xml:space="preserve"> </w:t>
            </w:r>
            <w:r>
              <w:t>Febr</w:t>
            </w:r>
            <w:r w:rsidR="00FE2B53">
              <w:t>uar</w:t>
            </w:r>
            <w:r w:rsidR="009A1E55">
              <w:t>y</w:t>
            </w:r>
            <w:r w:rsidR="002B47CA">
              <w:t xml:space="preserve"> 201</w:t>
            </w:r>
            <w:r w:rsidR="00FE2B53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FE2B53">
        <w:rPr>
          <w:b/>
        </w:rPr>
        <w:t>2</w:t>
      </w:r>
      <w:r w:rsidR="0003564D" w:rsidRPr="0020186A">
        <w:rPr>
          <w:b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FE2B53">
        <w:t>24</w:t>
      </w:r>
      <w:r w:rsidR="00B23EBE">
        <w:t>-</w:t>
      </w:r>
      <w:r w:rsidR="00FE2B53">
        <w:t>28</w:t>
      </w:r>
      <w:r w:rsidR="00967ACA">
        <w:t xml:space="preserve"> </w:t>
      </w:r>
      <w:r w:rsidR="00FE2B53">
        <w:t>April</w:t>
      </w:r>
      <w:r w:rsidR="00B53C21" w:rsidRPr="00C64574">
        <w:t xml:space="preserve"> </w:t>
      </w:r>
      <w:r w:rsidR="00856FAA" w:rsidRPr="00C64574">
        <w:t>201</w:t>
      </w:r>
      <w:r w:rsidR="00FE2B53">
        <w:t>7</w:t>
      </w:r>
    </w:p>
    <w:p w:rsidR="00B53C21" w:rsidRPr="00DF418A" w:rsidRDefault="00915EF6" w:rsidP="00C96DF2">
      <w:r w:rsidRPr="00DF418A">
        <w:t xml:space="preserve">Item </w:t>
      </w:r>
      <w:r w:rsidR="00403EBB">
        <w:t>9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F95767">
        <w:rPr>
          <w:b/>
        </w:rPr>
        <w:t>110</w:t>
      </w:r>
      <w:r w:rsidRPr="00DF418A">
        <w:rPr>
          <w:b/>
        </w:rPr>
        <w:t xml:space="preserve"> (</w:t>
      </w:r>
      <w:r w:rsidR="00403EBB">
        <w:rPr>
          <w:b/>
        </w:rPr>
        <w:t xml:space="preserve">CNG and </w:t>
      </w:r>
      <w:r w:rsidR="00F95767">
        <w:rPr>
          <w:b/>
        </w:rPr>
        <w:t>LNG vehicles</w:t>
      </w:r>
      <w:r w:rsidRPr="00DF418A">
        <w:rPr>
          <w:b/>
        </w:rPr>
        <w:t>)</w:t>
      </w:r>
    </w:p>
    <w:p w:rsidR="00DF418A" w:rsidRPr="005C6244" w:rsidRDefault="00DF418A" w:rsidP="00133E6D">
      <w:pPr>
        <w:pStyle w:val="HChG"/>
        <w:tabs>
          <w:tab w:val="clear" w:pos="851"/>
        </w:tabs>
        <w:ind w:firstLine="0"/>
        <w:jc w:val="both"/>
        <w:rPr>
          <w:szCs w:val="28"/>
        </w:rPr>
      </w:pPr>
      <w:r w:rsidRPr="005C6244">
        <w:rPr>
          <w:szCs w:val="28"/>
        </w:rPr>
        <w:t xml:space="preserve">Proposal for </w:t>
      </w:r>
      <w:r w:rsidR="00F95767" w:rsidRPr="005C6244">
        <w:rPr>
          <w:szCs w:val="28"/>
        </w:rPr>
        <w:t>Supplement 6</w:t>
      </w:r>
      <w:r w:rsidR="00557459" w:rsidRPr="005C6244">
        <w:rPr>
          <w:szCs w:val="28"/>
        </w:rPr>
        <w:t xml:space="preserve"> to the 0</w:t>
      </w:r>
      <w:r w:rsidR="00F95767" w:rsidRPr="005C6244">
        <w:rPr>
          <w:szCs w:val="28"/>
        </w:rPr>
        <w:t>1</w:t>
      </w:r>
      <w:r w:rsidR="00557459" w:rsidRPr="005C6244">
        <w:rPr>
          <w:szCs w:val="28"/>
        </w:rPr>
        <w:t xml:space="preserve"> series of amendments to Regulation No. </w:t>
      </w:r>
      <w:r w:rsidR="00F95767" w:rsidRPr="005C6244">
        <w:rPr>
          <w:szCs w:val="28"/>
        </w:rPr>
        <w:t>110</w:t>
      </w:r>
      <w:r w:rsidR="00557459" w:rsidRPr="005C6244">
        <w:rPr>
          <w:szCs w:val="28"/>
        </w:rPr>
        <w:t xml:space="preserve"> (</w:t>
      </w:r>
      <w:r w:rsidR="00403EBB">
        <w:rPr>
          <w:szCs w:val="28"/>
        </w:rPr>
        <w:t xml:space="preserve">CNG and </w:t>
      </w:r>
      <w:r w:rsidR="00F95767" w:rsidRPr="005C6244">
        <w:rPr>
          <w:szCs w:val="28"/>
        </w:rPr>
        <w:t>LNG vehicles</w:t>
      </w:r>
      <w:r w:rsidR="00557459" w:rsidRPr="005C6244">
        <w:rPr>
          <w:szCs w:val="28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253FC">
        <w:t xml:space="preserve">from </w:t>
      </w:r>
      <w:r w:rsidR="00F95767">
        <w:t>the Netherlands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0E2AC1" w:rsidRDefault="0050261A" w:rsidP="00704CB6">
      <w:pPr>
        <w:ind w:left="1134" w:right="1134" w:firstLine="567"/>
        <w:jc w:val="both"/>
      </w:pPr>
      <w:r w:rsidRPr="00C44286">
        <w:t>The text reproduced below was prepared by the expert</w:t>
      </w:r>
      <w:r>
        <w:t xml:space="preserve"> from </w:t>
      </w:r>
      <w:r w:rsidR="00F95767">
        <w:t>the Netherlands</w:t>
      </w:r>
      <w:r w:rsidRPr="00C44286">
        <w:t xml:space="preserve"> </w:t>
      </w:r>
      <w:r w:rsidR="00557459">
        <w:t>to</w:t>
      </w:r>
      <w:r w:rsidR="00043B2C">
        <w:t xml:space="preserve"> </w:t>
      </w:r>
      <w:r w:rsidR="001D551D" w:rsidRPr="00943BD4">
        <w:t>correct an error in the definiti</w:t>
      </w:r>
      <w:r w:rsidR="001D551D">
        <w:t>ons related to the manual valve</w:t>
      </w:r>
      <w:r>
        <w:t xml:space="preserve">. </w:t>
      </w:r>
      <w:r w:rsidR="005C6244" w:rsidRPr="00C44286">
        <w:t xml:space="preserve">It is based </w:t>
      </w:r>
      <w:r w:rsidR="005C6244">
        <w:t xml:space="preserve">on </w:t>
      </w:r>
      <w:r w:rsidR="005C6244" w:rsidRPr="00C44286">
        <w:t>informal document GRSG-1</w:t>
      </w:r>
      <w:r w:rsidR="005C6244">
        <w:t>11</w:t>
      </w:r>
      <w:r w:rsidR="005C6244" w:rsidRPr="00C44286">
        <w:t>-</w:t>
      </w:r>
      <w:r w:rsidR="005C6244">
        <w:t xml:space="preserve">20 </w:t>
      </w:r>
      <w:r w:rsidR="005C6244" w:rsidRPr="00C44286">
        <w:t>distributed during the 1</w:t>
      </w:r>
      <w:r w:rsidR="005C6244">
        <w:t>11</w:t>
      </w:r>
      <w:r w:rsidR="005C6244" w:rsidRPr="00B23EBE">
        <w:t>th</w:t>
      </w:r>
      <w:r w:rsidR="005C6244" w:rsidRPr="00C44286">
        <w:t xml:space="preserve"> session of the Working Party on General Safety Provisions (GRSG) (see report ECE/TRANS/WP.29/GRSG/</w:t>
      </w:r>
      <w:r w:rsidR="005C6244">
        <w:t>90</w:t>
      </w:r>
      <w:r w:rsidR="005C6244" w:rsidRPr="00C44286">
        <w:t xml:space="preserve">, para. </w:t>
      </w:r>
      <w:r w:rsidR="005C6244">
        <w:t>34</w:t>
      </w:r>
      <w:r w:rsidR="005C6244" w:rsidRPr="00C44286">
        <w:t xml:space="preserve">). </w:t>
      </w:r>
      <w:r w:rsidRPr="00C44286">
        <w:t xml:space="preserve">The modifications to the current text </w:t>
      </w:r>
      <w:r>
        <w:t>o</w:t>
      </w:r>
      <w:r w:rsidR="00557459">
        <w:t>f</w:t>
      </w:r>
      <w:r>
        <w:t xml:space="preserve"> UN </w:t>
      </w:r>
      <w:r w:rsidRPr="00C44286">
        <w:t xml:space="preserve">Regulation No. </w:t>
      </w:r>
      <w:r w:rsidR="00F95767">
        <w:t>110</w:t>
      </w:r>
      <w:r w:rsidRPr="00B33A3C">
        <w:t xml:space="preserve"> </w:t>
      </w:r>
      <w:r w:rsidRPr="00C44286">
        <w:t>are marked in bold characters</w:t>
      </w:r>
      <w:r>
        <w:t xml:space="preserve"> </w:t>
      </w:r>
      <w:r w:rsidR="00704CB6">
        <w:t xml:space="preserve">for new </w:t>
      </w:r>
      <w:r>
        <w:t>and strikethrough for deleted characters</w:t>
      </w:r>
      <w:r w:rsidR="005D6B0A" w:rsidRPr="000E2AC1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1D551D" w:rsidRPr="001D551D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1D551D">
        <w:rPr>
          <w:rFonts w:eastAsia="MS Mincho"/>
          <w:bCs/>
          <w:i/>
          <w:spacing w:val="-2"/>
          <w:lang w:eastAsia="ja-JP"/>
        </w:rPr>
        <w:t>Paragraphs 4.16. to 4.16.4.</w:t>
      </w:r>
      <w:r>
        <w:rPr>
          <w:rFonts w:eastAsia="MS Mincho"/>
          <w:bCs/>
          <w:i/>
          <w:spacing w:val="-2"/>
          <w:lang w:eastAsia="ja-JP"/>
        </w:rPr>
        <w:t xml:space="preserve"> (Definitions)</w:t>
      </w:r>
      <w:r w:rsidRPr="001D551D">
        <w:rPr>
          <w:rFonts w:eastAsia="MS Mincho"/>
          <w:bCs/>
          <w:i/>
          <w:spacing w:val="-2"/>
          <w:lang w:eastAsia="ja-JP"/>
        </w:rPr>
        <w:t>,</w:t>
      </w:r>
      <w:r w:rsidRPr="001D551D">
        <w:rPr>
          <w:rFonts w:eastAsia="MS Mincho"/>
          <w:bCs/>
          <w:spacing w:val="-2"/>
          <w:lang w:eastAsia="ja-JP"/>
        </w:rPr>
        <w:t xml:space="preserve"> amend to read:</w:t>
      </w:r>
    </w:p>
    <w:p w:rsidR="001D551D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1D551D">
        <w:rPr>
          <w:rFonts w:eastAsia="MS Mincho"/>
          <w:bCs/>
          <w:spacing w:val="-2"/>
          <w:lang w:eastAsia="ja-JP"/>
        </w:rPr>
        <w:t>"4.16.</w:t>
      </w:r>
      <w:r w:rsidRPr="001D551D">
        <w:rPr>
          <w:rFonts w:eastAsia="MS Mincho"/>
          <w:bCs/>
          <w:spacing w:val="-2"/>
          <w:lang w:eastAsia="ja-JP"/>
        </w:rPr>
        <w:tab/>
        <w:t>"</w:t>
      </w:r>
      <w:r w:rsidRPr="001D551D">
        <w:rPr>
          <w:rFonts w:eastAsia="MS Mincho"/>
          <w:bCs/>
          <w:i/>
          <w:spacing w:val="-2"/>
          <w:lang w:eastAsia="ja-JP"/>
        </w:rPr>
        <w:t>Accessories fitted to the container or tank</w:t>
      </w:r>
      <w:r w:rsidRPr="001D551D">
        <w:rPr>
          <w:rFonts w:eastAsia="MS Mincho"/>
          <w:bCs/>
          <w:spacing w:val="-2"/>
          <w:lang w:eastAsia="ja-JP"/>
        </w:rPr>
        <w:t>" means the following components (but not limited to them), either separate or combined, when fitted to the container or tank.</w:t>
      </w:r>
    </w:p>
    <w:p w:rsidR="001D551D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43BD4">
        <w:t>4.16.1.</w:t>
      </w:r>
      <w:r w:rsidRPr="00943BD4">
        <w:tab/>
        <w:t>"</w:t>
      </w:r>
      <w:r w:rsidRPr="001D551D">
        <w:rPr>
          <w:i/>
        </w:rPr>
        <w:t>Manual valve</w:t>
      </w:r>
      <w:r w:rsidRPr="00943BD4">
        <w:t xml:space="preserve">" means </w:t>
      </w:r>
      <w:r w:rsidRPr="00943BD4">
        <w:rPr>
          <w:strike/>
        </w:rPr>
        <w:t>valve which is operated manually</w:t>
      </w:r>
      <w:r w:rsidRPr="00943BD4">
        <w:t xml:space="preserve"> </w:t>
      </w:r>
      <w:r w:rsidRPr="00943BD4">
        <w:rPr>
          <w:b/>
          <w:bCs/>
        </w:rPr>
        <w:t xml:space="preserve">a manual valve as defined in paragraph 4.22. which is rigidly fixed to the </w:t>
      </w:r>
      <w:r>
        <w:rPr>
          <w:b/>
          <w:bCs/>
        </w:rPr>
        <w:t>container</w:t>
      </w:r>
      <w:r w:rsidRPr="00943BD4">
        <w:rPr>
          <w:b/>
          <w:bCs/>
        </w:rPr>
        <w:t xml:space="preserve"> or tank</w:t>
      </w:r>
      <w:r w:rsidRPr="00943BD4">
        <w:t>.</w:t>
      </w:r>
    </w:p>
    <w:p w:rsidR="001D551D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43BD4">
        <w:t>4.16.2.</w:t>
      </w:r>
      <w:r w:rsidRPr="00943BD4">
        <w:tab/>
      </w:r>
      <w:r w:rsidRPr="00943BD4">
        <w:rPr>
          <w:i/>
          <w:iCs/>
        </w:rPr>
        <w:t xml:space="preserve">"Pressure sensor/indicator" </w:t>
      </w:r>
      <w:r w:rsidRPr="00943BD4">
        <w:t>means a pressurized device which indicates the gas or liquid pressure.</w:t>
      </w:r>
    </w:p>
    <w:p w:rsidR="001D551D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43BD4">
        <w:t>4.16.3.</w:t>
      </w:r>
      <w:r w:rsidRPr="00943BD4">
        <w:tab/>
        <w:t>"</w:t>
      </w:r>
      <w:r w:rsidRPr="001D551D">
        <w:rPr>
          <w:i/>
        </w:rPr>
        <w:t>Excess flow valve</w:t>
      </w:r>
      <w:r w:rsidRPr="00943BD4">
        <w:t>" means valve which automatically shuts off or limits the gas flow when the flow exceeds a set design value.</w:t>
      </w:r>
    </w:p>
    <w:p w:rsidR="001D551D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43BD4">
        <w:t>4.16.4.</w:t>
      </w:r>
      <w:r w:rsidRPr="00943BD4">
        <w:tab/>
        <w:t>"</w:t>
      </w:r>
      <w:r w:rsidRPr="001D551D">
        <w:rPr>
          <w:i/>
        </w:rPr>
        <w:t>Gas-tight housing</w:t>
      </w:r>
      <w:r w:rsidRPr="00943BD4">
        <w:t>" means a device that vents gas leakage to outside the vehicle including the gas ventilation hose.</w:t>
      </w:r>
      <w:r>
        <w:t>"</w:t>
      </w:r>
    </w:p>
    <w:p w:rsidR="001D551D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US"/>
        </w:rPr>
      </w:pPr>
      <w:r>
        <w:rPr>
          <w:i/>
          <w:lang w:val="en-US"/>
        </w:rPr>
        <w:t>P</w:t>
      </w:r>
      <w:r w:rsidRPr="004D0E32">
        <w:rPr>
          <w:i/>
          <w:lang w:val="en-US"/>
        </w:rPr>
        <w:t>aragraph 4.22.</w:t>
      </w:r>
      <w:r w:rsidRPr="004D0E32">
        <w:rPr>
          <w:lang w:val="en-US"/>
        </w:rPr>
        <w:t xml:space="preserve">, </w:t>
      </w:r>
      <w:r>
        <w:rPr>
          <w:lang w:val="en-US"/>
        </w:rPr>
        <w:t xml:space="preserve">amend </w:t>
      </w:r>
      <w:r w:rsidRPr="004D0E32">
        <w:rPr>
          <w:lang w:val="en-US"/>
        </w:rPr>
        <w:t>to read:</w:t>
      </w:r>
    </w:p>
    <w:p w:rsidR="00043B2C" w:rsidRPr="00043B2C" w:rsidRDefault="001D551D" w:rsidP="001D551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>
        <w:t>"</w:t>
      </w:r>
      <w:r w:rsidRPr="00943BD4">
        <w:t>4.22.</w:t>
      </w:r>
      <w:r w:rsidRPr="00943BD4">
        <w:tab/>
        <w:t>"</w:t>
      </w:r>
      <w:r w:rsidRPr="009B76E5">
        <w:rPr>
          <w:i/>
        </w:rPr>
        <w:t>Manual valve</w:t>
      </w:r>
      <w:r w:rsidRPr="00943BD4">
        <w:t xml:space="preserve">" means a </w:t>
      </w:r>
      <w:r w:rsidRPr="00943BD4">
        <w:rPr>
          <w:strike/>
        </w:rPr>
        <w:t>manual</w:t>
      </w:r>
      <w:r w:rsidRPr="00943BD4">
        <w:t xml:space="preserve"> valve </w:t>
      </w:r>
      <w:r w:rsidRPr="00943BD4">
        <w:rPr>
          <w:strike/>
        </w:rPr>
        <w:t>rigidly fixed to the cylinder or tank</w:t>
      </w:r>
      <w:r w:rsidRPr="00943BD4">
        <w:t xml:space="preserve"> </w:t>
      </w:r>
      <w:r w:rsidRPr="00943BD4">
        <w:rPr>
          <w:b/>
          <w:bCs/>
        </w:rPr>
        <w:t>which is operated manually</w:t>
      </w:r>
      <w:r w:rsidRPr="00943BD4">
        <w:t>.</w:t>
      </w:r>
      <w:r>
        <w:t>"</w:t>
      </w:r>
    </w:p>
    <w:p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:rsidR="00557459" w:rsidRDefault="009B76E5" w:rsidP="00043B2C">
      <w:pPr>
        <w:pStyle w:val="SingleTxtG"/>
      </w:pPr>
      <w:r>
        <w:t>T</w:t>
      </w:r>
      <w:r w:rsidR="001D551D" w:rsidRPr="00943BD4">
        <w:t xml:space="preserve">he definition </w:t>
      </w:r>
      <w:r w:rsidR="001D551D">
        <w:t xml:space="preserve">of </w:t>
      </w:r>
      <w:r>
        <w:t xml:space="preserve">the </w:t>
      </w:r>
      <w:r w:rsidR="001D551D" w:rsidRPr="00943BD4">
        <w:t xml:space="preserve">manual valve </w:t>
      </w:r>
      <w:r w:rsidR="001D551D">
        <w:t>as part of the</w:t>
      </w:r>
      <w:r w:rsidR="001D551D" w:rsidRPr="00943BD4">
        <w:t xml:space="preserve"> accessories fitted to the container</w:t>
      </w:r>
      <w:r w:rsidR="001D551D">
        <w:t xml:space="preserve"> </w:t>
      </w:r>
      <w:r w:rsidR="001D551D" w:rsidRPr="00943BD4">
        <w:t>or tank</w:t>
      </w:r>
      <w:r>
        <w:t xml:space="preserve"> (para. 4.16.)</w:t>
      </w:r>
      <w:r w:rsidR="001D551D" w:rsidRPr="00943BD4">
        <w:t xml:space="preserve"> is </w:t>
      </w:r>
      <w:r>
        <w:t>different from the definition specified in paragraph 4.22</w:t>
      </w:r>
      <w:r w:rsidR="001D551D" w:rsidRPr="00943BD4">
        <w:t>.</w:t>
      </w:r>
      <w:r w:rsidR="001D551D">
        <w:t xml:space="preserve"> </w:t>
      </w:r>
      <w:r w:rsidR="001D551D" w:rsidRPr="00943BD4">
        <w:t xml:space="preserve">The proposed </w:t>
      </w:r>
      <w:r w:rsidR="001D551D">
        <w:t xml:space="preserve">editorial </w:t>
      </w:r>
      <w:r w:rsidR="001D551D" w:rsidRPr="00943BD4">
        <w:t xml:space="preserve">change </w:t>
      </w:r>
      <w:r>
        <w:t xml:space="preserve">aims at clarifying the </w:t>
      </w:r>
      <w:r w:rsidR="0059201E">
        <w:t xml:space="preserve">text of these </w:t>
      </w:r>
      <w:r>
        <w:t>definitions</w:t>
      </w:r>
      <w:r w:rsidR="00557459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1B" w:rsidRDefault="000E151B"/>
  </w:endnote>
  <w:endnote w:type="continuationSeparator" w:id="0">
    <w:p w:rsidR="000E151B" w:rsidRDefault="000E151B"/>
  </w:endnote>
  <w:endnote w:type="continuationNotice" w:id="1">
    <w:p w:rsidR="000E151B" w:rsidRDefault="000E1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80" w:rsidRPr="00803BF8" w:rsidRDefault="00EC5980" w:rsidP="00803BF8">
    <w:pPr>
      <w:pStyle w:val="Pieddepage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6145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80" w:rsidRPr="00803BF8" w:rsidRDefault="00EC5980" w:rsidP="00803BF8">
    <w:pPr>
      <w:pStyle w:val="Pieddepage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43B2C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F6" w:rsidRDefault="00D629F6" w:rsidP="00D629F6">
    <w:pPr>
      <w:pStyle w:val="Pieddepage"/>
    </w:pPr>
    <w:r w:rsidRPr="00DA43F5">
      <w:rPr>
        <w:rFonts w:ascii="C39T30Lfz" w:hAnsi="C39T30Lfz"/>
        <w:noProof/>
        <w:sz w:val="56"/>
        <w:u w:val="single"/>
        <w:lang w:val="fr-FR" w:eastAsia="fr-FR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29F6" w:rsidRDefault="00D629F6" w:rsidP="00D629F6">
    <w:pPr>
      <w:pStyle w:val="Pieddepage"/>
      <w:ind w:right="1134"/>
      <w:rPr>
        <w:sz w:val="20"/>
      </w:rPr>
    </w:pPr>
    <w:r>
      <w:rPr>
        <w:sz w:val="20"/>
      </w:rPr>
      <w:t>GE.17-01504(E)</w:t>
    </w:r>
  </w:p>
  <w:p w:rsidR="00D629F6" w:rsidRPr="00D629F6" w:rsidRDefault="00D629F6" w:rsidP="00D629F6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6105" cy="636104"/>
          <wp:effectExtent l="0" t="0" r="0" b="0"/>
          <wp:wrapNone/>
          <wp:docPr id="2" name="Picture 1" descr="http://undocs.org/m2/QRCode.ashx?DS=ECE/TRANS/WP.29/GRSG/2017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3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1B" w:rsidRPr="000B175B" w:rsidRDefault="000E15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151B" w:rsidRPr="00FC68B7" w:rsidRDefault="000E15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E151B" w:rsidRDefault="000E151B"/>
  </w:footnote>
  <w:footnote w:id="2">
    <w:p w:rsidR="00EC5980" w:rsidRPr="00B14735" w:rsidRDefault="00EC5980" w:rsidP="00E62CEA">
      <w:pPr>
        <w:pStyle w:val="Notedebasdepage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Appelnotedebasdep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80" w:rsidRPr="00803BF8" w:rsidRDefault="00EC5980">
    <w:pPr>
      <w:pStyle w:val="En-tte"/>
    </w:pPr>
    <w:r>
      <w:t>ECE/TRANS/WP.29/GRSG/</w:t>
    </w:r>
    <w:r w:rsidRPr="00DF418A">
      <w:t>201</w:t>
    </w:r>
    <w:r w:rsidR="00FE2B53">
      <w:t>7</w:t>
    </w:r>
    <w:r>
      <w:t>/</w:t>
    </w:r>
    <w:r w:rsidR="001D551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80" w:rsidRPr="00803BF8" w:rsidRDefault="00EC5980" w:rsidP="00803BF8">
    <w:pPr>
      <w:pStyle w:val="En-tte"/>
      <w:jc w:val="right"/>
    </w:pPr>
    <w:r>
      <w:t>ECE/TRANS/WP.29/GRSG/2016/21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0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2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8"/>
  </w:num>
  <w:num w:numId="21">
    <w:abstractNumId w:val="2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de-DE" w:vendorID="64" w:dllVersion="0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77C89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33FA"/>
    <w:rsid w:val="000D4EB3"/>
    <w:rsid w:val="000D70AC"/>
    <w:rsid w:val="000E034C"/>
    <w:rsid w:val="000E0415"/>
    <w:rsid w:val="000E151B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454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551D"/>
    <w:rsid w:val="001D6907"/>
    <w:rsid w:val="001E0C22"/>
    <w:rsid w:val="001E2593"/>
    <w:rsid w:val="001E47B9"/>
    <w:rsid w:val="001E7B67"/>
    <w:rsid w:val="001F20EF"/>
    <w:rsid w:val="0020186A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3EBB"/>
    <w:rsid w:val="0040438C"/>
    <w:rsid w:val="00410C89"/>
    <w:rsid w:val="00414256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201E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624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63CE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B76E5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213A0"/>
    <w:rsid w:val="00B238A5"/>
    <w:rsid w:val="00B23EBE"/>
    <w:rsid w:val="00B253FC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29F6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E80"/>
    <w:rsid w:val="00E466D9"/>
    <w:rsid w:val="00E502E6"/>
    <w:rsid w:val="00E5085F"/>
    <w:rsid w:val="00E525B6"/>
    <w:rsid w:val="00E55173"/>
    <w:rsid w:val="00E560CA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5767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2B53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2AC51-15E1-4BC6-98B4-A05C5C3D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uiPriority w:val="22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Objetducommentaire">
    <w:name w:val="annotation subject"/>
    <w:basedOn w:val="Commentaire"/>
    <w:next w:val="Commentaire"/>
    <w:semiHidden/>
    <w:rsid w:val="004C3774"/>
    <w:rPr>
      <w:b/>
      <w:bCs/>
    </w:rPr>
  </w:style>
  <w:style w:type="paragraph" w:styleId="Textedebulles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aliases w:val="5_G Car,PP Car"/>
    <w:link w:val="Notedebasdepage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Paragraphedeliste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Titre1Car">
    <w:name w:val="Titre 1 Car"/>
    <w:aliases w:val="Table_G Car"/>
    <w:link w:val="Titre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3DB0-9A42-4973-9BA8-862D9959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1701504</vt:lpstr>
      <vt:lpstr>United Nations</vt:lpstr>
      <vt:lpstr>United Nations</vt:lpstr>
    </vt:vector>
  </TitlesOfParts>
  <Company>CSD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1701504</dc:title>
  <dc:subject>ECE/TRANS/WP.29/GRSG/2017/4</dc:subject>
  <dc:creator>Romain HUBERT</dc:creator>
  <cp:keywords/>
  <dc:description/>
  <cp:lastModifiedBy>Bénédicte Boudol</cp:lastModifiedBy>
  <cp:revision>2</cp:revision>
  <cp:lastPrinted>2016-07-19T15:39:00Z</cp:lastPrinted>
  <dcterms:created xsi:type="dcterms:W3CDTF">2017-03-06T13:50:00Z</dcterms:created>
  <dcterms:modified xsi:type="dcterms:W3CDTF">2017-03-06T13:50:00Z</dcterms:modified>
</cp:coreProperties>
</file>