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204BA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04BA5" w:rsidP="00204BA5">
            <w:pPr>
              <w:jc w:val="right"/>
            </w:pPr>
            <w:r w:rsidRPr="00204BA5">
              <w:rPr>
                <w:sz w:val="40"/>
              </w:rPr>
              <w:t>ECE</w:t>
            </w:r>
            <w:r>
              <w:t>/TRANS/WP.29/GRPE/2018/9</w:t>
            </w:r>
          </w:p>
        </w:tc>
      </w:tr>
      <w:tr w:rsidR="002D5AAC" w:rsidRPr="00720310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04BA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204BA5" w:rsidRDefault="00204BA5" w:rsidP="00204BA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October 2017</w:t>
            </w:r>
          </w:p>
          <w:p w:rsidR="00204BA5" w:rsidRDefault="00204BA5" w:rsidP="00204BA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204BA5" w:rsidRPr="008D53B6" w:rsidRDefault="00204BA5" w:rsidP="00204BA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204BA5" w:rsidRPr="00E97B41" w:rsidRDefault="00204BA5" w:rsidP="00E97B41">
      <w:pPr>
        <w:spacing w:before="120"/>
        <w:rPr>
          <w:sz w:val="28"/>
          <w:szCs w:val="28"/>
        </w:rPr>
      </w:pPr>
      <w:r w:rsidRPr="00E97B41">
        <w:rPr>
          <w:sz w:val="28"/>
          <w:szCs w:val="28"/>
        </w:rPr>
        <w:t xml:space="preserve">Комитет по внутреннему транспорту </w:t>
      </w:r>
    </w:p>
    <w:p w:rsidR="00204BA5" w:rsidRPr="00E97B41" w:rsidRDefault="00204BA5" w:rsidP="00E97B41">
      <w:pPr>
        <w:spacing w:before="120"/>
        <w:rPr>
          <w:b/>
          <w:sz w:val="24"/>
          <w:szCs w:val="24"/>
        </w:rPr>
      </w:pPr>
      <w:r w:rsidRPr="00E97B41">
        <w:rPr>
          <w:b/>
          <w:sz w:val="24"/>
          <w:szCs w:val="24"/>
        </w:rPr>
        <w:t xml:space="preserve">Всемирный форум для согласования правил </w:t>
      </w:r>
      <w:r w:rsidR="00E97B41" w:rsidRPr="00E97B41">
        <w:rPr>
          <w:b/>
          <w:sz w:val="24"/>
          <w:szCs w:val="24"/>
        </w:rPr>
        <w:br/>
      </w:r>
      <w:r w:rsidRPr="00E97B41">
        <w:rPr>
          <w:b/>
          <w:sz w:val="24"/>
          <w:szCs w:val="24"/>
        </w:rPr>
        <w:t xml:space="preserve">в области транспортных средств </w:t>
      </w:r>
    </w:p>
    <w:p w:rsidR="00204BA5" w:rsidRPr="00E97B41" w:rsidRDefault="00204BA5" w:rsidP="00E97B41">
      <w:pPr>
        <w:spacing w:before="120"/>
        <w:rPr>
          <w:b/>
        </w:rPr>
      </w:pPr>
      <w:r w:rsidRPr="00E97B41">
        <w:rPr>
          <w:b/>
        </w:rPr>
        <w:t xml:space="preserve">Рабочая группа по проблемам энергии </w:t>
      </w:r>
      <w:r w:rsidR="00E97B41" w:rsidRPr="00E97B41">
        <w:rPr>
          <w:b/>
        </w:rPr>
        <w:br/>
      </w:r>
      <w:r w:rsidRPr="00E97B41">
        <w:rPr>
          <w:b/>
        </w:rPr>
        <w:t>и загрязнения  окружающей среды</w:t>
      </w:r>
    </w:p>
    <w:p w:rsidR="00204BA5" w:rsidRPr="00E97B41" w:rsidRDefault="00204BA5" w:rsidP="00E97B41">
      <w:pPr>
        <w:spacing w:before="120"/>
        <w:rPr>
          <w:b/>
        </w:rPr>
      </w:pPr>
      <w:r w:rsidRPr="00E97B41">
        <w:rPr>
          <w:b/>
        </w:rPr>
        <w:t>Семьдесят шестая сессия</w:t>
      </w:r>
    </w:p>
    <w:p w:rsidR="00204BA5" w:rsidRPr="00E97B41" w:rsidRDefault="00204BA5" w:rsidP="00E97B41">
      <w:r w:rsidRPr="00E97B41">
        <w:t>Женева, 9–12 января 2018 года</w:t>
      </w:r>
    </w:p>
    <w:p w:rsidR="00204BA5" w:rsidRPr="00E97B41" w:rsidRDefault="00204BA5" w:rsidP="00E97B41">
      <w:r w:rsidRPr="00E97B41">
        <w:t>Пункт 4 a) предварительной повестки дня</w:t>
      </w:r>
    </w:p>
    <w:p w:rsidR="00204BA5" w:rsidRPr="00E97B41" w:rsidRDefault="00204BA5" w:rsidP="00E97B41">
      <w:pPr>
        <w:rPr>
          <w:b/>
        </w:rPr>
      </w:pPr>
      <w:r w:rsidRPr="00E97B41">
        <w:rPr>
          <w:b/>
        </w:rPr>
        <w:t xml:space="preserve">Большегрузные транспортные средства − Правила № 49 </w:t>
      </w:r>
      <w:r w:rsidR="00E97B41" w:rsidRPr="00E97B41">
        <w:rPr>
          <w:b/>
        </w:rPr>
        <w:br/>
      </w:r>
      <w:r w:rsidRPr="00E97B41">
        <w:rPr>
          <w:b/>
        </w:rPr>
        <w:t xml:space="preserve">(выбросы загрязняющих веществ двигателями </w:t>
      </w:r>
      <w:r w:rsidR="00E97B41" w:rsidRPr="00E97B41">
        <w:rPr>
          <w:b/>
        </w:rPr>
        <w:br/>
      </w:r>
      <w:r w:rsidRPr="00E97B41">
        <w:rPr>
          <w:b/>
        </w:rPr>
        <w:t xml:space="preserve">с воспламенением от сжатия и двигателями </w:t>
      </w:r>
      <w:r w:rsidR="00E97B41" w:rsidRPr="00E97B41">
        <w:rPr>
          <w:b/>
        </w:rPr>
        <w:br/>
      </w:r>
      <w:r w:rsidRPr="00E97B41">
        <w:rPr>
          <w:b/>
        </w:rPr>
        <w:t xml:space="preserve">с принудительным зажиганием (СНГ и КПГ)) </w:t>
      </w:r>
      <w:r w:rsidR="00E97B41" w:rsidRPr="00E97B41">
        <w:rPr>
          <w:b/>
        </w:rPr>
        <w:br/>
      </w:r>
      <w:r w:rsidRPr="00E97B41">
        <w:rPr>
          <w:b/>
        </w:rPr>
        <w:t xml:space="preserve">и 132 (модифицированные устройства </w:t>
      </w:r>
      <w:r w:rsidR="00E97B41" w:rsidRPr="00E97B41">
        <w:rPr>
          <w:b/>
        </w:rPr>
        <w:br/>
      </w:r>
      <w:r w:rsidRPr="00E97B41">
        <w:rPr>
          <w:b/>
        </w:rPr>
        <w:t>ограничения выбросов (МУОВ))</w:t>
      </w:r>
    </w:p>
    <w:p w:rsidR="00204BA5" w:rsidRPr="00204BA5" w:rsidRDefault="00204BA5" w:rsidP="00E97B41">
      <w:pPr>
        <w:pStyle w:val="HChGR"/>
      </w:pPr>
      <w:r w:rsidRPr="00204BA5">
        <w:tab/>
      </w:r>
      <w:r w:rsidRPr="00204BA5">
        <w:tab/>
        <w:t>Предложение по новому дополнению к поправкам серии 05 к Правилам № 49 (выбросы загрязняющих веществ двигателями с воспламенением от сжатия  и</w:t>
      </w:r>
      <w:r w:rsidR="00E97B41">
        <w:rPr>
          <w:lang w:val="en-US"/>
        </w:rPr>
        <w:t> </w:t>
      </w:r>
      <w:r w:rsidRPr="00204BA5">
        <w:t xml:space="preserve">двигателями с принудительным зажиганием </w:t>
      </w:r>
      <w:r w:rsidR="00E97B41" w:rsidRPr="00E97B41">
        <w:br/>
      </w:r>
      <w:r w:rsidRPr="00204BA5">
        <w:t>(СНГ и КПГ))</w:t>
      </w:r>
    </w:p>
    <w:p w:rsidR="00204BA5" w:rsidRPr="00204BA5" w:rsidRDefault="00204BA5" w:rsidP="00E97B41">
      <w:pPr>
        <w:pStyle w:val="H1GR"/>
        <w:rPr>
          <w:lang w:val="x-none"/>
        </w:rPr>
      </w:pPr>
      <w:r w:rsidRPr="00204BA5">
        <w:tab/>
      </w:r>
      <w:r w:rsidRPr="00204BA5">
        <w:tab/>
        <w:t>Представлено экспертом от Международной организации предприятий автомобильной промышленности</w:t>
      </w:r>
      <w:r w:rsidRPr="00E97B41">
        <w:rPr>
          <w:b w:val="0"/>
          <w:sz w:val="20"/>
        </w:rPr>
        <w:footnoteReference w:customMarkFollows="1" w:id="1"/>
        <w:t>*</w:t>
      </w:r>
    </w:p>
    <w:p w:rsidR="00204BA5" w:rsidRPr="00204BA5" w:rsidRDefault="00E97B41" w:rsidP="00204BA5">
      <w:pPr>
        <w:pStyle w:val="SingleTxtGR"/>
      </w:pPr>
      <w:r w:rsidRPr="007D199A">
        <w:tab/>
      </w:r>
      <w:r w:rsidR="00204BA5" w:rsidRPr="00204BA5">
        <w:t>Воспроизведенный ниже текст был подготовлен экспертом от Междун</w:t>
      </w:r>
      <w:r w:rsidR="00204BA5" w:rsidRPr="00204BA5">
        <w:t>а</w:t>
      </w:r>
      <w:r w:rsidR="00204BA5" w:rsidRPr="00204BA5">
        <w:t xml:space="preserve">родной организации предприятий автомобильной промышленности (МОПАП) для улучшения так называемого </w:t>
      </w:r>
      <w:r w:rsidR="002A73E4">
        <w:t>«</w:t>
      </w:r>
      <w:r w:rsidR="00204BA5" w:rsidRPr="00204BA5">
        <w:t>требования к выборочной проверке</w:t>
      </w:r>
      <w:r w:rsidR="002A73E4">
        <w:t>»</w:t>
      </w:r>
      <w:r w:rsidR="00204BA5" w:rsidRPr="00204BA5">
        <w:t xml:space="preserve"> и опр</w:t>
      </w:r>
      <w:r w:rsidR="00204BA5" w:rsidRPr="00204BA5">
        <w:t>е</w:t>
      </w:r>
      <w:r w:rsidR="00204BA5" w:rsidRPr="00204BA5">
        <w:t>деления метода округления результатов испытаний, рассчитываемых в соотве</w:t>
      </w:r>
      <w:r w:rsidR="00204BA5" w:rsidRPr="00204BA5">
        <w:t>т</w:t>
      </w:r>
      <w:r w:rsidR="00204BA5" w:rsidRPr="00204BA5">
        <w:t xml:space="preserve">ствии с приложением 4А в поправках серии </w:t>
      </w:r>
      <w:r w:rsidR="00720310">
        <w:t>05 к Правилам № 49. Изменения к</w:t>
      </w:r>
      <w:r w:rsidR="00720310">
        <w:rPr>
          <w:lang w:val="en-US"/>
        </w:rPr>
        <w:t> </w:t>
      </w:r>
      <w:r w:rsidR="00204BA5" w:rsidRPr="00204BA5">
        <w:t>существующему тексту Правил выделены жирным шрифтом в случае новых положений или зачеркиванием в случае исключенных элементов.</w:t>
      </w:r>
    </w:p>
    <w:p w:rsidR="00204BA5" w:rsidRPr="00204BA5" w:rsidRDefault="00204BA5" w:rsidP="00E97B41">
      <w:pPr>
        <w:pStyle w:val="HChGR"/>
      </w:pPr>
      <w:r w:rsidRPr="00204BA5">
        <w:br w:type="page"/>
      </w:r>
      <w:r w:rsidRPr="00204BA5">
        <w:lastRenderedPageBreak/>
        <w:tab/>
        <w:t>I.</w:t>
      </w:r>
      <w:r w:rsidRPr="00204BA5">
        <w:tab/>
        <w:t>Предложение</w:t>
      </w:r>
    </w:p>
    <w:p w:rsidR="00204BA5" w:rsidRPr="00204BA5" w:rsidRDefault="00204BA5" w:rsidP="00204BA5">
      <w:pPr>
        <w:pStyle w:val="SingleTxtGR"/>
      </w:pPr>
      <w:r w:rsidRPr="00204BA5">
        <w:rPr>
          <w:i/>
          <w:iCs/>
        </w:rPr>
        <w:t>Пункт 5.2.3.1</w:t>
      </w:r>
      <w:r w:rsidRPr="00204BA5">
        <w:t xml:space="preserve"> изменить следующим образом:</w:t>
      </w:r>
    </w:p>
    <w:p w:rsidR="00204BA5" w:rsidRPr="00204BA5" w:rsidRDefault="00204BA5" w:rsidP="00463E88">
      <w:pPr>
        <w:pStyle w:val="SingleTxtGR"/>
        <w:ind w:left="2268" w:hanging="1134"/>
      </w:pPr>
      <w:r w:rsidRPr="00204BA5">
        <w:t>«5.2.3.1</w:t>
      </w:r>
      <w:r w:rsidRPr="00204BA5">
        <w:tab/>
        <w:t>Значения удельной массы оксидов азота, измеренные в произвол</w:t>
      </w:r>
      <w:r w:rsidRPr="00204BA5">
        <w:t>ь</w:t>
      </w:r>
      <w:r w:rsidRPr="00204BA5">
        <w:t>но выбранных точках проверки в пределах контрольной зоны в х</w:t>
      </w:r>
      <w:r w:rsidRPr="00204BA5">
        <w:t>о</w:t>
      </w:r>
      <w:r w:rsidRPr="00204BA5">
        <w:t>де испытания ЕSС, не должны превышать более чем на 10% знач</w:t>
      </w:r>
      <w:r w:rsidRPr="00204BA5">
        <w:t>е</w:t>
      </w:r>
      <w:r w:rsidRPr="00204BA5">
        <w:t xml:space="preserve">ния, интерполированные на основе смежных режимов испытаний (см. пункты 5.6.2 и 5.6.3 добавления 1 к приложению 4А) </w:t>
      </w:r>
      <w:r w:rsidRPr="00204BA5">
        <w:rPr>
          <w:b/>
          <w:bCs/>
        </w:rPr>
        <w:t>или пр</w:t>
      </w:r>
      <w:r w:rsidRPr="00204BA5">
        <w:rPr>
          <w:b/>
          <w:bCs/>
        </w:rPr>
        <w:t>е</w:t>
      </w:r>
      <w:r w:rsidRPr="00204BA5">
        <w:rPr>
          <w:b/>
          <w:bCs/>
        </w:rPr>
        <w:t>дельные значения, указанные в таблице 1 в пункте 5.2.1, в з</w:t>
      </w:r>
      <w:r w:rsidRPr="00204BA5">
        <w:rPr>
          <w:b/>
          <w:bCs/>
        </w:rPr>
        <w:t>а</w:t>
      </w:r>
      <w:r w:rsidRPr="00204BA5">
        <w:rPr>
          <w:b/>
          <w:bCs/>
        </w:rPr>
        <w:t>висимости от того, какая величина больше</w:t>
      </w:r>
      <w:r w:rsidRPr="002A73E4">
        <w:rPr>
          <w:bCs/>
        </w:rPr>
        <w:t>»</w:t>
      </w:r>
      <w:r w:rsidRPr="002A73E4">
        <w:t>.</w:t>
      </w:r>
    </w:p>
    <w:p w:rsidR="00204BA5" w:rsidRPr="00204BA5" w:rsidRDefault="00204BA5" w:rsidP="00204BA5">
      <w:pPr>
        <w:pStyle w:val="SingleTxtGR"/>
      </w:pPr>
      <w:r w:rsidRPr="00204BA5">
        <w:rPr>
          <w:i/>
          <w:iCs/>
        </w:rPr>
        <w:t>Приложение 6, включить новый пункт 5</w:t>
      </w:r>
      <w:r w:rsidRPr="00204BA5">
        <w:t xml:space="preserve"> следующего содержания:</w:t>
      </w:r>
    </w:p>
    <w:p w:rsidR="00204BA5" w:rsidRPr="00204BA5" w:rsidRDefault="00204BA5" w:rsidP="00204BA5">
      <w:pPr>
        <w:pStyle w:val="SingleTxtGR"/>
        <w:rPr>
          <w:b/>
        </w:rPr>
      </w:pPr>
      <w:r w:rsidRPr="00204BA5">
        <w:t>«</w:t>
      </w:r>
      <w:r w:rsidRPr="00204BA5">
        <w:rPr>
          <w:b/>
          <w:bCs/>
        </w:rPr>
        <w:t>5.</w:t>
      </w:r>
      <w:r w:rsidRPr="00204BA5">
        <w:tab/>
      </w:r>
      <w:r w:rsidRPr="00204BA5">
        <w:tab/>
      </w:r>
      <w:r w:rsidRPr="00204BA5">
        <w:rPr>
          <w:b/>
          <w:bCs/>
        </w:rPr>
        <w:t>Округление</w:t>
      </w:r>
    </w:p>
    <w:p w:rsidR="00204BA5" w:rsidRPr="00204BA5" w:rsidRDefault="00204BA5" w:rsidP="00463E88">
      <w:pPr>
        <w:pStyle w:val="SingleTxtGR"/>
        <w:ind w:left="2268"/>
        <w:rPr>
          <w:b/>
        </w:rPr>
      </w:pPr>
      <w:r w:rsidRPr="00204BA5">
        <w:rPr>
          <w:b/>
          <w:bCs/>
        </w:rPr>
        <w:t>Окончательный результат испытания округляют до количества знаков с учетом количества десятичных знаков в применимом стандарте на выбросы.</w:t>
      </w:r>
      <w:r w:rsidRPr="00204BA5">
        <w:t xml:space="preserve"> </w:t>
      </w:r>
      <w:r w:rsidRPr="00204BA5">
        <w:rPr>
          <w:b/>
          <w:bCs/>
        </w:rPr>
        <w:t>Округление промежуточных значений, используемых для расчета конечного результата удельных в</w:t>
      </w:r>
      <w:r w:rsidRPr="00204BA5">
        <w:rPr>
          <w:b/>
          <w:bCs/>
        </w:rPr>
        <w:t>ы</w:t>
      </w:r>
      <w:r w:rsidRPr="00204BA5">
        <w:rPr>
          <w:b/>
          <w:bCs/>
        </w:rPr>
        <w:t>бросов в режиме торможения, не допускается</w:t>
      </w:r>
      <w:r w:rsidRPr="002A73E4">
        <w:rPr>
          <w:bCs/>
        </w:rPr>
        <w:t>».</w:t>
      </w:r>
    </w:p>
    <w:p w:rsidR="00204BA5" w:rsidRPr="00463E88" w:rsidRDefault="00463E88" w:rsidP="00463E88">
      <w:pPr>
        <w:pStyle w:val="HChGR"/>
      </w:pPr>
      <w:r w:rsidRPr="007D199A">
        <w:tab/>
      </w:r>
      <w:r w:rsidR="00204BA5" w:rsidRPr="00204BA5">
        <w:t>II.</w:t>
      </w:r>
      <w:r w:rsidR="00204BA5" w:rsidRPr="00204BA5">
        <w:tab/>
        <w:t>Обоснование</w:t>
      </w:r>
    </w:p>
    <w:p w:rsidR="00204BA5" w:rsidRPr="00204BA5" w:rsidRDefault="00463E88" w:rsidP="00463E88">
      <w:pPr>
        <w:pStyle w:val="SingleTxtGR"/>
      </w:pPr>
      <w:r w:rsidRPr="00463E88">
        <w:t>1.</w:t>
      </w:r>
      <w:r w:rsidRPr="00463E88">
        <w:tab/>
      </w:r>
      <w:r w:rsidR="00204BA5" w:rsidRPr="00204BA5">
        <w:t>Требование к выборочной проверке (пункт 5.2.3.1)</w:t>
      </w:r>
    </w:p>
    <w:p w:rsidR="00204BA5" w:rsidRPr="00204BA5" w:rsidRDefault="00463E88" w:rsidP="00204BA5">
      <w:pPr>
        <w:pStyle w:val="SingleTxtGR"/>
      </w:pPr>
      <w:r w:rsidRPr="007D199A">
        <w:tab/>
      </w:r>
      <w:r w:rsidR="00204BA5" w:rsidRPr="00204BA5">
        <w:t>Нынешние положения не позволяют использовать двигатели со знач</w:t>
      </w:r>
      <w:r w:rsidR="00204BA5" w:rsidRPr="00204BA5">
        <w:t>и</w:t>
      </w:r>
      <w:r w:rsidR="00204BA5" w:rsidRPr="00204BA5">
        <w:t>тельно более низкими уровнями выбросов, чем это указано в стандарте ЕВРО</w:t>
      </w:r>
      <w:r w:rsidR="00954E81">
        <w:t> </w:t>
      </w:r>
      <w:r w:rsidR="00204BA5" w:rsidRPr="00204BA5">
        <w:t xml:space="preserve">IV/V (например, </w:t>
      </w:r>
      <w:r w:rsidR="00954E81">
        <w:t>«</w:t>
      </w:r>
      <w:r w:rsidR="00204BA5" w:rsidRPr="00204BA5">
        <w:t>Евро VI</w:t>
      </w:r>
      <w:r w:rsidR="00954E81">
        <w:t>»</w:t>
      </w:r>
      <w:r w:rsidR="00204BA5" w:rsidRPr="00204BA5">
        <w:t xml:space="preserve"> &lt; 0,4 г/кВт∙ч). 10-процентный диапазон д</w:t>
      </w:r>
      <w:r w:rsidR="00204BA5" w:rsidRPr="00204BA5">
        <w:t>о</w:t>
      </w:r>
      <w:r w:rsidR="00204BA5" w:rsidRPr="00204BA5">
        <w:t>пуска для этих очень низких значений выбросов ниже точности данного метода (измерение, интерполяция и т.д.). Это положение было определено для двигат</w:t>
      </w:r>
      <w:r w:rsidR="00204BA5" w:rsidRPr="00204BA5">
        <w:t>е</w:t>
      </w:r>
      <w:r w:rsidR="00204BA5" w:rsidRPr="00204BA5">
        <w:t>лей ЕВРО IV/V, поэтому двигатели с низким уровнем выбросов (EURO VI) не могут отвечать таким положениям. Предложение позволяет сертифицировать двигатели Евро VI для конкретных рынков в соответствии с поправками с</w:t>
      </w:r>
      <w:r w:rsidR="00204BA5" w:rsidRPr="00204BA5">
        <w:t>е</w:t>
      </w:r>
      <w:r w:rsidR="00204BA5" w:rsidRPr="00204BA5">
        <w:t>рии</w:t>
      </w:r>
      <w:r w:rsidR="00F500DF">
        <w:t> </w:t>
      </w:r>
      <w:r w:rsidR="00204BA5" w:rsidRPr="00204BA5">
        <w:t>05 к Правилам № 49.</w:t>
      </w:r>
    </w:p>
    <w:p w:rsidR="00204BA5" w:rsidRPr="00463E88" w:rsidRDefault="00463E88" w:rsidP="00463E88">
      <w:pPr>
        <w:pStyle w:val="SingleTxtGR"/>
      </w:pPr>
      <w:r w:rsidRPr="00463E88">
        <w:t>2.</w:t>
      </w:r>
      <w:r w:rsidRPr="00463E88">
        <w:tab/>
      </w:r>
      <w:r w:rsidR="00204BA5" w:rsidRPr="00204BA5">
        <w:t>Округление результатов испытания (приложение 6)</w:t>
      </w:r>
    </w:p>
    <w:p w:rsidR="00E12C5F" w:rsidRDefault="00463E88" w:rsidP="00204BA5">
      <w:pPr>
        <w:pStyle w:val="SingleTxtGR"/>
        <w:rPr>
          <w:lang w:val="en-US"/>
        </w:rPr>
      </w:pPr>
      <w:r w:rsidRPr="007D199A">
        <w:tab/>
      </w:r>
      <w:r w:rsidR="00204BA5" w:rsidRPr="00204BA5">
        <w:t>В поправках серии 05 к Правилам № 49 не определен метод округления для расчета результатов испытания в соответствии с требованиями прилож</w:t>
      </w:r>
      <w:r w:rsidR="00204BA5" w:rsidRPr="00204BA5">
        <w:t>е</w:t>
      </w:r>
      <w:r w:rsidR="00204BA5" w:rsidRPr="00204BA5">
        <w:t>ния</w:t>
      </w:r>
      <w:r w:rsidR="00F500DF">
        <w:t> </w:t>
      </w:r>
      <w:r w:rsidR="00204BA5" w:rsidRPr="00204BA5">
        <w:t>4А. Пример расчета указан в приложении 6. Это приводит к разному толк</w:t>
      </w:r>
      <w:r w:rsidR="00204BA5" w:rsidRPr="00204BA5">
        <w:t>о</w:t>
      </w:r>
      <w:r w:rsidR="00204BA5" w:rsidRPr="00204BA5">
        <w:t>ванию. Данное предложение соответствует практике применения Правил в Е</w:t>
      </w:r>
      <w:r w:rsidR="00204BA5" w:rsidRPr="00204BA5">
        <w:t>в</w:t>
      </w:r>
      <w:r w:rsidR="00204BA5" w:rsidRPr="00204BA5">
        <w:t>ропейском союзе в прошлом (EURO II–IV), учитывая общие принципы окру</w:t>
      </w:r>
      <w:r w:rsidR="00204BA5" w:rsidRPr="00204BA5">
        <w:t>г</w:t>
      </w:r>
      <w:r w:rsidR="00204BA5" w:rsidRPr="00204BA5">
        <w:t>ления, и соответствует методу округления, используемому Агентством по охране окружающей среды в Соединенных Штатах Америки (Кодекс 40 Фед</w:t>
      </w:r>
      <w:r w:rsidR="00204BA5" w:rsidRPr="00204BA5">
        <w:t>е</w:t>
      </w:r>
      <w:r w:rsidR="00204BA5" w:rsidRPr="00204BA5">
        <w:t>рального регистра, часть 1065). Включение предложенного пункта</w:t>
      </w:r>
      <w:r w:rsidR="00720310">
        <w:rPr>
          <w:lang w:val="en-US"/>
        </w:rPr>
        <w:t> </w:t>
      </w:r>
      <w:r w:rsidR="00204BA5" w:rsidRPr="00204BA5">
        <w:t>5 в прил</w:t>
      </w:r>
      <w:r w:rsidR="00204BA5" w:rsidRPr="00204BA5">
        <w:t>о</w:t>
      </w:r>
      <w:r w:rsidR="00204BA5" w:rsidRPr="00204BA5">
        <w:t>жение</w:t>
      </w:r>
      <w:r w:rsidR="00720310">
        <w:rPr>
          <w:lang w:val="en-US"/>
        </w:rPr>
        <w:t> </w:t>
      </w:r>
      <w:r w:rsidR="00204BA5" w:rsidRPr="00204BA5">
        <w:t>6 позволит уточнить этот момент.</w:t>
      </w:r>
    </w:p>
    <w:p w:rsidR="00463E88" w:rsidRPr="00463E88" w:rsidRDefault="00463E88" w:rsidP="00463E88">
      <w:pPr>
        <w:pStyle w:val="SingleTxtGR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463E88" w:rsidRPr="00463E88" w:rsidSect="00204BA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FC4" w:rsidRPr="00A312BC" w:rsidRDefault="00EB1FC4" w:rsidP="00A312BC"/>
  </w:endnote>
  <w:endnote w:type="continuationSeparator" w:id="0">
    <w:p w:rsidR="00EB1FC4" w:rsidRPr="00A312BC" w:rsidRDefault="00EB1FC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BA5" w:rsidRPr="00204BA5" w:rsidRDefault="00204BA5">
    <w:pPr>
      <w:pStyle w:val="Footer"/>
    </w:pPr>
    <w:r w:rsidRPr="00204BA5">
      <w:rPr>
        <w:b/>
        <w:sz w:val="18"/>
      </w:rPr>
      <w:fldChar w:fldCharType="begin"/>
    </w:r>
    <w:r w:rsidRPr="00204BA5">
      <w:rPr>
        <w:b/>
        <w:sz w:val="18"/>
      </w:rPr>
      <w:instrText xml:space="preserve"> PAGE  \* MERGEFORMAT </w:instrText>
    </w:r>
    <w:r w:rsidRPr="00204BA5">
      <w:rPr>
        <w:b/>
        <w:sz w:val="18"/>
      </w:rPr>
      <w:fldChar w:fldCharType="separate"/>
    </w:r>
    <w:r w:rsidR="00440070">
      <w:rPr>
        <w:b/>
        <w:noProof/>
        <w:sz w:val="18"/>
      </w:rPr>
      <w:t>2</w:t>
    </w:r>
    <w:r w:rsidRPr="00204BA5">
      <w:rPr>
        <w:b/>
        <w:sz w:val="18"/>
      </w:rPr>
      <w:fldChar w:fldCharType="end"/>
    </w:r>
    <w:r>
      <w:rPr>
        <w:b/>
        <w:sz w:val="18"/>
      </w:rPr>
      <w:tab/>
    </w:r>
    <w:r>
      <w:t>GE.17-18459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BA5" w:rsidRPr="00204BA5" w:rsidRDefault="00204BA5" w:rsidP="00204BA5">
    <w:pPr>
      <w:pStyle w:val="Footer"/>
      <w:tabs>
        <w:tab w:val="clear" w:pos="9639"/>
        <w:tab w:val="right" w:pos="9638"/>
      </w:tabs>
      <w:rPr>
        <w:b/>
        <w:sz w:val="18"/>
      </w:rPr>
    </w:pPr>
    <w:r>
      <w:t>GE.17-18459</w:t>
    </w:r>
    <w:r>
      <w:tab/>
    </w:r>
    <w:r w:rsidRPr="00204BA5">
      <w:rPr>
        <w:b/>
        <w:sz w:val="18"/>
      </w:rPr>
      <w:fldChar w:fldCharType="begin"/>
    </w:r>
    <w:r w:rsidRPr="00204BA5">
      <w:rPr>
        <w:b/>
        <w:sz w:val="18"/>
      </w:rPr>
      <w:instrText xml:space="preserve"> PAGE  \* MERGEFORMAT </w:instrText>
    </w:r>
    <w:r w:rsidRPr="00204BA5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04BA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204BA5" w:rsidRDefault="00204BA5" w:rsidP="00204BA5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C703CAF" wp14:editId="08D4D28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17-18459  (R)</w:t>
    </w:r>
    <w:r w:rsidR="00E97B41">
      <w:rPr>
        <w:lang w:val="en-US"/>
      </w:rPr>
      <w:t xml:space="preserve">  011117  011117</w:t>
    </w:r>
    <w:r>
      <w:br/>
    </w:r>
    <w:r w:rsidRPr="00204BA5">
      <w:rPr>
        <w:rFonts w:ascii="C39T30Lfz" w:hAnsi="C39T30Lfz"/>
        <w:spacing w:val="0"/>
        <w:w w:val="100"/>
        <w:sz w:val="56"/>
      </w:rPr>
      <w:t></w:t>
    </w:r>
    <w:r w:rsidRPr="00204BA5">
      <w:rPr>
        <w:rFonts w:ascii="C39T30Lfz" w:hAnsi="C39T30Lfz"/>
        <w:spacing w:val="0"/>
        <w:w w:val="100"/>
        <w:sz w:val="56"/>
      </w:rPr>
      <w:t></w:t>
    </w:r>
    <w:r w:rsidRPr="00204BA5">
      <w:rPr>
        <w:rFonts w:ascii="C39T30Lfz" w:hAnsi="C39T30Lfz"/>
        <w:spacing w:val="0"/>
        <w:w w:val="100"/>
        <w:sz w:val="56"/>
      </w:rPr>
      <w:t></w:t>
    </w:r>
    <w:r w:rsidRPr="00204BA5">
      <w:rPr>
        <w:rFonts w:ascii="C39T30Lfz" w:hAnsi="C39T30Lfz"/>
        <w:spacing w:val="0"/>
        <w:w w:val="100"/>
        <w:sz w:val="56"/>
      </w:rPr>
      <w:t></w:t>
    </w:r>
    <w:r w:rsidRPr="00204BA5">
      <w:rPr>
        <w:rFonts w:ascii="C39T30Lfz" w:hAnsi="C39T30Lfz"/>
        <w:spacing w:val="0"/>
        <w:w w:val="100"/>
        <w:sz w:val="56"/>
      </w:rPr>
      <w:t></w:t>
    </w:r>
    <w:r w:rsidRPr="00204BA5">
      <w:rPr>
        <w:rFonts w:ascii="C39T30Lfz" w:hAnsi="C39T30Lfz"/>
        <w:spacing w:val="0"/>
        <w:w w:val="100"/>
        <w:sz w:val="56"/>
      </w:rPr>
      <w:t></w:t>
    </w:r>
    <w:r w:rsidRPr="00204BA5">
      <w:rPr>
        <w:rFonts w:ascii="C39T30Lfz" w:hAnsi="C39T30Lfz"/>
        <w:spacing w:val="0"/>
        <w:w w:val="100"/>
        <w:sz w:val="56"/>
      </w:rPr>
      <w:t></w:t>
    </w:r>
    <w:r w:rsidRPr="00204BA5">
      <w:rPr>
        <w:rFonts w:ascii="C39T30Lfz" w:hAnsi="C39T30Lfz"/>
        <w:spacing w:val="0"/>
        <w:w w:val="100"/>
        <w:sz w:val="56"/>
      </w:rPr>
      <w:t></w:t>
    </w:r>
    <w:r w:rsidRPr="00204BA5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29/GRPE/2018/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PE/2018/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FC4" w:rsidRPr="001075E9" w:rsidRDefault="00EB1FC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B1FC4" w:rsidRDefault="00EB1FC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04BA5" w:rsidRPr="002A73E4" w:rsidRDefault="00204BA5" w:rsidP="00204BA5">
      <w:pPr>
        <w:pStyle w:val="FootnoteText"/>
        <w:rPr>
          <w:lang w:val="ru-RU"/>
        </w:rPr>
      </w:pPr>
      <w:r>
        <w:rPr>
          <w:lang w:val="ru-RU"/>
        </w:rPr>
        <w:tab/>
      </w:r>
      <w:r w:rsidRPr="00E97B41">
        <w:rPr>
          <w:sz w:val="20"/>
          <w:lang w:val="ru-RU"/>
        </w:rPr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="00720310" w:rsidRPr="00720310">
        <w:rPr>
          <w:lang w:val="ru-RU"/>
        </w:rPr>
        <w:br/>
      </w:r>
      <w:r>
        <w:rPr>
          <w:lang w:val="ru-RU"/>
        </w:rPr>
        <w:t>на 2014–2018 годы (ECE/TRANS/240, пункт 105, и ECE/TRANS/2014/26, подпрограмма 02.4) Всемирный форум будет</w:t>
      </w:r>
      <w:r w:rsidR="00720310">
        <w:rPr>
          <w:lang w:val="ru-RU"/>
        </w:rPr>
        <w:t xml:space="preserve"> разрабатывать, согласовывать и</w:t>
      </w:r>
      <w:r w:rsidR="00720310">
        <w:rPr>
          <w:lang w:val="en-US"/>
        </w:rPr>
        <w:t> </w:t>
      </w:r>
      <w:r>
        <w:rPr>
          <w:lang w:val="ru-RU"/>
        </w:rPr>
        <w:t>обновлять правила в целях улучшения характеристик транспортных средств. Настоящий документ представлен 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BA5" w:rsidRPr="00204BA5" w:rsidRDefault="0044007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8473CD">
      <w:t>ECE/TRANS/WP.29/GRPE/2018/9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BA5" w:rsidRPr="00204BA5" w:rsidRDefault="00440070" w:rsidP="00204BA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8473CD">
      <w:t>ECE/TRANS/WP.29/GRPE/2018/9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2711FB"/>
    <w:multiLevelType w:val="hybridMultilevel"/>
    <w:tmpl w:val="D84C6D64"/>
    <w:lvl w:ilvl="0" w:tplc="A468983C">
      <w:start w:val="1"/>
      <w:numFmt w:val="decimal"/>
      <w:lvlText w:val="%1."/>
      <w:lvlJc w:val="left"/>
      <w:pPr>
        <w:ind w:left="1494" w:hanging="360"/>
      </w:pPr>
      <w:rPr>
        <w:sz w:val="20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0"/>
    <w:lvlOverride w:ilvl="0">
      <w:lvl w:ilvl="0" w:tplc="A468983C">
        <w:start w:val="1"/>
        <w:numFmt w:val="decimal"/>
        <w:lvlText w:val="%1."/>
        <w:lvlJc w:val="left"/>
        <w:pPr>
          <w:ind w:left="6456" w:hanging="360"/>
        </w:pPr>
        <w:rPr>
          <w:sz w:val="20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C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04BA5"/>
    <w:rsid w:val="00255343"/>
    <w:rsid w:val="0027151D"/>
    <w:rsid w:val="002A2EFC"/>
    <w:rsid w:val="002A73E4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40070"/>
    <w:rsid w:val="00452493"/>
    <w:rsid w:val="00453318"/>
    <w:rsid w:val="00454AF2"/>
    <w:rsid w:val="00454E07"/>
    <w:rsid w:val="00463E88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20310"/>
    <w:rsid w:val="00734ACB"/>
    <w:rsid w:val="00757357"/>
    <w:rsid w:val="00792497"/>
    <w:rsid w:val="007D199A"/>
    <w:rsid w:val="00806737"/>
    <w:rsid w:val="00825F8D"/>
    <w:rsid w:val="00834B71"/>
    <w:rsid w:val="008473CD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54E81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657C2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97B41"/>
    <w:rsid w:val="00EA2C9F"/>
    <w:rsid w:val="00EA420E"/>
    <w:rsid w:val="00EB1FC4"/>
    <w:rsid w:val="00ED0BDA"/>
    <w:rsid w:val="00EE142A"/>
    <w:rsid w:val="00EF1360"/>
    <w:rsid w:val="00EF3220"/>
    <w:rsid w:val="00F2523A"/>
    <w:rsid w:val="00F43903"/>
    <w:rsid w:val="00F500DF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3080</Characters>
  <Application>Microsoft Office Word</Application>
  <DocSecurity>4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ECE/TRANS/WP.29/GRPE/2018/9</vt:lpstr>
      <vt:lpstr>ECE/TRANS/WP.29/GRPE/2018/9</vt:lpstr>
      <vt:lpstr>A/</vt:lpstr>
    </vt:vector>
  </TitlesOfParts>
  <Company>DCM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ECE/TRANS/WP.29/GRPE/2018/9</dc:title>
  <dc:creator>Sharkina</dc:creator>
  <cp:lastModifiedBy>Benedicte Boudol</cp:lastModifiedBy>
  <cp:revision>2</cp:revision>
  <cp:lastPrinted>2017-11-01T10:41:00Z</cp:lastPrinted>
  <dcterms:created xsi:type="dcterms:W3CDTF">2017-11-09T14:59:00Z</dcterms:created>
  <dcterms:modified xsi:type="dcterms:W3CDTF">2017-11-09T14:59:00Z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