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rsidTr="00D9503E">
        <w:trPr>
          <w:cantSplit/>
          <w:trHeight w:hRule="exact" w:val="851"/>
        </w:trPr>
        <w:tc>
          <w:tcPr>
            <w:tcW w:w="1276" w:type="dxa"/>
            <w:tcBorders>
              <w:bottom w:val="single" w:sz="4" w:space="0" w:color="auto"/>
            </w:tcBorders>
            <w:vAlign w:val="bottom"/>
          </w:tcPr>
          <w:p w:rsidR="00B56E9C" w:rsidRPr="00FD4196" w:rsidRDefault="00B56E9C" w:rsidP="00D9503E">
            <w:pPr>
              <w:spacing w:after="80"/>
            </w:pPr>
            <w:bookmarkStart w:id="0" w:name="_GoBack"/>
            <w:bookmarkEnd w:id="0"/>
          </w:p>
        </w:tc>
        <w:tc>
          <w:tcPr>
            <w:tcW w:w="2268" w:type="dxa"/>
            <w:tcBorders>
              <w:bottom w:val="single" w:sz="4" w:space="0" w:color="auto"/>
            </w:tcBorders>
            <w:vAlign w:val="bottom"/>
          </w:tcPr>
          <w:p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rsidR="00B56E9C" w:rsidRPr="00FD4196" w:rsidRDefault="00D45CC9" w:rsidP="00F21A55">
            <w:pPr>
              <w:jc w:val="right"/>
            </w:pPr>
            <w:r w:rsidRPr="00FD4196">
              <w:rPr>
                <w:sz w:val="40"/>
              </w:rPr>
              <w:t>ECE</w:t>
            </w:r>
            <w:r w:rsidR="002077C3" w:rsidRPr="00FD4196">
              <w:t>/TRANS/WP.29/GRPE/</w:t>
            </w:r>
            <w:r w:rsidR="00660C48">
              <w:t>201</w:t>
            </w:r>
            <w:r w:rsidR="0076583E">
              <w:t>8</w:t>
            </w:r>
            <w:r w:rsidR="00DB2094">
              <w:t>/</w:t>
            </w:r>
            <w:r w:rsidR="00F21A55">
              <w:t>9</w:t>
            </w:r>
          </w:p>
        </w:tc>
      </w:tr>
      <w:tr w:rsidR="00B56E9C" w:rsidRPr="00FD4196" w:rsidTr="00D9503E">
        <w:trPr>
          <w:cantSplit/>
          <w:trHeight w:hRule="exact" w:val="2835"/>
        </w:trPr>
        <w:tc>
          <w:tcPr>
            <w:tcW w:w="1276" w:type="dxa"/>
            <w:tcBorders>
              <w:top w:val="single" w:sz="4" w:space="0" w:color="auto"/>
              <w:bottom w:val="single" w:sz="12" w:space="0" w:color="auto"/>
            </w:tcBorders>
          </w:tcPr>
          <w:p w:rsidR="00B56E9C" w:rsidRPr="00FD4196" w:rsidRDefault="00A55C3D" w:rsidP="00D9503E">
            <w:pPr>
              <w:spacing w:before="120"/>
            </w:pPr>
            <w:r>
              <w:rPr>
                <w:noProof/>
                <w:lang w:eastAsia="en-GB"/>
              </w:rPr>
              <w:drawing>
                <wp:inline distT="0" distB="0" distL="0" distR="0" wp14:anchorId="69D5FE7B" wp14:editId="5190A6E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rsidR="006902BF" w:rsidRPr="00776AE7" w:rsidRDefault="006902BF" w:rsidP="006902BF">
            <w:pPr>
              <w:spacing w:before="240" w:line="240" w:lineRule="exact"/>
              <w:rPr>
                <w:rFonts w:eastAsia="MS Mincho"/>
              </w:rPr>
            </w:pPr>
            <w:r w:rsidRPr="00776AE7">
              <w:rPr>
                <w:rFonts w:eastAsia="MS Mincho"/>
              </w:rPr>
              <w:t>Distr.: General</w:t>
            </w:r>
          </w:p>
          <w:p w:rsidR="006902BF" w:rsidRPr="00776AE7" w:rsidRDefault="00E5662D" w:rsidP="006902BF">
            <w:pPr>
              <w:spacing w:line="240" w:lineRule="exact"/>
              <w:rPr>
                <w:rFonts w:eastAsia="MS Mincho"/>
                <w:lang w:eastAsia="ja-JP"/>
              </w:rPr>
            </w:pPr>
            <w:r>
              <w:rPr>
                <w:rFonts w:eastAsia="MS Mincho"/>
                <w:lang w:eastAsia="ja-JP"/>
              </w:rPr>
              <w:t>19</w:t>
            </w:r>
            <w:r w:rsidR="006902BF" w:rsidRPr="00776AE7">
              <w:rPr>
                <w:rFonts w:eastAsia="MS Mincho"/>
              </w:rPr>
              <w:t xml:space="preserve"> October 201</w:t>
            </w:r>
            <w:r w:rsidR="006902BF" w:rsidRPr="00776AE7">
              <w:rPr>
                <w:rFonts w:eastAsia="MS Mincho" w:hint="eastAsia"/>
                <w:lang w:eastAsia="ja-JP"/>
              </w:rPr>
              <w:t>7</w:t>
            </w:r>
          </w:p>
          <w:p w:rsidR="006902BF" w:rsidRPr="00776AE7" w:rsidRDefault="006902BF" w:rsidP="006902BF">
            <w:pPr>
              <w:spacing w:line="240" w:lineRule="exact"/>
              <w:rPr>
                <w:rFonts w:eastAsia="MS Mincho"/>
              </w:rPr>
            </w:pPr>
          </w:p>
          <w:p w:rsidR="0090004D" w:rsidRPr="00DB2094" w:rsidRDefault="006902BF" w:rsidP="006902BF">
            <w:pPr>
              <w:spacing w:line="240" w:lineRule="exact"/>
            </w:pPr>
            <w:r w:rsidRPr="00776AE7">
              <w:rPr>
                <w:rFonts w:eastAsia="MS Mincho"/>
              </w:rPr>
              <w:t>Original: English</w:t>
            </w:r>
          </w:p>
        </w:tc>
      </w:tr>
    </w:tbl>
    <w:p w:rsidR="006902BF" w:rsidRPr="00776AE7" w:rsidRDefault="006902BF" w:rsidP="006902BF">
      <w:pPr>
        <w:tabs>
          <w:tab w:val="left" w:pos="567"/>
          <w:tab w:val="left" w:pos="1134"/>
        </w:tabs>
        <w:spacing w:before="120"/>
        <w:rPr>
          <w:rFonts w:eastAsia="MS Mincho"/>
          <w:sz w:val="22"/>
          <w:szCs w:val="22"/>
        </w:rPr>
      </w:pPr>
      <w:r w:rsidRPr="00776AE7">
        <w:rPr>
          <w:rFonts w:eastAsia="MS Mincho"/>
          <w:b/>
          <w:sz w:val="28"/>
          <w:szCs w:val="28"/>
        </w:rPr>
        <w:t>Economic</w:t>
      </w:r>
      <w:r w:rsidRPr="00776AE7">
        <w:rPr>
          <w:rFonts w:eastAsia="MS Mincho"/>
          <w:b/>
          <w:bCs/>
          <w:sz w:val="28"/>
          <w:szCs w:val="28"/>
        </w:rPr>
        <w:t xml:space="preserve"> Commission for Europe </w:t>
      </w:r>
    </w:p>
    <w:p w:rsidR="006902BF" w:rsidRPr="00776AE7" w:rsidRDefault="006902BF" w:rsidP="006902BF">
      <w:pPr>
        <w:tabs>
          <w:tab w:val="left" w:pos="567"/>
          <w:tab w:val="left" w:pos="1134"/>
        </w:tabs>
        <w:spacing w:before="120"/>
        <w:rPr>
          <w:rFonts w:eastAsia="MS Mincho"/>
          <w:sz w:val="22"/>
          <w:szCs w:val="22"/>
        </w:rPr>
      </w:pPr>
      <w:r w:rsidRPr="00776AE7">
        <w:rPr>
          <w:rFonts w:eastAsia="MS Mincho"/>
          <w:sz w:val="28"/>
          <w:szCs w:val="28"/>
        </w:rPr>
        <w:t xml:space="preserve">Inland Transport Committee </w:t>
      </w:r>
    </w:p>
    <w:p w:rsidR="006902BF" w:rsidRPr="00776AE7" w:rsidRDefault="006902BF" w:rsidP="006902BF">
      <w:pPr>
        <w:tabs>
          <w:tab w:val="left" w:pos="567"/>
          <w:tab w:val="left" w:pos="1134"/>
        </w:tabs>
        <w:spacing w:before="120"/>
        <w:rPr>
          <w:rFonts w:eastAsia="MS Mincho"/>
          <w:sz w:val="22"/>
          <w:szCs w:val="22"/>
        </w:rPr>
      </w:pPr>
      <w:r w:rsidRPr="00776AE7">
        <w:rPr>
          <w:rFonts w:eastAsia="MS Mincho"/>
          <w:b/>
          <w:bCs/>
          <w:sz w:val="24"/>
          <w:szCs w:val="24"/>
        </w:rPr>
        <w:t xml:space="preserve">World Forum for Harmonization of Vehicle Regulations </w:t>
      </w:r>
    </w:p>
    <w:p w:rsidR="006902BF" w:rsidRPr="00776AE7" w:rsidRDefault="006902BF" w:rsidP="006902BF">
      <w:pPr>
        <w:tabs>
          <w:tab w:val="left" w:pos="567"/>
          <w:tab w:val="left" w:pos="1134"/>
        </w:tabs>
        <w:spacing w:before="120" w:after="120"/>
        <w:rPr>
          <w:rFonts w:eastAsia="MS Mincho"/>
          <w:b/>
          <w:bCs/>
        </w:rPr>
      </w:pPr>
      <w:r w:rsidRPr="00776AE7">
        <w:rPr>
          <w:rFonts w:eastAsia="MS Mincho"/>
          <w:b/>
          <w:bCs/>
        </w:rPr>
        <w:t>Working Party on Pollution and Energy</w:t>
      </w:r>
    </w:p>
    <w:p w:rsidR="006902BF" w:rsidRPr="00776AE7" w:rsidRDefault="006902BF" w:rsidP="006902BF">
      <w:pPr>
        <w:rPr>
          <w:rFonts w:eastAsia="MS Mincho"/>
          <w:b/>
        </w:rPr>
      </w:pPr>
      <w:r w:rsidRPr="00776AE7">
        <w:rPr>
          <w:rFonts w:eastAsia="MS Mincho"/>
          <w:b/>
        </w:rPr>
        <w:t xml:space="preserve">Seventy-sixth </w:t>
      </w:r>
      <w:proofErr w:type="gramStart"/>
      <w:r w:rsidRPr="00776AE7">
        <w:rPr>
          <w:rFonts w:eastAsia="MS Mincho"/>
          <w:b/>
        </w:rPr>
        <w:t>session</w:t>
      </w:r>
      <w:proofErr w:type="gramEnd"/>
    </w:p>
    <w:p w:rsidR="006902BF" w:rsidRDefault="006902BF" w:rsidP="006902BF">
      <w:r w:rsidRPr="00776AE7">
        <w:rPr>
          <w:rFonts w:eastAsia="MS Mincho"/>
        </w:rPr>
        <w:t>Geneva</w:t>
      </w:r>
      <w:r w:rsidRPr="00776AE7">
        <w:rPr>
          <w:rFonts w:eastAsia="MS Mincho"/>
          <w:bCs/>
        </w:rPr>
        <w:t>, 9-12 January 2018</w:t>
      </w:r>
    </w:p>
    <w:p w:rsidR="009C3E09" w:rsidRDefault="009C3E09" w:rsidP="009C3E09">
      <w:pPr>
        <w:tabs>
          <w:tab w:val="left" w:pos="567"/>
          <w:tab w:val="left" w:pos="1134"/>
        </w:tabs>
        <w:rPr>
          <w:bCs/>
        </w:rPr>
      </w:pPr>
      <w:r>
        <w:rPr>
          <w:bCs/>
        </w:rPr>
        <w:t xml:space="preserve">Item </w:t>
      </w:r>
      <w:r w:rsidR="00DA63CE">
        <w:rPr>
          <w:bCs/>
        </w:rPr>
        <w:t>4</w:t>
      </w:r>
      <w:r>
        <w:rPr>
          <w:bCs/>
        </w:rPr>
        <w:t>(a) of the provisional agenda</w:t>
      </w:r>
    </w:p>
    <w:p w:rsidR="009C3E09" w:rsidRPr="00DA63CE" w:rsidRDefault="00DA63CE" w:rsidP="009C3E09">
      <w:pPr>
        <w:tabs>
          <w:tab w:val="left" w:pos="567"/>
          <w:tab w:val="left" w:pos="1134"/>
        </w:tabs>
        <w:rPr>
          <w:b/>
          <w:bCs/>
        </w:rPr>
      </w:pPr>
      <w:r>
        <w:rPr>
          <w:b/>
        </w:rPr>
        <w:t xml:space="preserve">Heavy duty vehicles - Regulations Nos. 49 </w:t>
      </w:r>
      <w:r>
        <w:rPr>
          <w:b/>
        </w:rPr>
        <w:br/>
        <w:t xml:space="preserve">(Emissions of compression ignition and positive </w:t>
      </w:r>
      <w:r>
        <w:rPr>
          <w:b/>
        </w:rPr>
        <w:br/>
        <w:t xml:space="preserve">ignition (LPG and CNG) engines) and 132 </w:t>
      </w:r>
      <w:r>
        <w:rPr>
          <w:b/>
        </w:rPr>
        <w:br/>
        <w:t>(Retrofit Emissions Control devices (REC)</w:t>
      </w:r>
      <w:r>
        <w:rPr>
          <w:b/>
          <w:lang w:val="en-US"/>
        </w:rPr>
        <w:t>)</w:t>
      </w:r>
    </w:p>
    <w:p w:rsidR="00450B28" w:rsidRPr="00FD4196" w:rsidRDefault="00450B28" w:rsidP="00377D8F">
      <w:pPr>
        <w:pStyle w:val="HChG"/>
      </w:pPr>
      <w:r w:rsidRPr="00FD4196">
        <w:tab/>
      </w:r>
      <w:r w:rsidRPr="00FD4196">
        <w:tab/>
      </w:r>
      <w:r w:rsidR="00AB6EA1">
        <w:t>Proposal</w:t>
      </w:r>
      <w:r w:rsidR="00DA63CE">
        <w:t xml:space="preserve"> </w:t>
      </w:r>
      <w:r w:rsidR="00F677A6">
        <w:t>for a new Supplement to</w:t>
      </w:r>
      <w:r w:rsidR="00DA63CE">
        <w:t xml:space="preserve"> the 05 series of amendments to Regulation No. 49 (</w:t>
      </w:r>
      <w:r w:rsidR="00377D8F">
        <w:t>Emissions of compression ignition and positive ignition (LPG and CNG) engines</w:t>
      </w:r>
      <w:r w:rsidR="00DA63CE">
        <w:t>)</w:t>
      </w:r>
    </w:p>
    <w:p w:rsidR="00450B28" w:rsidRPr="007E5C8F" w:rsidRDefault="00C97374" w:rsidP="00450B28">
      <w:pPr>
        <w:pStyle w:val="H1G"/>
        <w:rPr>
          <w:lang w:val="en-GB"/>
        </w:rPr>
      </w:pPr>
      <w:r w:rsidRPr="00FD4196">
        <w:tab/>
      </w:r>
      <w:r w:rsidRPr="00FD4196">
        <w:tab/>
        <w:t xml:space="preserve">Submitted by </w:t>
      </w:r>
      <w:r w:rsidR="00586A6E" w:rsidRPr="00FD4196">
        <w:t>the</w:t>
      </w:r>
      <w:r w:rsidR="0086079A" w:rsidRPr="00DD2DA8">
        <w:t xml:space="preserve"> </w:t>
      </w:r>
      <w:r w:rsidR="000C28DE">
        <w:rPr>
          <w:lang w:val="en-US"/>
        </w:rPr>
        <w:t>expert from</w:t>
      </w:r>
      <w:r w:rsidR="005D60B3">
        <w:rPr>
          <w:lang w:val="en-US"/>
        </w:rPr>
        <w:t xml:space="preserve"> the </w:t>
      </w:r>
      <w:r w:rsidR="009C3E09">
        <w:t xml:space="preserve">International </w:t>
      </w:r>
      <w:proofErr w:type="spellStart"/>
      <w:r w:rsidR="009C3E09">
        <w:t>Organi</w:t>
      </w:r>
      <w:r w:rsidR="00AB6EA1">
        <w:rPr>
          <w:lang w:val="en-GB"/>
        </w:rPr>
        <w:t>z</w:t>
      </w:r>
      <w:r w:rsidR="009C3E09">
        <w:t>ation</w:t>
      </w:r>
      <w:proofErr w:type="spellEnd"/>
      <w:r w:rsidR="009C3E09">
        <w:t xml:space="preserve"> of Motor Vehicle Manufacturers</w:t>
      </w:r>
      <w:r w:rsidR="00735EE3" w:rsidRPr="007E5C8F">
        <w:rPr>
          <w:rStyle w:val="H1GChar"/>
          <w:lang w:val="en-GB"/>
        </w:rPr>
        <w:footnoteReference w:customMarkFollows="1" w:id="2"/>
        <w:t>*</w:t>
      </w:r>
    </w:p>
    <w:p w:rsidR="009C3E09" w:rsidRDefault="009C3E09" w:rsidP="002E30C8">
      <w:pPr>
        <w:pStyle w:val="SingleTxtG"/>
        <w:ind w:firstLine="567"/>
      </w:pPr>
      <w:r w:rsidRPr="00450B28">
        <w:t xml:space="preserve">The text reproduced below was prepared by the expert from </w:t>
      </w:r>
      <w:r>
        <w:t xml:space="preserve">the International Organization of Motor Vehicle </w:t>
      </w:r>
      <w:r w:rsidRPr="00CF5A82">
        <w:t xml:space="preserve">Manufacturers (OICA) </w:t>
      </w:r>
      <w:r w:rsidR="00DA63CE">
        <w:t xml:space="preserve">to improve the so-called </w:t>
      </w:r>
      <w:r w:rsidR="00377D8F" w:rsidRPr="009F1AA6">
        <w:t>"</w:t>
      </w:r>
      <w:r w:rsidR="00DA63CE">
        <w:t>random check requirement</w:t>
      </w:r>
      <w:r w:rsidR="00377D8F" w:rsidRPr="009F1AA6">
        <w:t>"</w:t>
      </w:r>
      <w:r w:rsidR="00DA63CE">
        <w:t xml:space="preserve"> and define the rounding of test results calculated according to Annex 4A in the 05 series of amendments to Regulation No. 49</w:t>
      </w:r>
      <w:r w:rsidR="00C75076">
        <w:t xml:space="preserve">. </w:t>
      </w:r>
      <w:r w:rsidRPr="00CF5A82">
        <w:rPr>
          <w:szCs w:val="23"/>
        </w:rPr>
        <w:t>The modifications</w:t>
      </w:r>
      <w:r>
        <w:rPr>
          <w:szCs w:val="23"/>
        </w:rPr>
        <w:t xml:space="preserve"> to the current text of the Regulation are marked in bold for new or strikethrough for deleted characters.</w:t>
      </w:r>
    </w:p>
    <w:p w:rsidR="003E02FC" w:rsidRDefault="00EC6158" w:rsidP="00890FB0">
      <w:pPr>
        <w:pStyle w:val="HChG"/>
        <w:tabs>
          <w:tab w:val="clear" w:pos="851"/>
        </w:tabs>
        <w:ind w:left="0"/>
      </w:pPr>
      <w:r w:rsidRPr="00FD4196">
        <w:br w:type="page"/>
      </w:r>
      <w:r w:rsidR="003E02FC">
        <w:lastRenderedPageBreak/>
        <w:tab/>
      </w:r>
      <w:r w:rsidR="003E02FC">
        <w:tab/>
      </w:r>
      <w:r w:rsidR="003E02FC" w:rsidRPr="00FD4196">
        <w:t>I.</w:t>
      </w:r>
      <w:r w:rsidR="003E02FC" w:rsidRPr="00FD4196">
        <w:tab/>
      </w:r>
      <w:r w:rsidR="007903E8">
        <w:t>Proposal</w:t>
      </w:r>
    </w:p>
    <w:p w:rsidR="00DA63CE" w:rsidRDefault="00DA63CE" w:rsidP="00DA63CE">
      <w:pPr>
        <w:pStyle w:val="para"/>
        <w:ind w:left="1134" w:firstLine="0"/>
        <w:rPr>
          <w:lang w:val="en-US"/>
        </w:rPr>
      </w:pPr>
      <w:r>
        <w:rPr>
          <w:i/>
          <w:lang w:val="en-US"/>
        </w:rPr>
        <w:t xml:space="preserve">Paragraph 5.2.3.1., </w:t>
      </w:r>
      <w:r w:rsidRPr="005B0CA7">
        <w:rPr>
          <w:lang w:val="en-US"/>
        </w:rPr>
        <w:t>amend to read:</w:t>
      </w:r>
    </w:p>
    <w:p w:rsidR="00DA63CE" w:rsidRPr="00164232" w:rsidRDefault="00415669" w:rsidP="00DA63CE">
      <w:pPr>
        <w:spacing w:after="120"/>
        <w:ind w:left="2268" w:right="1134" w:hanging="1134"/>
        <w:jc w:val="both"/>
      </w:pPr>
      <w:r w:rsidRPr="009F1AA6">
        <w:t>"</w:t>
      </w:r>
      <w:r w:rsidR="00DA63CE">
        <w:t>5.2.3.1.</w:t>
      </w:r>
      <w:r w:rsidR="00DA63CE" w:rsidRPr="00190679">
        <w:tab/>
      </w:r>
      <w:r w:rsidR="00DA63CE" w:rsidRPr="00A157A0">
        <w:t>The specific mass of the oxides of nitrogen measured at the random checkpoints within the control area of the ESC test shall not exceed by more than</w:t>
      </w:r>
      <w:r w:rsidR="00C86E24">
        <w:t xml:space="preserve"> </w:t>
      </w:r>
      <w:r w:rsidR="00DA63CE" w:rsidRPr="00A157A0">
        <w:t>10 per cent the values interpolated from the adjacent test modes (reference</w:t>
      </w:r>
      <w:r w:rsidR="00DA63CE">
        <w:t xml:space="preserve"> </w:t>
      </w:r>
      <w:r w:rsidR="00DA63CE" w:rsidRPr="00A157A0">
        <w:t xml:space="preserve">Annex 4A, Appendix 1, paragraphs 5.6.2. </w:t>
      </w:r>
      <w:proofErr w:type="gramStart"/>
      <w:r w:rsidR="00DA63CE" w:rsidRPr="00A157A0">
        <w:t>a</w:t>
      </w:r>
      <w:r w:rsidR="00DA63CE">
        <w:t>nd</w:t>
      </w:r>
      <w:proofErr w:type="gramEnd"/>
      <w:r w:rsidR="00DA63CE">
        <w:t xml:space="preserve"> 5.6.3.) </w:t>
      </w:r>
      <w:proofErr w:type="gramStart"/>
      <w:r w:rsidR="00DA63CE" w:rsidRPr="00CA4B70">
        <w:rPr>
          <w:b/>
          <w:bCs/>
        </w:rPr>
        <w:t>or</w:t>
      </w:r>
      <w:proofErr w:type="gramEnd"/>
      <w:r w:rsidR="00DA63CE" w:rsidRPr="00CA4B70">
        <w:rPr>
          <w:b/>
          <w:bCs/>
        </w:rPr>
        <w:t xml:space="preserve"> the limit values in </w:t>
      </w:r>
      <w:r w:rsidR="00603C42" w:rsidRPr="00CA4B70">
        <w:rPr>
          <w:b/>
          <w:bCs/>
        </w:rPr>
        <w:t>Table 1</w:t>
      </w:r>
      <w:r w:rsidR="00603C42">
        <w:rPr>
          <w:b/>
          <w:bCs/>
        </w:rPr>
        <w:t xml:space="preserve"> in </w:t>
      </w:r>
      <w:r w:rsidR="00DA63CE" w:rsidRPr="00CA4B70">
        <w:rPr>
          <w:b/>
          <w:bCs/>
        </w:rPr>
        <w:t>paragraph 5.2.1</w:t>
      </w:r>
      <w:r w:rsidR="00C86E24">
        <w:rPr>
          <w:b/>
          <w:bCs/>
        </w:rPr>
        <w:t>.</w:t>
      </w:r>
      <w:r w:rsidR="00DA63CE" w:rsidRPr="00CA4B70">
        <w:rPr>
          <w:b/>
          <w:bCs/>
        </w:rPr>
        <w:t>, whichever is greater</w:t>
      </w:r>
      <w:r w:rsidR="00DA63CE" w:rsidRPr="00091567">
        <w:rPr>
          <w:bCs/>
        </w:rPr>
        <w:t>.</w:t>
      </w:r>
      <w:r w:rsidRPr="009F1AA6">
        <w:t>"</w:t>
      </w:r>
    </w:p>
    <w:p w:rsidR="00DA63CE" w:rsidRPr="00C54EB4" w:rsidRDefault="00DA63CE" w:rsidP="00DA63CE">
      <w:pPr>
        <w:pStyle w:val="para"/>
        <w:ind w:left="1134" w:firstLine="0"/>
        <w:rPr>
          <w:color w:val="000000" w:themeColor="text1"/>
          <w:lang w:val="en-US"/>
        </w:rPr>
      </w:pPr>
      <w:r w:rsidRPr="00C54EB4">
        <w:rPr>
          <w:i/>
          <w:color w:val="000000" w:themeColor="text1"/>
          <w:lang w:val="en-US"/>
        </w:rPr>
        <w:t>Annex 6,</w:t>
      </w:r>
      <w:r w:rsidRPr="00C54EB4">
        <w:rPr>
          <w:color w:val="000000" w:themeColor="text1"/>
          <w:lang w:val="en-US"/>
        </w:rPr>
        <w:t xml:space="preserve"> </w:t>
      </w:r>
      <w:r w:rsidR="00697A82" w:rsidRPr="00377D8F">
        <w:rPr>
          <w:i/>
          <w:color w:val="000000" w:themeColor="text1"/>
          <w:lang w:val="en-US"/>
        </w:rPr>
        <w:t xml:space="preserve">insert a new paragraph </w:t>
      </w:r>
      <w:proofErr w:type="gramStart"/>
      <w:r w:rsidR="00697A82" w:rsidRPr="00377D8F">
        <w:rPr>
          <w:i/>
          <w:lang w:val="en-US"/>
        </w:rPr>
        <w:t>5.</w:t>
      </w:r>
      <w:r w:rsidR="00377D8F">
        <w:rPr>
          <w:lang w:val="en-US"/>
        </w:rPr>
        <w:t>,</w:t>
      </w:r>
      <w:proofErr w:type="gramEnd"/>
      <w:r w:rsidR="00377D8F">
        <w:rPr>
          <w:lang w:val="en-US"/>
        </w:rPr>
        <w:t xml:space="preserve"> to read</w:t>
      </w:r>
      <w:r w:rsidRPr="00697A82">
        <w:rPr>
          <w:lang w:val="en-US"/>
        </w:rPr>
        <w:t>:</w:t>
      </w:r>
    </w:p>
    <w:p w:rsidR="00DA63CE" w:rsidRPr="00697A82" w:rsidRDefault="00697A82" w:rsidP="00532D68">
      <w:pPr>
        <w:spacing w:after="120"/>
        <w:ind w:left="1134"/>
        <w:jc w:val="both"/>
        <w:rPr>
          <w:b/>
          <w:lang w:val="en-US"/>
        </w:rPr>
      </w:pPr>
      <w:r w:rsidRPr="00697A82">
        <w:rPr>
          <w:lang w:val="en-US"/>
        </w:rPr>
        <w:t>"</w:t>
      </w:r>
      <w:r w:rsidR="00DA63CE" w:rsidRPr="00415669">
        <w:rPr>
          <w:b/>
          <w:lang w:val="en-US"/>
        </w:rPr>
        <w:t>5.</w:t>
      </w:r>
      <w:r w:rsidR="00DA63CE" w:rsidRPr="00697A82">
        <w:rPr>
          <w:lang w:val="en-US"/>
        </w:rPr>
        <w:tab/>
      </w:r>
      <w:r w:rsidR="00DA63CE" w:rsidRPr="00697A82">
        <w:rPr>
          <w:lang w:val="en-US"/>
        </w:rPr>
        <w:tab/>
      </w:r>
      <w:r w:rsidR="00DA63CE" w:rsidRPr="00697A82">
        <w:rPr>
          <w:b/>
          <w:lang w:val="en-US"/>
        </w:rPr>
        <w:t>Rounding</w:t>
      </w:r>
    </w:p>
    <w:p w:rsidR="00697A82" w:rsidRPr="00697A82" w:rsidRDefault="00DA63CE" w:rsidP="00532D68">
      <w:pPr>
        <w:spacing w:after="120"/>
        <w:ind w:left="2268" w:right="1134"/>
        <w:jc w:val="both"/>
        <w:rPr>
          <w:b/>
          <w:lang w:val="en-US"/>
        </w:rPr>
      </w:pPr>
      <w:r w:rsidRPr="00697A82">
        <w:rPr>
          <w:b/>
        </w:rPr>
        <w:t>The final test result shall be rounded to the number of places to match the number of decimal places of the applicable emission standard. No rounding of intermediate values leading to the final break-specific emission result is permitted</w:t>
      </w:r>
      <w:r w:rsidR="00697A82">
        <w:rPr>
          <w:b/>
          <w:lang w:val="en-US"/>
        </w:rPr>
        <w:t>.</w:t>
      </w:r>
      <w:r w:rsidR="00415669" w:rsidRPr="009F1AA6">
        <w:t>"</w:t>
      </w:r>
    </w:p>
    <w:p w:rsidR="00890FB0" w:rsidRPr="00697A82" w:rsidRDefault="00890FB0" w:rsidP="00697A82">
      <w:pPr>
        <w:pStyle w:val="HChG"/>
        <w:tabs>
          <w:tab w:val="clear" w:pos="851"/>
        </w:tabs>
        <w:ind w:left="567" w:firstLine="0"/>
        <w:rPr>
          <w:szCs w:val="28"/>
        </w:rPr>
      </w:pPr>
      <w:r w:rsidRPr="00697A82">
        <w:rPr>
          <w:szCs w:val="28"/>
          <w:lang w:val="en-US"/>
        </w:rPr>
        <w:t>II.</w:t>
      </w:r>
      <w:r w:rsidRPr="00697A82">
        <w:rPr>
          <w:szCs w:val="28"/>
          <w:lang w:val="en-US"/>
        </w:rPr>
        <w:tab/>
        <w:t>Justification</w:t>
      </w:r>
    </w:p>
    <w:p w:rsidR="00697A82" w:rsidRPr="00415669" w:rsidRDefault="00697A82" w:rsidP="003C3E2C">
      <w:pPr>
        <w:pStyle w:val="ListParagraph"/>
        <w:numPr>
          <w:ilvl w:val="0"/>
          <w:numId w:val="37"/>
        </w:numPr>
        <w:spacing w:after="120" w:line="240" w:lineRule="atLeast"/>
        <w:ind w:left="1701" w:right="1134" w:hanging="567"/>
        <w:contextualSpacing w:val="0"/>
        <w:rPr>
          <w:lang w:val="en-US"/>
        </w:rPr>
      </w:pPr>
      <w:r w:rsidRPr="00415669">
        <w:rPr>
          <w:sz w:val="20"/>
          <w:lang w:val="en-US"/>
        </w:rPr>
        <w:t>Random check requirement (</w:t>
      </w:r>
      <w:r w:rsidR="00980841">
        <w:rPr>
          <w:sz w:val="20"/>
          <w:lang w:val="en-US"/>
        </w:rPr>
        <w:t xml:space="preserve">paragraph </w:t>
      </w:r>
      <w:r w:rsidRPr="00415669">
        <w:rPr>
          <w:sz w:val="20"/>
          <w:lang w:val="en-US"/>
        </w:rPr>
        <w:t>5.2.3.1.)</w:t>
      </w:r>
    </w:p>
    <w:p w:rsidR="00697A82" w:rsidRPr="00697A82" w:rsidRDefault="00697A82" w:rsidP="00603C42">
      <w:pPr>
        <w:pStyle w:val="ListParagraph"/>
        <w:tabs>
          <w:tab w:val="left" w:pos="8505"/>
        </w:tabs>
        <w:spacing w:after="120" w:line="240" w:lineRule="atLeast"/>
        <w:ind w:left="1134" w:right="1134" w:firstLine="567"/>
        <w:contextualSpacing w:val="0"/>
        <w:rPr>
          <w:sz w:val="20"/>
          <w:szCs w:val="20"/>
        </w:rPr>
      </w:pPr>
      <w:r w:rsidRPr="00697A82">
        <w:rPr>
          <w:sz w:val="20"/>
          <w:szCs w:val="20"/>
        </w:rPr>
        <w:t>Current provisions prevent from introducing engines with much lower emission levels than specified for EURO IV/V (e.g. Euro VI &lt;</w:t>
      </w:r>
      <w:r w:rsidR="00980841">
        <w:rPr>
          <w:sz w:val="20"/>
          <w:szCs w:val="20"/>
        </w:rPr>
        <w:t xml:space="preserve"> 0.4 g/kWh). The 10 per cent</w:t>
      </w:r>
      <w:r w:rsidRPr="00697A82">
        <w:rPr>
          <w:sz w:val="20"/>
          <w:szCs w:val="20"/>
        </w:rPr>
        <w:t xml:space="preserve"> tolerance band of these very low emission values are below the accuracy of this method (measurement, interpolation, </w:t>
      </w:r>
      <w:r>
        <w:rPr>
          <w:sz w:val="20"/>
          <w:szCs w:val="20"/>
        </w:rPr>
        <w:t>etc</w:t>
      </w:r>
      <w:r w:rsidRPr="00697A82">
        <w:rPr>
          <w:sz w:val="20"/>
          <w:szCs w:val="20"/>
        </w:rPr>
        <w:t xml:space="preserve">…). The provision was defined for EURO IV/V engines and lead to the fact that low emission engines (EURO VI) cannot fulfil the provisions. The proposal enables to certify Euro VI derived engine types for specific markets according to </w:t>
      </w:r>
      <w:r w:rsidR="00980841">
        <w:rPr>
          <w:sz w:val="20"/>
          <w:szCs w:val="20"/>
        </w:rPr>
        <w:t>the 05 series of amendments to Regulation No. 49.</w:t>
      </w:r>
    </w:p>
    <w:p w:rsidR="00415669" w:rsidRPr="00415669" w:rsidRDefault="00697A82" w:rsidP="00EC2B4B">
      <w:pPr>
        <w:pStyle w:val="ListParagraph"/>
        <w:numPr>
          <w:ilvl w:val="0"/>
          <w:numId w:val="37"/>
        </w:numPr>
        <w:tabs>
          <w:tab w:val="left" w:pos="8505"/>
        </w:tabs>
        <w:spacing w:after="120" w:line="240" w:lineRule="atLeast"/>
        <w:ind w:left="1701" w:right="1134" w:hanging="567"/>
        <w:contextualSpacing w:val="0"/>
        <w:rPr>
          <w:sz w:val="20"/>
          <w:szCs w:val="20"/>
        </w:rPr>
      </w:pPr>
      <w:r w:rsidRPr="00415669">
        <w:rPr>
          <w:sz w:val="20"/>
          <w:szCs w:val="20"/>
        </w:rPr>
        <w:t>Rounding of test results (Annex 6)</w:t>
      </w:r>
    </w:p>
    <w:p w:rsidR="00697A82" w:rsidRPr="00415669" w:rsidRDefault="008C4E7C" w:rsidP="00603C42">
      <w:pPr>
        <w:pStyle w:val="ListParagraph"/>
        <w:tabs>
          <w:tab w:val="left" w:pos="8505"/>
        </w:tabs>
        <w:spacing w:after="120" w:line="240" w:lineRule="atLeast"/>
        <w:ind w:left="1134" w:right="1134" w:firstLine="567"/>
        <w:contextualSpacing w:val="0"/>
        <w:rPr>
          <w:sz w:val="20"/>
          <w:szCs w:val="20"/>
          <w:lang w:val="en-US"/>
        </w:rPr>
      </w:pPr>
      <w:r>
        <w:rPr>
          <w:sz w:val="20"/>
          <w:szCs w:val="20"/>
          <w:lang w:val="en-US"/>
        </w:rPr>
        <w:t xml:space="preserve">The 05 series of amendments to </w:t>
      </w:r>
      <w:r w:rsidR="00697A82" w:rsidRPr="00415669">
        <w:rPr>
          <w:sz w:val="20"/>
          <w:szCs w:val="20"/>
          <w:lang w:val="en-US"/>
        </w:rPr>
        <w:t xml:space="preserve">Regulation No. 49 </w:t>
      </w:r>
      <w:r>
        <w:rPr>
          <w:sz w:val="20"/>
          <w:szCs w:val="20"/>
          <w:lang w:val="en-US"/>
        </w:rPr>
        <w:t>do</w:t>
      </w:r>
      <w:r w:rsidR="00697A82" w:rsidRPr="00415669">
        <w:rPr>
          <w:sz w:val="20"/>
          <w:szCs w:val="20"/>
          <w:lang w:val="en-US"/>
        </w:rPr>
        <w:t xml:space="preserve"> not specify rounding method for calculating the test results ac</w:t>
      </w:r>
      <w:r w:rsidR="009E71B8">
        <w:rPr>
          <w:sz w:val="20"/>
          <w:szCs w:val="20"/>
          <w:lang w:val="en-US"/>
        </w:rPr>
        <w:t>cording to the requirements in A</w:t>
      </w:r>
      <w:r w:rsidR="00697A82" w:rsidRPr="00415669">
        <w:rPr>
          <w:sz w:val="20"/>
          <w:szCs w:val="20"/>
          <w:lang w:val="en-US"/>
        </w:rPr>
        <w:t>nnex 4A. A Calculation example is pointed out in Annex 6. This leads to different interpretation. The proposal is in line wit</w:t>
      </w:r>
      <w:r w:rsidR="009E71B8">
        <w:rPr>
          <w:sz w:val="20"/>
          <w:szCs w:val="20"/>
          <w:lang w:val="en-US"/>
        </w:rPr>
        <w:t>h the applied praxis when this R</w:t>
      </w:r>
      <w:r w:rsidR="00697A82" w:rsidRPr="00415669">
        <w:rPr>
          <w:sz w:val="20"/>
          <w:szCs w:val="20"/>
          <w:lang w:val="en-US"/>
        </w:rPr>
        <w:t xml:space="preserve">egulation was applied in </w:t>
      </w:r>
      <w:r w:rsidR="009E71B8">
        <w:rPr>
          <w:sz w:val="20"/>
          <w:szCs w:val="20"/>
          <w:lang w:val="en-US"/>
        </w:rPr>
        <w:t xml:space="preserve">the </w:t>
      </w:r>
      <w:r w:rsidR="00697A82" w:rsidRPr="00415669">
        <w:rPr>
          <w:sz w:val="20"/>
          <w:szCs w:val="20"/>
          <w:lang w:val="en-US"/>
        </w:rPr>
        <w:t>E</w:t>
      </w:r>
      <w:r w:rsidR="009E71B8">
        <w:rPr>
          <w:sz w:val="20"/>
          <w:szCs w:val="20"/>
          <w:lang w:val="en-US"/>
        </w:rPr>
        <w:t xml:space="preserve">uropean </w:t>
      </w:r>
      <w:r w:rsidR="00697A82" w:rsidRPr="00415669">
        <w:rPr>
          <w:sz w:val="20"/>
          <w:szCs w:val="20"/>
          <w:lang w:val="en-US"/>
        </w:rPr>
        <w:t>U</w:t>
      </w:r>
      <w:r w:rsidR="009E71B8">
        <w:rPr>
          <w:sz w:val="20"/>
          <w:szCs w:val="20"/>
          <w:lang w:val="en-US"/>
        </w:rPr>
        <w:t>nion</w:t>
      </w:r>
      <w:r w:rsidR="00697A82" w:rsidRPr="00415669">
        <w:rPr>
          <w:sz w:val="20"/>
          <w:szCs w:val="20"/>
          <w:lang w:val="en-US"/>
        </w:rPr>
        <w:t xml:space="preserve"> in the past </w:t>
      </w:r>
      <w:r w:rsidR="009E71B8">
        <w:rPr>
          <w:sz w:val="20"/>
          <w:szCs w:val="20"/>
          <w:lang w:val="en-US"/>
        </w:rPr>
        <w:t>(</w:t>
      </w:r>
      <w:r w:rsidR="00697A82" w:rsidRPr="00415669">
        <w:rPr>
          <w:sz w:val="20"/>
          <w:szCs w:val="20"/>
          <w:lang w:val="en-US"/>
        </w:rPr>
        <w:t xml:space="preserve">EURO III to V), with general mathematic rounding principles and in line with the rounding method applied by </w:t>
      </w:r>
      <w:r w:rsidR="009E71B8">
        <w:rPr>
          <w:sz w:val="20"/>
          <w:szCs w:val="20"/>
          <w:lang w:val="en-US"/>
        </w:rPr>
        <w:t>the Environmental Protection Agency in the United States of America</w:t>
      </w:r>
      <w:r w:rsidR="00697A82" w:rsidRPr="00415669">
        <w:rPr>
          <w:sz w:val="20"/>
          <w:szCs w:val="20"/>
          <w:lang w:val="en-US"/>
        </w:rPr>
        <w:t xml:space="preserve"> (40 Code of Federal Register Part 1065). Adding proposed paragraph 5</w:t>
      </w:r>
      <w:r w:rsidR="009E71B8">
        <w:rPr>
          <w:sz w:val="20"/>
          <w:szCs w:val="20"/>
          <w:lang w:val="en-US"/>
        </w:rPr>
        <w:t>.</w:t>
      </w:r>
      <w:r w:rsidR="00697A82" w:rsidRPr="00415669">
        <w:rPr>
          <w:sz w:val="20"/>
          <w:szCs w:val="20"/>
          <w:lang w:val="en-US"/>
        </w:rPr>
        <w:t xml:space="preserve"> </w:t>
      </w:r>
      <w:proofErr w:type="gramStart"/>
      <w:r w:rsidR="00697A82" w:rsidRPr="00415669">
        <w:rPr>
          <w:sz w:val="20"/>
          <w:szCs w:val="20"/>
          <w:lang w:val="en-US"/>
        </w:rPr>
        <w:t>to</w:t>
      </w:r>
      <w:proofErr w:type="gramEnd"/>
      <w:r w:rsidR="00697A82" w:rsidRPr="00415669">
        <w:rPr>
          <w:sz w:val="20"/>
          <w:szCs w:val="20"/>
          <w:lang w:val="en-US"/>
        </w:rPr>
        <w:t xml:space="preserve"> Annex 6 will clarify it</w:t>
      </w:r>
      <w:r w:rsidR="009E71B8">
        <w:rPr>
          <w:sz w:val="20"/>
          <w:szCs w:val="20"/>
          <w:lang w:val="en-US"/>
        </w:rPr>
        <w:t>.</w:t>
      </w:r>
    </w:p>
    <w:p w:rsidR="00101C28" w:rsidRPr="00FD6858" w:rsidRDefault="00101C28" w:rsidP="00101C28">
      <w:pPr>
        <w:pStyle w:val="SingleTxtG"/>
        <w:spacing w:before="240" w:after="0"/>
        <w:jc w:val="center"/>
        <w:rPr>
          <w:u w:val="single"/>
        </w:rPr>
      </w:pPr>
      <w:r w:rsidRPr="00FD6858">
        <w:rPr>
          <w:u w:val="single"/>
        </w:rPr>
        <w:tab/>
      </w:r>
      <w:r w:rsidRPr="00FD6858">
        <w:rPr>
          <w:u w:val="single"/>
        </w:rPr>
        <w:tab/>
      </w:r>
      <w:r w:rsidRPr="00FD6858">
        <w:rPr>
          <w:u w:val="single"/>
        </w:rPr>
        <w:tab/>
      </w:r>
    </w:p>
    <w:p w:rsidR="005C7411" w:rsidRPr="00FD6858" w:rsidRDefault="005C7411" w:rsidP="00101C28">
      <w:pPr>
        <w:pStyle w:val="SingleTxtG"/>
        <w:spacing w:before="240" w:after="0"/>
        <w:jc w:val="center"/>
        <w:rPr>
          <w:u w:val="single"/>
        </w:rPr>
      </w:pPr>
    </w:p>
    <w:sectPr w:rsidR="005C7411" w:rsidRPr="00FD6858" w:rsidSect="000C28DE">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204" w:rsidRDefault="00F23204"/>
  </w:endnote>
  <w:endnote w:type="continuationSeparator" w:id="0">
    <w:p w:rsidR="00F23204" w:rsidRDefault="00F23204"/>
  </w:endnote>
  <w:endnote w:type="continuationNotice" w:id="1">
    <w:p w:rsidR="00F23204" w:rsidRDefault="00F23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Default="003E02F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7B4468">
      <w:rPr>
        <w:b/>
        <w:noProof/>
        <w:sz w:val="18"/>
      </w:rPr>
      <w:t>2</w:t>
    </w:r>
    <w:r w:rsidRPr="00D45CC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Default="003E02F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C75076">
      <w:rPr>
        <w:b/>
        <w:noProof/>
        <w:sz w:val="18"/>
      </w:rPr>
      <w:t>3</w:t>
    </w:r>
    <w:r w:rsidRPr="00D45C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E5" w:rsidRDefault="00D11EE5" w:rsidP="00D11EE5">
    <w:pPr>
      <w:pStyle w:val="Foote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5468147</wp:posOffset>
          </wp:positionH>
          <wp:positionV relativeFrom="margin">
            <wp:posOffset>7922880</wp:posOffset>
          </wp:positionV>
          <wp:extent cx="638175" cy="638175"/>
          <wp:effectExtent l="0" t="0" r="9525" b="9525"/>
          <wp:wrapNone/>
          <wp:docPr id="2" name="Picture 1" descr="https://undocs.org/m2/QRCode.ashx?DS=ECE/TRANS/WP.29/GRPE/2018/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8/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4309745</wp:posOffset>
          </wp:positionH>
          <wp:positionV relativeFrom="margin">
            <wp:posOffset>8272780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D11EE5" w:rsidRDefault="00D11EE5" w:rsidP="00D11EE5">
    <w:pPr>
      <w:pStyle w:val="Footer"/>
      <w:ind w:right="1134"/>
      <w:rPr>
        <w:sz w:val="20"/>
      </w:rPr>
    </w:pPr>
    <w:r>
      <w:rPr>
        <w:sz w:val="20"/>
      </w:rPr>
      <w:t>GE.17-18459(E)</w:t>
    </w:r>
  </w:p>
  <w:p w:rsidR="00D11EE5" w:rsidRPr="00D11EE5" w:rsidRDefault="00D11EE5" w:rsidP="00D11EE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204" w:rsidRPr="000B175B" w:rsidRDefault="00F23204" w:rsidP="000B175B">
      <w:pPr>
        <w:tabs>
          <w:tab w:val="right" w:pos="2155"/>
        </w:tabs>
        <w:spacing w:after="80"/>
        <w:ind w:left="680"/>
        <w:rPr>
          <w:u w:val="single"/>
        </w:rPr>
      </w:pPr>
      <w:r>
        <w:rPr>
          <w:u w:val="single"/>
        </w:rPr>
        <w:tab/>
      </w:r>
    </w:p>
  </w:footnote>
  <w:footnote w:type="continuationSeparator" w:id="0">
    <w:p w:rsidR="00F23204" w:rsidRPr="00FC68B7" w:rsidRDefault="00F23204" w:rsidP="00FC68B7">
      <w:pPr>
        <w:tabs>
          <w:tab w:val="left" w:pos="2155"/>
        </w:tabs>
        <w:spacing w:after="80"/>
        <w:ind w:left="680"/>
        <w:rPr>
          <w:u w:val="single"/>
        </w:rPr>
      </w:pPr>
      <w:r>
        <w:rPr>
          <w:u w:val="single"/>
        </w:rPr>
        <w:tab/>
      </w:r>
    </w:p>
  </w:footnote>
  <w:footnote w:type="continuationNotice" w:id="1">
    <w:p w:rsidR="00F23204" w:rsidRDefault="00F23204"/>
  </w:footnote>
  <w:footnote w:id="2">
    <w:p w:rsidR="00EE16EE" w:rsidRPr="007E5C8F" w:rsidRDefault="00EE16EE" w:rsidP="00735EE3">
      <w:pPr>
        <w:pStyle w:val="FootnoteText"/>
      </w:pPr>
      <w:r>
        <w:tab/>
      </w:r>
      <w:r w:rsidRPr="002232AF">
        <w:rPr>
          <w:rStyle w:val="FootnoteReference"/>
          <w:sz w:val="20"/>
          <w:vertAlign w:val="baseline"/>
          <w:lang w:val="en-US"/>
        </w:rPr>
        <w:t>*</w:t>
      </w:r>
      <w:r w:rsidRPr="002232AF">
        <w:rPr>
          <w:sz w:val="20"/>
          <w:lang w:val="en-US"/>
        </w:rPr>
        <w:tab/>
      </w:r>
      <w:r w:rsidR="00616015" w:rsidRPr="00C04C5C">
        <w:rPr>
          <w:szCs w:val="18"/>
          <w:lang w:val="en-US"/>
        </w:rPr>
        <w:t xml:space="preserve">In accordance with the </w:t>
      </w:r>
      <w:proofErr w:type="spellStart"/>
      <w:r w:rsidR="00616015" w:rsidRPr="00C04C5C">
        <w:rPr>
          <w:szCs w:val="18"/>
          <w:lang w:val="en-US"/>
        </w:rPr>
        <w:t>programme</w:t>
      </w:r>
      <w:proofErr w:type="spellEnd"/>
      <w:r w:rsidR="00616015" w:rsidRPr="00C04C5C">
        <w:rPr>
          <w:szCs w:val="18"/>
          <w:lang w:val="en-US"/>
        </w:rPr>
        <w:t xml:space="preserve"> of work of the Inla</w:t>
      </w:r>
      <w:r w:rsidR="00616015">
        <w:rPr>
          <w:szCs w:val="18"/>
          <w:lang w:val="en-US"/>
        </w:rPr>
        <w:t>nd Transport Committee for 2014–2018 (ECE/TRANS/240</w:t>
      </w:r>
      <w:r w:rsidR="00616015" w:rsidRPr="00DC2E82">
        <w:rPr>
          <w:szCs w:val="18"/>
          <w:lang w:val="en-US"/>
        </w:rPr>
        <w:t xml:space="preserve">, para. </w:t>
      </w:r>
      <w:r w:rsidR="00616015">
        <w:rPr>
          <w:szCs w:val="18"/>
          <w:lang w:val="en-US"/>
        </w:rPr>
        <w:t>105</w:t>
      </w:r>
      <w:r w:rsidR="00616015" w:rsidRPr="00DC2E82">
        <w:rPr>
          <w:szCs w:val="18"/>
          <w:lang w:val="en-US"/>
        </w:rPr>
        <w:t xml:space="preserve"> and ECE/TRANS/201</w:t>
      </w:r>
      <w:r w:rsidR="00616015">
        <w:rPr>
          <w:szCs w:val="18"/>
          <w:lang w:val="en-US"/>
        </w:rPr>
        <w:t>4/26</w:t>
      </w:r>
      <w:r w:rsidR="00616015" w:rsidRPr="00DC2E82">
        <w:rPr>
          <w:szCs w:val="18"/>
          <w:lang w:val="en-US"/>
        </w:rPr>
        <w:t xml:space="preserve">, </w:t>
      </w:r>
      <w:proofErr w:type="spellStart"/>
      <w:r w:rsidR="00616015" w:rsidRPr="00C04C5C">
        <w:rPr>
          <w:szCs w:val="18"/>
          <w:lang w:val="en-US"/>
        </w:rPr>
        <w:t>programme</w:t>
      </w:r>
      <w:proofErr w:type="spellEnd"/>
      <w:r w:rsidR="00616015" w:rsidRPr="00C04C5C">
        <w:rPr>
          <w:szCs w:val="18"/>
          <w:lang w:val="en-US"/>
        </w:rPr>
        <w:t xml:space="preserve"> activity 02.4), the World Forum will</w:t>
      </w:r>
      <w:r w:rsidR="00616015">
        <w:rPr>
          <w:szCs w:val="18"/>
          <w:lang w:val="en-US"/>
        </w:rPr>
        <w:t xml:space="preserve"> develop, harmonize and update R</w:t>
      </w:r>
      <w:r w:rsidR="00616015" w:rsidRPr="00C04C5C">
        <w:rPr>
          <w:szCs w:val="18"/>
          <w:lang w:val="en-US"/>
        </w:rPr>
        <w:t xml:space="preserve">egulations in order to enhance </w:t>
      </w:r>
      <w:r w:rsidR="00616015">
        <w:rPr>
          <w:szCs w:val="18"/>
          <w:lang w:val="en-US"/>
        </w:rPr>
        <w:t xml:space="preserve">the </w:t>
      </w:r>
      <w:r w:rsidR="00616015" w:rsidRPr="00C04C5C">
        <w:rPr>
          <w:szCs w:val="18"/>
          <w:lang w:val="en-US"/>
        </w:rPr>
        <w:t xml:space="preserve">performance of vehicles. The </w:t>
      </w:r>
      <w:r w:rsidR="00616015" w:rsidRPr="007E5C8F">
        <w:rPr>
          <w:szCs w:val="18"/>
        </w:rPr>
        <w:t>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Pr="003E02FC" w:rsidRDefault="009C3E09">
    <w:pPr>
      <w:pStyle w:val="Header"/>
      <w:rPr>
        <w:lang w:val="fr-CH"/>
      </w:rPr>
    </w:pPr>
    <w:r>
      <w:rPr>
        <w:lang w:val="fr-CH"/>
      </w:rPr>
      <w:t>ECE/TRANS/WP.29/GRPE/201</w:t>
    </w:r>
    <w:r w:rsidR="0076583E">
      <w:rPr>
        <w:lang w:val="fr-CH"/>
      </w:rPr>
      <w:t>8</w:t>
    </w:r>
    <w:r>
      <w:rPr>
        <w:lang w:val="fr-CH"/>
      </w:rPr>
      <w:t>/</w:t>
    </w:r>
    <w:r w:rsidR="00F21A55">
      <w:rPr>
        <w:lang w:val="fr-CH"/>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Pr="003E02FC" w:rsidRDefault="003E02FC" w:rsidP="003E02FC">
    <w:pPr>
      <w:pStyle w:val="Header"/>
      <w:jc w:val="right"/>
      <w:rPr>
        <w:lang w:val="fr-CH"/>
      </w:rPr>
    </w:pPr>
    <w:r>
      <w:rPr>
        <w:lang w:val="fr-CH"/>
      </w:rPr>
      <w:t>ECE/TRANS/WP.29/GRPE/2017/</w:t>
    </w:r>
    <w:r w:rsidR="003B6787">
      <w:rPr>
        <w:lang w:val="fr-CH"/>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254" w:rsidRPr="00E970F0" w:rsidRDefault="00111254" w:rsidP="00111254">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E2711FB"/>
    <w:multiLevelType w:val="hybridMultilevel"/>
    <w:tmpl w:val="D84C6D64"/>
    <w:lvl w:ilvl="0" w:tplc="A468983C">
      <w:start w:val="1"/>
      <w:numFmt w:val="decimal"/>
      <w:lvlText w:val="%1."/>
      <w:lvlJc w:val="left"/>
      <w:pPr>
        <w:ind w:left="1494" w:hanging="360"/>
      </w:pPr>
      <w:rPr>
        <w:sz w:val="2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9">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1">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2">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3">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4">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5">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6">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2">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5">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6"/>
  </w:num>
  <w:num w:numId="13">
    <w:abstractNumId w:val="12"/>
  </w:num>
  <w:num w:numId="14">
    <w:abstractNumId w:val="30"/>
  </w:num>
  <w:num w:numId="15">
    <w:abstractNumId w:val="33"/>
  </w:num>
  <w:num w:numId="16">
    <w:abstractNumId w:val="18"/>
  </w:num>
  <w:num w:numId="17">
    <w:abstractNumId w:val="35"/>
  </w:num>
  <w:num w:numId="18">
    <w:abstractNumId w:val="31"/>
  </w:num>
  <w:num w:numId="19">
    <w:abstractNumId w:val="23"/>
  </w:num>
  <w:num w:numId="20">
    <w:abstractNumId w:val="22"/>
  </w:num>
  <w:num w:numId="21">
    <w:abstractNumId w:val="19"/>
  </w:num>
  <w:num w:numId="22">
    <w:abstractNumId w:val="32"/>
  </w:num>
  <w:num w:numId="23">
    <w:abstractNumId w:val="36"/>
  </w:num>
  <w:num w:numId="24">
    <w:abstractNumId w:val="10"/>
  </w:num>
  <w:num w:numId="25">
    <w:abstractNumId w:val="34"/>
  </w:num>
  <w:num w:numId="26">
    <w:abstractNumId w:val="17"/>
  </w:num>
  <w:num w:numId="27">
    <w:abstractNumId w:val="11"/>
  </w:num>
  <w:num w:numId="28">
    <w:abstractNumId w:val="24"/>
  </w:num>
  <w:num w:numId="29">
    <w:abstractNumId w:val="15"/>
  </w:num>
  <w:num w:numId="30">
    <w:abstractNumId w:val="26"/>
  </w:num>
  <w:num w:numId="31">
    <w:abstractNumId w:val="27"/>
  </w:num>
  <w:num w:numId="32">
    <w:abstractNumId w:val="21"/>
  </w:num>
  <w:num w:numId="33">
    <w:abstractNumId w:val="13"/>
  </w:num>
  <w:num w:numId="34">
    <w:abstractNumId w:val="20"/>
  </w:num>
  <w:num w:numId="35">
    <w:abstractNumId w:val="29"/>
  </w:num>
  <w:num w:numId="36">
    <w:abstractNumId w:val="25"/>
  </w:num>
  <w:num w:numId="3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58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45CC9"/>
    <w:rsid w:val="00001EE5"/>
    <w:rsid w:val="00002EAF"/>
    <w:rsid w:val="000030A6"/>
    <w:rsid w:val="000042F5"/>
    <w:rsid w:val="00006048"/>
    <w:rsid w:val="000060FD"/>
    <w:rsid w:val="0001163B"/>
    <w:rsid w:val="00012209"/>
    <w:rsid w:val="00012662"/>
    <w:rsid w:val="00012908"/>
    <w:rsid w:val="00015498"/>
    <w:rsid w:val="00022B30"/>
    <w:rsid w:val="000236A2"/>
    <w:rsid w:val="00023BEA"/>
    <w:rsid w:val="000246CC"/>
    <w:rsid w:val="00025AFC"/>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042"/>
    <w:rsid w:val="00073399"/>
    <w:rsid w:val="000733B5"/>
    <w:rsid w:val="00073C2B"/>
    <w:rsid w:val="00073E4C"/>
    <w:rsid w:val="00074498"/>
    <w:rsid w:val="00074527"/>
    <w:rsid w:val="00075781"/>
    <w:rsid w:val="0007716C"/>
    <w:rsid w:val="0007777D"/>
    <w:rsid w:val="0007792A"/>
    <w:rsid w:val="000779A3"/>
    <w:rsid w:val="00081815"/>
    <w:rsid w:val="00082D9D"/>
    <w:rsid w:val="000840B6"/>
    <w:rsid w:val="00084EC7"/>
    <w:rsid w:val="000859C1"/>
    <w:rsid w:val="00085E67"/>
    <w:rsid w:val="00086456"/>
    <w:rsid w:val="00087B2E"/>
    <w:rsid w:val="00087B79"/>
    <w:rsid w:val="0009000C"/>
    <w:rsid w:val="000912F0"/>
    <w:rsid w:val="00091567"/>
    <w:rsid w:val="000915C8"/>
    <w:rsid w:val="00091C16"/>
    <w:rsid w:val="0009252F"/>
    <w:rsid w:val="0009284D"/>
    <w:rsid w:val="00093107"/>
    <w:rsid w:val="000931C0"/>
    <w:rsid w:val="00094636"/>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7A47"/>
    <w:rsid w:val="000C09C7"/>
    <w:rsid w:val="000C09F4"/>
    <w:rsid w:val="000C1495"/>
    <w:rsid w:val="000C1A31"/>
    <w:rsid w:val="000C1AB3"/>
    <w:rsid w:val="000C1ACC"/>
    <w:rsid w:val="000C28DE"/>
    <w:rsid w:val="000C2C03"/>
    <w:rsid w:val="000C2D2E"/>
    <w:rsid w:val="000C3F7F"/>
    <w:rsid w:val="000C3F89"/>
    <w:rsid w:val="000C5647"/>
    <w:rsid w:val="000C66C8"/>
    <w:rsid w:val="000D0486"/>
    <w:rsid w:val="000D1059"/>
    <w:rsid w:val="000D245A"/>
    <w:rsid w:val="000D3C51"/>
    <w:rsid w:val="000D3E5C"/>
    <w:rsid w:val="000D4B33"/>
    <w:rsid w:val="000D64F9"/>
    <w:rsid w:val="000D7F00"/>
    <w:rsid w:val="000E0415"/>
    <w:rsid w:val="000E0854"/>
    <w:rsid w:val="000E1D94"/>
    <w:rsid w:val="000E48B0"/>
    <w:rsid w:val="000E4D42"/>
    <w:rsid w:val="000E4F4A"/>
    <w:rsid w:val="000E5276"/>
    <w:rsid w:val="000E70B3"/>
    <w:rsid w:val="000E72C1"/>
    <w:rsid w:val="000E73A7"/>
    <w:rsid w:val="000E7CC6"/>
    <w:rsid w:val="000E7E02"/>
    <w:rsid w:val="000F1142"/>
    <w:rsid w:val="000F1275"/>
    <w:rsid w:val="000F1E65"/>
    <w:rsid w:val="000F28B3"/>
    <w:rsid w:val="000F3975"/>
    <w:rsid w:val="000F39F3"/>
    <w:rsid w:val="000F47F4"/>
    <w:rsid w:val="000F56BA"/>
    <w:rsid w:val="000F5C3B"/>
    <w:rsid w:val="000F6BFF"/>
    <w:rsid w:val="000F7EF2"/>
    <w:rsid w:val="000F7F91"/>
    <w:rsid w:val="00100059"/>
    <w:rsid w:val="00100CA3"/>
    <w:rsid w:val="00101C28"/>
    <w:rsid w:val="00102277"/>
    <w:rsid w:val="00102531"/>
    <w:rsid w:val="0010362C"/>
    <w:rsid w:val="001039D1"/>
    <w:rsid w:val="001052FD"/>
    <w:rsid w:val="00105750"/>
    <w:rsid w:val="001067FA"/>
    <w:rsid w:val="00106F05"/>
    <w:rsid w:val="00107257"/>
    <w:rsid w:val="00107694"/>
    <w:rsid w:val="001076F0"/>
    <w:rsid w:val="001103AA"/>
    <w:rsid w:val="00111254"/>
    <w:rsid w:val="00111CAA"/>
    <w:rsid w:val="0011202E"/>
    <w:rsid w:val="001126E4"/>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31483"/>
    <w:rsid w:val="00131EAA"/>
    <w:rsid w:val="0013419D"/>
    <w:rsid w:val="001345AF"/>
    <w:rsid w:val="00135337"/>
    <w:rsid w:val="001363FA"/>
    <w:rsid w:val="00136C8D"/>
    <w:rsid w:val="00136FC3"/>
    <w:rsid w:val="00137254"/>
    <w:rsid w:val="00137F6B"/>
    <w:rsid w:val="00140460"/>
    <w:rsid w:val="001410FB"/>
    <w:rsid w:val="00141612"/>
    <w:rsid w:val="001418F0"/>
    <w:rsid w:val="00142CFA"/>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6FF"/>
    <w:rsid w:val="00155892"/>
    <w:rsid w:val="00156683"/>
    <w:rsid w:val="00157968"/>
    <w:rsid w:val="001603C3"/>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71B"/>
    <w:rsid w:val="001A6EDB"/>
    <w:rsid w:val="001A7CE2"/>
    <w:rsid w:val="001B0543"/>
    <w:rsid w:val="001B1F55"/>
    <w:rsid w:val="001B2F77"/>
    <w:rsid w:val="001B333D"/>
    <w:rsid w:val="001B334F"/>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F4B"/>
    <w:rsid w:val="0021442B"/>
    <w:rsid w:val="00214974"/>
    <w:rsid w:val="00214A53"/>
    <w:rsid w:val="00214EDB"/>
    <w:rsid w:val="00215213"/>
    <w:rsid w:val="0021530F"/>
    <w:rsid w:val="002157DE"/>
    <w:rsid w:val="00216B2B"/>
    <w:rsid w:val="00223E57"/>
    <w:rsid w:val="00225ED7"/>
    <w:rsid w:val="0022609C"/>
    <w:rsid w:val="0022630B"/>
    <w:rsid w:val="002275E7"/>
    <w:rsid w:val="00227EAC"/>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FBC"/>
    <w:rsid w:val="00283180"/>
    <w:rsid w:val="00283882"/>
    <w:rsid w:val="00283ED6"/>
    <w:rsid w:val="00285BA9"/>
    <w:rsid w:val="00286A18"/>
    <w:rsid w:val="00286B4D"/>
    <w:rsid w:val="00287234"/>
    <w:rsid w:val="00287B01"/>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5DE"/>
    <w:rsid w:val="002E1C6A"/>
    <w:rsid w:val="002E2A65"/>
    <w:rsid w:val="002E30C8"/>
    <w:rsid w:val="002E33A0"/>
    <w:rsid w:val="002E3724"/>
    <w:rsid w:val="002E5076"/>
    <w:rsid w:val="002E6E2E"/>
    <w:rsid w:val="002E7702"/>
    <w:rsid w:val="002E7B27"/>
    <w:rsid w:val="002F076A"/>
    <w:rsid w:val="002F0DA4"/>
    <w:rsid w:val="002F175C"/>
    <w:rsid w:val="002F1D71"/>
    <w:rsid w:val="002F333C"/>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77D8F"/>
    <w:rsid w:val="00380740"/>
    <w:rsid w:val="003815AF"/>
    <w:rsid w:val="003821A5"/>
    <w:rsid w:val="003828B0"/>
    <w:rsid w:val="003831BA"/>
    <w:rsid w:val="003833C3"/>
    <w:rsid w:val="00384B64"/>
    <w:rsid w:val="003857A5"/>
    <w:rsid w:val="00385D5E"/>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1C58"/>
    <w:rsid w:val="003B36F2"/>
    <w:rsid w:val="003B45E6"/>
    <w:rsid w:val="003B48BA"/>
    <w:rsid w:val="003B5254"/>
    <w:rsid w:val="003B6787"/>
    <w:rsid w:val="003B7F9A"/>
    <w:rsid w:val="003C01C3"/>
    <w:rsid w:val="003C021A"/>
    <w:rsid w:val="003C0A7B"/>
    <w:rsid w:val="003C0B18"/>
    <w:rsid w:val="003C104B"/>
    <w:rsid w:val="003C1A3B"/>
    <w:rsid w:val="003C2CC4"/>
    <w:rsid w:val="003C3E2C"/>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3AA4"/>
    <w:rsid w:val="003F3EC3"/>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5C64"/>
    <w:rsid w:val="00407F84"/>
    <w:rsid w:val="00410462"/>
    <w:rsid w:val="00410767"/>
    <w:rsid w:val="00410C89"/>
    <w:rsid w:val="00410DE0"/>
    <w:rsid w:val="00411B4B"/>
    <w:rsid w:val="0041299D"/>
    <w:rsid w:val="0041347A"/>
    <w:rsid w:val="00413918"/>
    <w:rsid w:val="00413AF2"/>
    <w:rsid w:val="00414B03"/>
    <w:rsid w:val="00415669"/>
    <w:rsid w:val="0042039F"/>
    <w:rsid w:val="00421A40"/>
    <w:rsid w:val="00421DAB"/>
    <w:rsid w:val="00422AF5"/>
    <w:rsid w:val="00422E03"/>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62505"/>
    <w:rsid w:val="00463EB4"/>
    <w:rsid w:val="004648C8"/>
    <w:rsid w:val="004648CA"/>
    <w:rsid w:val="00465DA9"/>
    <w:rsid w:val="00470C61"/>
    <w:rsid w:val="00470C76"/>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2B3"/>
    <w:rsid w:val="004C4363"/>
    <w:rsid w:val="004C46ED"/>
    <w:rsid w:val="004C4911"/>
    <w:rsid w:val="004C5E1F"/>
    <w:rsid w:val="004C727E"/>
    <w:rsid w:val="004C7462"/>
    <w:rsid w:val="004C7A75"/>
    <w:rsid w:val="004D00E2"/>
    <w:rsid w:val="004D0E6A"/>
    <w:rsid w:val="004D13D6"/>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2D68"/>
    <w:rsid w:val="00533277"/>
    <w:rsid w:val="00533A5D"/>
    <w:rsid w:val="005348D8"/>
    <w:rsid w:val="00535458"/>
    <w:rsid w:val="005357C9"/>
    <w:rsid w:val="0053588E"/>
    <w:rsid w:val="00536842"/>
    <w:rsid w:val="00536B24"/>
    <w:rsid w:val="00536F83"/>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A7"/>
    <w:rsid w:val="005B1531"/>
    <w:rsid w:val="005B320C"/>
    <w:rsid w:val="005B349C"/>
    <w:rsid w:val="005B3DB3"/>
    <w:rsid w:val="005B4E13"/>
    <w:rsid w:val="005B5BCD"/>
    <w:rsid w:val="005B71CB"/>
    <w:rsid w:val="005C342F"/>
    <w:rsid w:val="005C37C7"/>
    <w:rsid w:val="005C5A37"/>
    <w:rsid w:val="005C5BE6"/>
    <w:rsid w:val="005C741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3C42"/>
    <w:rsid w:val="00604D06"/>
    <w:rsid w:val="00605042"/>
    <w:rsid w:val="00605BD0"/>
    <w:rsid w:val="0060768C"/>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5FC7"/>
    <w:rsid w:val="00686D50"/>
    <w:rsid w:val="0068744D"/>
    <w:rsid w:val="00687B17"/>
    <w:rsid w:val="006902BF"/>
    <w:rsid w:val="00691568"/>
    <w:rsid w:val="00691A02"/>
    <w:rsid w:val="00691EB1"/>
    <w:rsid w:val="00693741"/>
    <w:rsid w:val="006947B7"/>
    <w:rsid w:val="00696804"/>
    <w:rsid w:val="0069773D"/>
    <w:rsid w:val="00697884"/>
    <w:rsid w:val="00697A82"/>
    <w:rsid w:val="006A0162"/>
    <w:rsid w:val="006A0C09"/>
    <w:rsid w:val="006A1CEE"/>
    <w:rsid w:val="006A2530"/>
    <w:rsid w:val="006A3C33"/>
    <w:rsid w:val="006A42BC"/>
    <w:rsid w:val="006A4F15"/>
    <w:rsid w:val="006A65B8"/>
    <w:rsid w:val="006A6E99"/>
    <w:rsid w:val="006A78A1"/>
    <w:rsid w:val="006B05FA"/>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4CF5"/>
    <w:rsid w:val="0071662F"/>
    <w:rsid w:val="00716EC0"/>
    <w:rsid w:val="00716F45"/>
    <w:rsid w:val="00720E47"/>
    <w:rsid w:val="00721617"/>
    <w:rsid w:val="007225CD"/>
    <w:rsid w:val="00722FF0"/>
    <w:rsid w:val="00723209"/>
    <w:rsid w:val="00723910"/>
    <w:rsid w:val="00724FED"/>
    <w:rsid w:val="00725587"/>
    <w:rsid w:val="00725735"/>
    <w:rsid w:val="0072632A"/>
    <w:rsid w:val="00726AC1"/>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583E"/>
    <w:rsid w:val="0076666D"/>
    <w:rsid w:val="00770145"/>
    <w:rsid w:val="00770226"/>
    <w:rsid w:val="0077047D"/>
    <w:rsid w:val="007710C6"/>
    <w:rsid w:val="007712B1"/>
    <w:rsid w:val="00771F33"/>
    <w:rsid w:val="007722F5"/>
    <w:rsid w:val="00772EAE"/>
    <w:rsid w:val="007738C1"/>
    <w:rsid w:val="007755AD"/>
    <w:rsid w:val="0077583F"/>
    <w:rsid w:val="007818BA"/>
    <w:rsid w:val="00781E22"/>
    <w:rsid w:val="007820AF"/>
    <w:rsid w:val="00782C00"/>
    <w:rsid w:val="00783387"/>
    <w:rsid w:val="007838B2"/>
    <w:rsid w:val="00783CB3"/>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97FF0"/>
    <w:rsid w:val="007A0B3C"/>
    <w:rsid w:val="007A167E"/>
    <w:rsid w:val="007A1D4A"/>
    <w:rsid w:val="007A2490"/>
    <w:rsid w:val="007A2AA2"/>
    <w:rsid w:val="007A3BB0"/>
    <w:rsid w:val="007A3C74"/>
    <w:rsid w:val="007A4BBE"/>
    <w:rsid w:val="007A7181"/>
    <w:rsid w:val="007B20A0"/>
    <w:rsid w:val="007B2682"/>
    <w:rsid w:val="007B29C8"/>
    <w:rsid w:val="007B4089"/>
    <w:rsid w:val="007B4468"/>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5ED"/>
    <w:rsid w:val="008068C6"/>
    <w:rsid w:val="0081080D"/>
    <w:rsid w:val="00811071"/>
    <w:rsid w:val="00811920"/>
    <w:rsid w:val="00811B14"/>
    <w:rsid w:val="00812D6F"/>
    <w:rsid w:val="00812ED5"/>
    <w:rsid w:val="00813148"/>
    <w:rsid w:val="00813318"/>
    <w:rsid w:val="00814F84"/>
    <w:rsid w:val="00815AD0"/>
    <w:rsid w:val="00815EDB"/>
    <w:rsid w:val="00816135"/>
    <w:rsid w:val="00816252"/>
    <w:rsid w:val="008164AE"/>
    <w:rsid w:val="00816D8A"/>
    <w:rsid w:val="008200B2"/>
    <w:rsid w:val="00821122"/>
    <w:rsid w:val="00821D46"/>
    <w:rsid w:val="00822DEB"/>
    <w:rsid w:val="00822DF2"/>
    <w:rsid w:val="008242D7"/>
    <w:rsid w:val="00824DB0"/>
    <w:rsid w:val="008257B1"/>
    <w:rsid w:val="0082597F"/>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8E7"/>
    <w:rsid w:val="00847172"/>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B12EF"/>
    <w:rsid w:val="008B14B7"/>
    <w:rsid w:val="008B2335"/>
    <w:rsid w:val="008B2E36"/>
    <w:rsid w:val="008B5CF0"/>
    <w:rsid w:val="008B6D38"/>
    <w:rsid w:val="008C05F1"/>
    <w:rsid w:val="008C104F"/>
    <w:rsid w:val="008C1B44"/>
    <w:rsid w:val="008C1B8D"/>
    <w:rsid w:val="008C2C6C"/>
    <w:rsid w:val="008C3964"/>
    <w:rsid w:val="008C400C"/>
    <w:rsid w:val="008C4247"/>
    <w:rsid w:val="008C4E7C"/>
    <w:rsid w:val="008C6E4E"/>
    <w:rsid w:val="008C7313"/>
    <w:rsid w:val="008C791A"/>
    <w:rsid w:val="008D3588"/>
    <w:rsid w:val="008D3AB4"/>
    <w:rsid w:val="008D492C"/>
    <w:rsid w:val="008D594C"/>
    <w:rsid w:val="008D78C5"/>
    <w:rsid w:val="008D7DB6"/>
    <w:rsid w:val="008D7DDE"/>
    <w:rsid w:val="008E05D2"/>
    <w:rsid w:val="008E0678"/>
    <w:rsid w:val="008E37C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984"/>
    <w:rsid w:val="00962990"/>
    <w:rsid w:val="00962A33"/>
    <w:rsid w:val="009636DB"/>
    <w:rsid w:val="00964618"/>
    <w:rsid w:val="00965AE7"/>
    <w:rsid w:val="009673BE"/>
    <w:rsid w:val="00967B50"/>
    <w:rsid w:val="00967E9C"/>
    <w:rsid w:val="0097084A"/>
    <w:rsid w:val="0097284C"/>
    <w:rsid w:val="00972E21"/>
    <w:rsid w:val="009760F3"/>
    <w:rsid w:val="00976BCB"/>
    <w:rsid w:val="00976CFB"/>
    <w:rsid w:val="00980594"/>
    <w:rsid w:val="00980841"/>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E71B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56DF"/>
    <w:rsid w:val="00A0644D"/>
    <w:rsid w:val="00A112AA"/>
    <w:rsid w:val="00A1169F"/>
    <w:rsid w:val="00A11F0B"/>
    <w:rsid w:val="00A12653"/>
    <w:rsid w:val="00A1434F"/>
    <w:rsid w:val="00A14AFF"/>
    <w:rsid w:val="00A1578E"/>
    <w:rsid w:val="00A16603"/>
    <w:rsid w:val="00A16A78"/>
    <w:rsid w:val="00A173C2"/>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6977"/>
    <w:rsid w:val="00A370E5"/>
    <w:rsid w:val="00A43B78"/>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6EA1"/>
    <w:rsid w:val="00AB7440"/>
    <w:rsid w:val="00AC5259"/>
    <w:rsid w:val="00AC5823"/>
    <w:rsid w:val="00AC5B09"/>
    <w:rsid w:val="00AC6E56"/>
    <w:rsid w:val="00AD1236"/>
    <w:rsid w:val="00AD2EFF"/>
    <w:rsid w:val="00AD380A"/>
    <w:rsid w:val="00AD448B"/>
    <w:rsid w:val="00AD6799"/>
    <w:rsid w:val="00AD7842"/>
    <w:rsid w:val="00AD7EE1"/>
    <w:rsid w:val="00AE16F0"/>
    <w:rsid w:val="00AE1813"/>
    <w:rsid w:val="00AE25D8"/>
    <w:rsid w:val="00AE2A3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830"/>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63B1"/>
    <w:rsid w:val="00B67061"/>
    <w:rsid w:val="00B7012F"/>
    <w:rsid w:val="00B70CFE"/>
    <w:rsid w:val="00B72084"/>
    <w:rsid w:val="00B728A8"/>
    <w:rsid w:val="00B72966"/>
    <w:rsid w:val="00B72B6C"/>
    <w:rsid w:val="00B743BC"/>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86"/>
    <w:rsid w:val="00C64629"/>
    <w:rsid w:val="00C64A45"/>
    <w:rsid w:val="00C64CB3"/>
    <w:rsid w:val="00C67D31"/>
    <w:rsid w:val="00C70139"/>
    <w:rsid w:val="00C70180"/>
    <w:rsid w:val="00C7100A"/>
    <w:rsid w:val="00C7249D"/>
    <w:rsid w:val="00C72906"/>
    <w:rsid w:val="00C73CCF"/>
    <w:rsid w:val="00C74157"/>
    <w:rsid w:val="00C745C3"/>
    <w:rsid w:val="00C75076"/>
    <w:rsid w:val="00C7592E"/>
    <w:rsid w:val="00C75D61"/>
    <w:rsid w:val="00C76E29"/>
    <w:rsid w:val="00C77377"/>
    <w:rsid w:val="00C80243"/>
    <w:rsid w:val="00C80D36"/>
    <w:rsid w:val="00C80DB6"/>
    <w:rsid w:val="00C81208"/>
    <w:rsid w:val="00C818BF"/>
    <w:rsid w:val="00C82CCB"/>
    <w:rsid w:val="00C82FF9"/>
    <w:rsid w:val="00C836EF"/>
    <w:rsid w:val="00C8661D"/>
    <w:rsid w:val="00C86E24"/>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3C0F"/>
    <w:rsid w:val="00CA3E2B"/>
    <w:rsid w:val="00CA52B2"/>
    <w:rsid w:val="00CA791A"/>
    <w:rsid w:val="00CB0576"/>
    <w:rsid w:val="00CB0F2B"/>
    <w:rsid w:val="00CB2786"/>
    <w:rsid w:val="00CB3B10"/>
    <w:rsid w:val="00CB3E03"/>
    <w:rsid w:val="00CB59EB"/>
    <w:rsid w:val="00CB5B01"/>
    <w:rsid w:val="00CB5D7B"/>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3B27"/>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1EE5"/>
    <w:rsid w:val="00D136D2"/>
    <w:rsid w:val="00D13C34"/>
    <w:rsid w:val="00D14394"/>
    <w:rsid w:val="00D15FF4"/>
    <w:rsid w:val="00D161EB"/>
    <w:rsid w:val="00D16514"/>
    <w:rsid w:val="00D174AA"/>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B8E"/>
    <w:rsid w:val="00DA5A85"/>
    <w:rsid w:val="00DA63CE"/>
    <w:rsid w:val="00DA77C0"/>
    <w:rsid w:val="00DA7C9F"/>
    <w:rsid w:val="00DB0701"/>
    <w:rsid w:val="00DB0EC7"/>
    <w:rsid w:val="00DB1EA9"/>
    <w:rsid w:val="00DB1FFB"/>
    <w:rsid w:val="00DB2094"/>
    <w:rsid w:val="00DB2EC4"/>
    <w:rsid w:val="00DB3311"/>
    <w:rsid w:val="00DB35FB"/>
    <w:rsid w:val="00DB3DC1"/>
    <w:rsid w:val="00DB3F6C"/>
    <w:rsid w:val="00DB4837"/>
    <w:rsid w:val="00DB600A"/>
    <w:rsid w:val="00DB7E31"/>
    <w:rsid w:val="00DC00B7"/>
    <w:rsid w:val="00DC0B3D"/>
    <w:rsid w:val="00DC0B7A"/>
    <w:rsid w:val="00DC38FA"/>
    <w:rsid w:val="00DC49FD"/>
    <w:rsid w:val="00DC57B4"/>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5CF"/>
    <w:rsid w:val="00E5478E"/>
    <w:rsid w:val="00E552B0"/>
    <w:rsid w:val="00E560CA"/>
    <w:rsid w:val="00E5662D"/>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93D"/>
    <w:rsid w:val="00E80AB7"/>
    <w:rsid w:val="00E81046"/>
    <w:rsid w:val="00E814C0"/>
    <w:rsid w:val="00E81AB9"/>
    <w:rsid w:val="00E828ED"/>
    <w:rsid w:val="00E82ACA"/>
    <w:rsid w:val="00E82B5F"/>
    <w:rsid w:val="00E8321E"/>
    <w:rsid w:val="00E875A7"/>
    <w:rsid w:val="00E87F7C"/>
    <w:rsid w:val="00E90D97"/>
    <w:rsid w:val="00E90F82"/>
    <w:rsid w:val="00E91BC8"/>
    <w:rsid w:val="00E91C42"/>
    <w:rsid w:val="00E92AA3"/>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4B"/>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676D"/>
    <w:rsid w:val="00F07504"/>
    <w:rsid w:val="00F07F91"/>
    <w:rsid w:val="00F159A9"/>
    <w:rsid w:val="00F16C36"/>
    <w:rsid w:val="00F179EB"/>
    <w:rsid w:val="00F17CD2"/>
    <w:rsid w:val="00F20389"/>
    <w:rsid w:val="00F211BC"/>
    <w:rsid w:val="00F21A2E"/>
    <w:rsid w:val="00F21A55"/>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AEA"/>
    <w:rsid w:val="00F66207"/>
    <w:rsid w:val="00F66570"/>
    <w:rsid w:val="00F665FD"/>
    <w:rsid w:val="00F677A6"/>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62D"/>
    <w:rsid w:val="00FC59E3"/>
    <w:rsid w:val="00FC5F7D"/>
    <w:rsid w:val="00FC65C8"/>
    <w:rsid w:val="00FC68B7"/>
    <w:rsid w:val="00FC6CC4"/>
    <w:rsid w:val="00FC6F80"/>
    <w:rsid w:val="00FD1A6B"/>
    <w:rsid w:val="00FD2352"/>
    <w:rsid w:val="00FD281D"/>
    <w:rsid w:val="00FD29EB"/>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FA"/>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FA"/>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1633F-21B0-4CBD-9701-8E11DA49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482</Words>
  <Characters>2754</Characters>
  <Application>Microsoft Office Word</Application>
  <DocSecurity>4</DocSecurity>
  <Lines>22</Lines>
  <Paragraphs>6</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1718459</vt:lpstr>
      <vt:lpstr>1618575</vt:lpstr>
      <vt:lpstr>1618575</vt:lpstr>
      <vt:lpstr>United Nations</vt:lpstr>
      <vt:lpstr>United Nations</vt:lpstr>
    </vt:vector>
  </TitlesOfParts>
  <Company>RDW Voertuiginformatie en -toelating</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1718459</dc:title>
  <dc:subject>ECE/TRANS/WP.29/GRPE/2018/9</dc:subject>
  <dc:creator>oica</dc:creator>
  <cp:lastModifiedBy>Benedicte Boudol</cp:lastModifiedBy>
  <cp:revision>2</cp:revision>
  <cp:lastPrinted>2014-11-03T15:14:00Z</cp:lastPrinted>
  <dcterms:created xsi:type="dcterms:W3CDTF">2017-11-09T14:58:00Z</dcterms:created>
  <dcterms:modified xsi:type="dcterms:W3CDTF">2017-11-09T14:58:00Z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