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06A7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06A72" w:rsidP="00F06A72">
            <w:pPr>
              <w:jc w:val="right"/>
            </w:pPr>
            <w:r w:rsidRPr="00F06A72">
              <w:rPr>
                <w:sz w:val="40"/>
              </w:rPr>
              <w:t>ECE</w:t>
            </w:r>
            <w:r>
              <w:t>/TRANS/WP.29/GRPE/2018/8</w:t>
            </w:r>
          </w:p>
        </w:tc>
      </w:tr>
      <w:tr w:rsidR="002D5AAC" w:rsidRPr="0075491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06A7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06A72" w:rsidRDefault="00F06A72" w:rsidP="00F06A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October 2017</w:t>
            </w:r>
          </w:p>
          <w:p w:rsidR="00F06A72" w:rsidRDefault="00F06A72" w:rsidP="00F06A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06A72" w:rsidRPr="008D53B6" w:rsidRDefault="00F06A72" w:rsidP="00F06A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06A72" w:rsidRPr="00F06A72" w:rsidRDefault="00F06A72" w:rsidP="00F06A72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F06A72">
        <w:rPr>
          <w:sz w:val="28"/>
          <w:szCs w:val="28"/>
        </w:rPr>
        <w:t xml:space="preserve">Комитет по внутреннему транспорту </w:t>
      </w:r>
    </w:p>
    <w:p w:rsidR="00F06A72" w:rsidRPr="00F06A72" w:rsidRDefault="00F06A72" w:rsidP="00F06A72">
      <w:pPr>
        <w:tabs>
          <w:tab w:val="left" w:pos="567"/>
          <w:tab w:val="left" w:pos="1134"/>
        </w:tabs>
        <w:spacing w:before="120"/>
        <w:rPr>
          <w:rFonts w:eastAsia="MS Mincho"/>
          <w:b/>
          <w:bCs/>
          <w:sz w:val="24"/>
          <w:szCs w:val="24"/>
        </w:rPr>
      </w:pPr>
      <w:r w:rsidRPr="00F06A72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F06A72">
        <w:rPr>
          <w:b/>
          <w:bCs/>
          <w:sz w:val="24"/>
          <w:szCs w:val="24"/>
        </w:rPr>
        <w:br/>
        <w:t xml:space="preserve">в области транспортных средств </w:t>
      </w:r>
    </w:p>
    <w:p w:rsidR="00F06A72" w:rsidRPr="001379B4" w:rsidRDefault="00F06A72" w:rsidP="00F06A72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 w:rsidRPr="001379B4">
        <w:rPr>
          <w:b/>
          <w:bCs/>
        </w:rPr>
        <w:t xml:space="preserve">Рабочая группа по проблемам энергии и загрязнения </w:t>
      </w:r>
      <w:r w:rsidRPr="00F06A72">
        <w:rPr>
          <w:b/>
          <w:bCs/>
        </w:rPr>
        <w:br/>
      </w:r>
      <w:r w:rsidRPr="001379B4">
        <w:rPr>
          <w:b/>
          <w:bCs/>
        </w:rPr>
        <w:t>окружающей среды</w:t>
      </w:r>
    </w:p>
    <w:p w:rsidR="00F06A72" w:rsidRPr="001379B4" w:rsidRDefault="00F06A72" w:rsidP="00F06A72">
      <w:pPr>
        <w:rPr>
          <w:rFonts w:eastAsia="MS Mincho"/>
          <w:b/>
          <w:bCs/>
        </w:rPr>
      </w:pPr>
      <w:r w:rsidRPr="001379B4">
        <w:rPr>
          <w:b/>
          <w:bCs/>
        </w:rPr>
        <w:t>Семьдесят шестая сессия</w:t>
      </w:r>
    </w:p>
    <w:p w:rsidR="00F06A72" w:rsidRPr="001379B4" w:rsidRDefault="00F06A72" w:rsidP="00F06A72">
      <w:r>
        <w:t>Женева, 9–12 января 2018 года</w:t>
      </w:r>
    </w:p>
    <w:p w:rsidR="00F06A72" w:rsidRPr="001379B4" w:rsidRDefault="00F06A72" w:rsidP="00F06A72">
      <w:pPr>
        <w:rPr>
          <w:rFonts w:eastAsia="MS Mincho"/>
        </w:rPr>
      </w:pPr>
      <w:r>
        <w:t>Пункт 3 b) предварительной повестки дня</w:t>
      </w:r>
    </w:p>
    <w:p w:rsidR="00F06A72" w:rsidRDefault="00F06A72" w:rsidP="00F06A72">
      <w:pPr>
        <w:rPr>
          <w:b/>
          <w:bCs/>
        </w:rPr>
      </w:pPr>
      <w:r>
        <w:rPr>
          <w:b/>
          <w:bCs/>
        </w:rPr>
        <w:t xml:space="preserve">Легкие транспортные средства – </w:t>
      </w:r>
      <w:r w:rsidRPr="00F06A72">
        <w:rPr>
          <w:b/>
          <w:bCs/>
        </w:rPr>
        <w:br/>
      </w:r>
      <w:r>
        <w:rPr>
          <w:b/>
          <w:bCs/>
        </w:rPr>
        <w:t xml:space="preserve">Глобальные технические правила № 15 </w:t>
      </w:r>
    </w:p>
    <w:p w:rsidR="00F06A72" w:rsidRDefault="00F06A72" w:rsidP="00F06A72">
      <w:pPr>
        <w:rPr>
          <w:b/>
          <w:bCs/>
        </w:rPr>
      </w:pPr>
      <w:proofErr w:type="gramStart"/>
      <w:r>
        <w:rPr>
          <w:b/>
          <w:bCs/>
        </w:rPr>
        <w:t xml:space="preserve">(всемирные согласованные процедуры испытания </w:t>
      </w:r>
      <w:r w:rsidRPr="00F06A72">
        <w:rPr>
          <w:b/>
          <w:bCs/>
        </w:rPr>
        <w:br/>
      </w:r>
      <w:r>
        <w:rPr>
          <w:b/>
          <w:bCs/>
        </w:rPr>
        <w:t xml:space="preserve">транспортных средств малой грузоподъемности (ВПИМ)) </w:t>
      </w:r>
      <w:r w:rsidRPr="00F06A72">
        <w:rPr>
          <w:b/>
          <w:bCs/>
        </w:rPr>
        <w:br/>
      </w:r>
      <w:r>
        <w:rPr>
          <w:b/>
          <w:bCs/>
        </w:rPr>
        <w:t xml:space="preserve">и 19 (процедура испытания на выбросы в результате </w:t>
      </w:r>
      <w:r w:rsidRPr="00F06A72">
        <w:rPr>
          <w:b/>
          <w:bCs/>
        </w:rPr>
        <w:br/>
      </w:r>
      <w:r>
        <w:rPr>
          <w:b/>
          <w:bCs/>
        </w:rPr>
        <w:t xml:space="preserve">испарения в рамках всемирной согласованной процедуры </w:t>
      </w:r>
      <w:proofErr w:type="gramEnd"/>
    </w:p>
    <w:p w:rsidR="00F06A72" w:rsidRPr="001379B4" w:rsidRDefault="00F06A72" w:rsidP="00F06A72">
      <w:pPr>
        <w:rPr>
          <w:rFonts w:eastAsia="MS Mincho"/>
          <w:b/>
        </w:rPr>
      </w:pPr>
      <w:r>
        <w:rPr>
          <w:b/>
          <w:bCs/>
        </w:rPr>
        <w:t xml:space="preserve">испытания транспортных средств малой грузоподъемности </w:t>
      </w:r>
      <w:r w:rsidRPr="00F06A72">
        <w:rPr>
          <w:b/>
          <w:bCs/>
        </w:rPr>
        <w:br/>
      </w:r>
      <w:r>
        <w:rPr>
          <w:b/>
          <w:bCs/>
        </w:rPr>
        <w:t>(ВПИМ-Испарение))</w:t>
      </w:r>
      <w:r>
        <w:t xml:space="preserve"> </w:t>
      </w:r>
    </w:p>
    <w:p w:rsidR="00F06A72" w:rsidRPr="00016E97" w:rsidRDefault="00F06A72" w:rsidP="00D60B5D">
      <w:pPr>
        <w:pStyle w:val="HChGR"/>
      </w:pPr>
      <w:r>
        <w:tab/>
      </w:r>
      <w:r>
        <w:tab/>
      </w:r>
      <w:r w:rsidRPr="00016E97">
        <w:t xml:space="preserve">Предложение по техническому докладу </w:t>
      </w:r>
      <w:r w:rsidR="00D60B5D" w:rsidRPr="00D60B5D">
        <w:br/>
      </w:r>
      <w:r w:rsidRPr="00016E97">
        <w:t xml:space="preserve">о разработке поправки 4 к Глобальным техническим </w:t>
      </w:r>
      <w:r w:rsidR="00D60B5D" w:rsidRPr="00D60B5D">
        <w:br/>
      </w:r>
      <w:r w:rsidRPr="00016E97">
        <w:t>правилам № 15 (всемирные согласованные процедуры испытания транспортных средств малой грузоподъемности (ВПИМ))</w:t>
      </w:r>
      <w:bookmarkStart w:id="1" w:name="_Toc433204944"/>
      <w:bookmarkStart w:id="2" w:name="_Toc433205234"/>
      <w:bookmarkEnd w:id="1"/>
      <w:bookmarkEnd w:id="2"/>
    </w:p>
    <w:p w:rsidR="00F06A72" w:rsidRPr="001379B4" w:rsidRDefault="00F06A72" w:rsidP="00D60B5D">
      <w:pPr>
        <w:pStyle w:val="H1GR"/>
      </w:pPr>
      <w:r>
        <w:tab/>
      </w:r>
      <w:r>
        <w:tab/>
      </w:r>
      <w:r w:rsidRPr="00116B92">
        <w:t>Представлено неофициальной рабочей группой по всемирной согласованной процедуре испытания транспортных средств малой грузоподъемности (ВПИМ)</w:t>
      </w:r>
      <w:r w:rsidRPr="00D60B5D">
        <w:rPr>
          <w:b w:val="0"/>
          <w:sz w:val="20"/>
        </w:rPr>
        <w:footnoteReference w:customMarkFollows="1" w:id="1"/>
        <w:t>*</w:t>
      </w:r>
      <w:bookmarkStart w:id="3" w:name="_Toc433204945"/>
      <w:bookmarkStart w:id="4" w:name="_Toc433205235"/>
      <w:bookmarkEnd w:id="3"/>
      <w:bookmarkEnd w:id="4"/>
    </w:p>
    <w:p w:rsidR="00F06A72" w:rsidRPr="001379B4" w:rsidRDefault="00D60B5D" w:rsidP="00D60B5D">
      <w:pPr>
        <w:pStyle w:val="SingleTxtGR"/>
      </w:pPr>
      <w:r w:rsidRPr="00754913">
        <w:tab/>
      </w:r>
      <w:r w:rsidR="00F06A72">
        <w:t>Воспроизведенный ниже текст был подготовлен неофициальной рабочей группой (НРГ) по всемирной согласованной процедуре испытания транспор</w:t>
      </w:r>
      <w:r w:rsidR="00F06A72">
        <w:t>т</w:t>
      </w:r>
      <w:r w:rsidR="00F06A72">
        <w:t>ных средств малой грузоподъемности (ВПИМ). Этот технический доклад пре</w:t>
      </w:r>
      <w:r w:rsidR="00F06A72">
        <w:t>д</w:t>
      </w:r>
      <w:r w:rsidR="00F06A72">
        <w:t>ставлен вместе с предложением по поправке 4 к Глобальным техническим пр</w:t>
      </w:r>
      <w:r w:rsidR="00F06A72">
        <w:t>а</w:t>
      </w:r>
      <w:r w:rsidR="00F06A72">
        <w:t>вилам № 15, касающимся ВПИМ (ECE/TRANS/WP.29/GRPE/2018/2).</w:t>
      </w:r>
    </w:p>
    <w:p w:rsidR="00F06A72" w:rsidRPr="00116B92" w:rsidRDefault="00F06A72" w:rsidP="00D60B5D">
      <w:pPr>
        <w:pStyle w:val="HChGR"/>
        <w:rPr>
          <w:szCs w:val="28"/>
        </w:rPr>
      </w:pPr>
      <w:r w:rsidRPr="001379B4">
        <w:br w:type="page"/>
      </w:r>
      <w:r w:rsidR="00D60B5D" w:rsidRPr="00D60B5D">
        <w:lastRenderedPageBreak/>
        <w:tab/>
      </w:r>
      <w:r w:rsidR="00D60B5D" w:rsidRPr="00D60B5D">
        <w:tab/>
      </w:r>
      <w:r w:rsidRPr="00116B92">
        <w:t xml:space="preserve">Технический доклад о разработке поправки 4 </w:t>
      </w:r>
      <w:r w:rsidR="00D60B5D" w:rsidRPr="00D60B5D">
        <w:br/>
      </w:r>
      <w:r w:rsidRPr="00116B92">
        <w:t>к Глобальным техническим правилам № 15, касающимся всемирных согласованных процедур испытания транспортных средств малой грузоподъемности (ВПИМ)</w:t>
      </w:r>
    </w:p>
    <w:p w:rsidR="00F06A72" w:rsidRPr="00D846A2" w:rsidRDefault="00F06A72" w:rsidP="00D60B5D">
      <w:pPr>
        <w:pStyle w:val="HChGR"/>
      </w:pPr>
      <w:r w:rsidRPr="00F6755E">
        <w:tab/>
      </w:r>
      <w:r w:rsidRPr="00D846A2">
        <w:t>I.</w:t>
      </w:r>
      <w:r w:rsidRPr="00D846A2">
        <w:tab/>
        <w:t>Мандат</w:t>
      </w:r>
    </w:p>
    <w:p w:rsidR="00F06A72" w:rsidRPr="001379B4" w:rsidRDefault="00F06A72" w:rsidP="00D60B5D">
      <w:pPr>
        <w:pStyle w:val="SingleTxtGR"/>
      </w:pPr>
      <w:r>
        <w:t>1.</w:t>
      </w:r>
      <w:r>
        <w:tab/>
        <w:t>Поправка 4 к Глобальным техническим правилам (ГТП) № 15 ООН была разработана неофициальной рабочей группой (НРГ) по всемирным согласова</w:t>
      </w:r>
      <w:r>
        <w:t>н</w:t>
      </w:r>
      <w:r>
        <w:t xml:space="preserve">ным процедурам испытания транспортных средств малой грузоподъемности (ВПИМ) в рамках этапа 2 разработки ГТП № 15. Исполнительный комитет </w:t>
      </w:r>
      <w:r w:rsidR="009D7080" w:rsidRPr="009D7080">
        <w:br/>
      </w:r>
      <w:r>
        <w:t>Соглашения 1998 года (AC.3) одобрил разрешение на разработку этапа 2 ГТП</w:t>
      </w:r>
      <w:r w:rsidR="009D7080">
        <w:rPr>
          <w:lang w:val="en-US"/>
        </w:rPr>
        <w:t> </w:t>
      </w:r>
      <w:r>
        <w:t>№ 15 на его сессии в июне 2016 года (ECE/TRANS/WP.29/AC.3/44).</w:t>
      </w:r>
    </w:p>
    <w:p w:rsidR="00F06A72" w:rsidRPr="00D846A2" w:rsidRDefault="00F06A72" w:rsidP="00D60B5D">
      <w:pPr>
        <w:pStyle w:val="HChGR"/>
      </w:pPr>
      <w:r w:rsidRPr="0014081E">
        <w:tab/>
      </w:r>
      <w:r w:rsidRPr="00D846A2">
        <w:t>II.</w:t>
      </w:r>
      <w:r w:rsidRPr="00D846A2">
        <w:tab/>
        <w:t>Цели</w:t>
      </w:r>
    </w:p>
    <w:p w:rsidR="00F06A72" w:rsidRPr="001379B4" w:rsidRDefault="00F06A72" w:rsidP="00D60B5D">
      <w:pPr>
        <w:pStyle w:val="SingleTxtGR"/>
      </w:pPr>
      <w:r>
        <w:t>2.</w:t>
      </w:r>
      <w:r>
        <w:tab/>
        <w:t>Включить определения времени срабатывания, времени задержки и вр</w:t>
      </w:r>
      <w:r>
        <w:t>е</w:t>
      </w:r>
      <w:r>
        <w:t>мени восстановления в соответствии с ГТП № 4 (выбросы загрязняющих в</w:t>
      </w:r>
      <w:r>
        <w:t>е</w:t>
      </w:r>
      <w:r>
        <w:t>ще</w:t>
      </w:r>
      <w:proofErr w:type="gramStart"/>
      <w:r>
        <w:t>ств дв</w:t>
      </w:r>
      <w:proofErr w:type="gramEnd"/>
      <w:r>
        <w:t>игателями большой мощности) и 11 (выбросы двигателями с воспл</w:t>
      </w:r>
      <w:r>
        <w:t>а</w:t>
      </w:r>
      <w:r>
        <w:t>менением от сжатия для подвижной техники).</w:t>
      </w:r>
    </w:p>
    <w:p w:rsidR="00F06A72" w:rsidRDefault="00F06A72" w:rsidP="00947BF3">
      <w:pPr>
        <w:pStyle w:val="SingleTxtGR"/>
      </w:pPr>
      <w:r>
        <w:t>3.</w:t>
      </w:r>
      <w:r>
        <w:tab/>
        <w:t xml:space="preserve">Внести улучшения в порядок переключения передач. Сейчас </w:t>
      </w:r>
      <w:proofErr w:type="spellStart"/>
      <w:r w:rsidRPr="003962F1">
        <w:t>n</w:t>
      </w:r>
      <w:r w:rsidRPr="003962F1">
        <w:rPr>
          <w:vertAlign w:val="subscript"/>
        </w:rPr>
        <w:t>rated</w:t>
      </w:r>
      <w:proofErr w:type="spellEnd"/>
      <w:r>
        <w:t xml:space="preserve"> означ</w:t>
      </w:r>
      <w:r>
        <w:t>а</w:t>
      </w:r>
      <w:r>
        <w:t>ет номинальную частоту вращения двигателя, заявленную изготовителем в к</w:t>
      </w:r>
      <w:r>
        <w:t>а</w:t>
      </w:r>
      <w:r>
        <w:t>честве частоты вращения двигателя, при которой двигатель развивает макс</w:t>
      </w:r>
      <w:r>
        <w:t>и</w:t>
      </w:r>
      <w:r>
        <w:t xml:space="preserve">мальную мощность. Эксперты согласились ограничить значение </w:t>
      </w:r>
      <w:proofErr w:type="spellStart"/>
      <w:r w:rsidRPr="003962F1">
        <w:t>n</w:t>
      </w:r>
      <w:r w:rsidRPr="003962F1">
        <w:rPr>
          <w:vertAlign w:val="subscript"/>
        </w:rPr>
        <w:t>min</w:t>
      </w:r>
      <w:r w:rsidRPr="00154AE2">
        <w:rPr>
          <w:vertAlign w:val="subscript"/>
        </w:rPr>
        <w:t>_</w:t>
      </w:r>
      <w:r w:rsidRPr="003962F1">
        <w:rPr>
          <w:vertAlign w:val="subscript"/>
        </w:rPr>
        <w:t>drive</w:t>
      </w:r>
      <w:r w:rsidRPr="00154AE2">
        <w:rPr>
          <w:vertAlign w:val="subscript"/>
        </w:rPr>
        <w:t>_</w:t>
      </w:r>
      <w:r w:rsidRPr="003962F1">
        <w:rPr>
          <w:vertAlign w:val="subscript"/>
        </w:rPr>
        <w:t>up</w:t>
      </w:r>
      <w:proofErr w:type="spellEnd"/>
      <w:r w:rsidRPr="00154AE2">
        <w:rPr>
          <w:vertAlign w:val="subscript"/>
        </w:rPr>
        <w:t>/</w:t>
      </w:r>
      <w:proofErr w:type="spellStart"/>
      <w:r w:rsidRPr="003962F1">
        <w:rPr>
          <w:vertAlign w:val="subscript"/>
        </w:rPr>
        <w:t>down</w:t>
      </w:r>
      <w:proofErr w:type="spellEnd"/>
      <w:r>
        <w:t xml:space="preserve"> величиной, в два раза превышающей </w:t>
      </w:r>
      <w:proofErr w:type="spellStart"/>
      <w:r w:rsidRPr="003962F1">
        <w:t>n</w:t>
      </w:r>
      <w:r w:rsidRPr="003962F1">
        <w:rPr>
          <w:vertAlign w:val="subscript"/>
        </w:rPr>
        <w:t>min</w:t>
      </w:r>
      <w:r w:rsidRPr="006F290A">
        <w:rPr>
          <w:vertAlign w:val="subscript"/>
        </w:rPr>
        <w:t>_</w:t>
      </w:r>
      <w:r w:rsidRPr="003962F1">
        <w:rPr>
          <w:vertAlign w:val="subscript"/>
        </w:rPr>
        <w:t>drive</w:t>
      </w:r>
      <w:r w:rsidRPr="006F290A">
        <w:rPr>
          <w:vertAlign w:val="subscript"/>
        </w:rPr>
        <w:t>_</w:t>
      </w:r>
      <w:r w:rsidRPr="003962F1">
        <w:rPr>
          <w:vertAlign w:val="subscript"/>
        </w:rPr>
        <w:t>set</w:t>
      </w:r>
      <w:proofErr w:type="spellEnd"/>
      <w:r>
        <w:t xml:space="preserve">, в то время как </w:t>
      </w:r>
      <w:proofErr w:type="spellStart"/>
      <w:r>
        <w:t>ныне</w:t>
      </w:r>
      <w:proofErr w:type="gramStart"/>
      <w:r>
        <w:t>ш</w:t>
      </w:r>
      <w:proofErr w:type="spellEnd"/>
      <w:r w:rsidR="009D7080">
        <w:t>-</w:t>
      </w:r>
      <w:proofErr w:type="gramEnd"/>
      <w:r w:rsidR="009D7080">
        <w:br/>
      </w:r>
      <w:proofErr w:type="spellStart"/>
      <w:r>
        <w:t>ний</w:t>
      </w:r>
      <w:proofErr w:type="spellEnd"/>
      <w:r>
        <w:t xml:space="preserve"> вариант правил позволяет изготовителю применять более высокие </w:t>
      </w:r>
      <w:proofErr w:type="spellStart"/>
      <w:r>
        <w:t>значе</w:t>
      </w:r>
      <w:r w:rsidR="009D7080">
        <w:t>-</w:t>
      </w:r>
      <w:r>
        <w:t>ния</w:t>
      </w:r>
      <w:proofErr w:type="spellEnd"/>
      <w:r w:rsidR="009D7080">
        <w:rPr>
          <w:lang w:val="en-US"/>
        </w:rPr>
        <w:t> </w:t>
      </w:r>
      <w:proofErr w:type="spellStart"/>
      <w:r w:rsidRPr="003962F1">
        <w:t>n</w:t>
      </w:r>
      <w:r w:rsidRPr="003962F1">
        <w:rPr>
          <w:vertAlign w:val="subscript"/>
        </w:rPr>
        <w:t>min</w:t>
      </w:r>
      <w:r w:rsidRPr="00AA028C">
        <w:rPr>
          <w:vertAlign w:val="subscript"/>
        </w:rPr>
        <w:t>_</w:t>
      </w:r>
      <w:r w:rsidRPr="003962F1">
        <w:rPr>
          <w:vertAlign w:val="subscript"/>
        </w:rPr>
        <w:t>drive</w:t>
      </w:r>
      <w:proofErr w:type="spellEnd"/>
      <w:r>
        <w:t xml:space="preserve"> без каких-либо ограничений. </w:t>
      </w:r>
    </w:p>
    <w:p w:rsidR="00F06A72" w:rsidRDefault="00F06A72" w:rsidP="00947BF3">
      <w:pPr>
        <w:pStyle w:val="SingleTxtGR"/>
      </w:pPr>
      <w:r>
        <w:tab/>
        <w:t>Кроме того, поскольку продолжительность фазы холодного запуска зав</w:t>
      </w:r>
      <w:r>
        <w:t>и</w:t>
      </w:r>
      <w:r>
        <w:t>сит от конструкции двигателя и транспортного средства, было решено, что и</w:t>
      </w:r>
      <w:r>
        <w:t>з</w:t>
      </w:r>
      <w:r>
        <w:t>готовитель должен иметь возможность установить временной интервал и зн</w:t>
      </w:r>
      <w:r>
        <w:t>а</w:t>
      </w:r>
      <w:r>
        <w:t xml:space="preserve">чение </w:t>
      </w:r>
      <w:proofErr w:type="spellStart"/>
      <w:r w:rsidRPr="003962F1">
        <w:t>n</w:t>
      </w:r>
      <w:r w:rsidRPr="003962F1">
        <w:rPr>
          <w:vertAlign w:val="subscript"/>
        </w:rPr>
        <w:t>min</w:t>
      </w:r>
      <w:r w:rsidRPr="0013622A">
        <w:rPr>
          <w:vertAlign w:val="subscript"/>
        </w:rPr>
        <w:t>_</w:t>
      </w:r>
      <w:r w:rsidRPr="003962F1">
        <w:rPr>
          <w:vertAlign w:val="subscript"/>
        </w:rPr>
        <w:t>drive</w:t>
      </w:r>
      <w:proofErr w:type="spellEnd"/>
      <w:r>
        <w:t xml:space="preserve"> индивидуально в пределах низкой фазы цикла. </w:t>
      </w:r>
    </w:p>
    <w:p w:rsidR="00F06A72" w:rsidRPr="001379B4" w:rsidRDefault="00F06A72" w:rsidP="00947BF3">
      <w:pPr>
        <w:pStyle w:val="SingleTxtGR"/>
      </w:pPr>
      <w:r>
        <w:tab/>
        <w:t xml:space="preserve">Однако временной интервал следует определить таким образом, чтобы он заканчивался фазой остановки, с </w:t>
      </w:r>
      <w:proofErr w:type="gramStart"/>
      <w:r>
        <w:t>тем</w:t>
      </w:r>
      <w:proofErr w:type="gramEnd"/>
      <w:r>
        <w:t xml:space="preserve"> чтобы в случае поездок на короткие ра</w:t>
      </w:r>
      <w:r>
        <w:t>с</w:t>
      </w:r>
      <w:r>
        <w:t xml:space="preserve">стояния параметр </w:t>
      </w:r>
      <w:proofErr w:type="spellStart"/>
      <w:r w:rsidRPr="003962F1">
        <w:t>n</w:t>
      </w:r>
      <w:r w:rsidRPr="003962F1">
        <w:rPr>
          <w:vertAlign w:val="subscript"/>
        </w:rPr>
        <w:t>min</w:t>
      </w:r>
      <w:r w:rsidRPr="0013622A">
        <w:rPr>
          <w:vertAlign w:val="subscript"/>
        </w:rPr>
        <w:t>_</w:t>
      </w:r>
      <w:r w:rsidRPr="003962F1">
        <w:rPr>
          <w:vertAlign w:val="subscript"/>
        </w:rPr>
        <w:t>drive</w:t>
      </w:r>
      <w:proofErr w:type="spellEnd"/>
      <w:r w:rsidR="00754913" w:rsidRPr="00097DF4">
        <w:t xml:space="preserve"> </w:t>
      </w:r>
      <w:r>
        <w:t>не изменялся.</w:t>
      </w:r>
    </w:p>
    <w:p w:rsidR="00F06A72" w:rsidRPr="001379B4" w:rsidRDefault="00F06A72" w:rsidP="00947BF3">
      <w:pPr>
        <w:pStyle w:val="SingleTxtGR"/>
      </w:pPr>
      <w:r>
        <w:t>4.</w:t>
      </w:r>
      <w:r>
        <w:tab/>
        <w:t xml:space="preserve">Внести единообразие в использование терминов точность, </w:t>
      </w:r>
      <w:proofErr w:type="spellStart"/>
      <w:r>
        <w:t>воспроизв</w:t>
      </w:r>
      <w:r>
        <w:t>о</w:t>
      </w:r>
      <w:r>
        <w:t>димость</w:t>
      </w:r>
      <w:proofErr w:type="spellEnd"/>
      <w:r>
        <w:t>, разрешающая способность, допуск, повторяемость и отклонение.</w:t>
      </w:r>
    </w:p>
    <w:p w:rsidR="00F06A72" w:rsidRPr="001379B4" w:rsidRDefault="00F06A72" w:rsidP="00947BF3">
      <w:pPr>
        <w:pStyle w:val="SingleTxtGR"/>
      </w:pPr>
      <w:r>
        <w:t>5.</w:t>
      </w:r>
      <w:r>
        <w:tab/>
        <w:t xml:space="preserve">Включить </w:t>
      </w:r>
      <w:proofErr w:type="spellStart"/>
      <w:r>
        <w:t>двухтопливные</w:t>
      </w:r>
      <w:proofErr w:type="spellEnd"/>
      <w:r>
        <w:t xml:space="preserve"> и </w:t>
      </w:r>
      <w:proofErr w:type="spellStart"/>
      <w:r>
        <w:t>двухтопливные</w:t>
      </w:r>
      <w:proofErr w:type="spellEnd"/>
      <w:r>
        <w:t xml:space="preserve"> газовые транспортные сре</w:t>
      </w:r>
      <w:r>
        <w:t>д</w:t>
      </w:r>
      <w:r>
        <w:t xml:space="preserve">ства в соответствии с Правилами № 83. В ГТП была включены определения и новое добавление (приложение 6, добавление 3, Расчет </w:t>
      </w:r>
      <w:proofErr w:type="spellStart"/>
      <w:r>
        <w:t>газоэнергетического</w:t>
      </w:r>
      <w:proofErr w:type="spellEnd"/>
      <w:r>
        <w:t xml:space="preserve"> к</w:t>
      </w:r>
      <w:r>
        <w:t>о</w:t>
      </w:r>
      <w:r>
        <w:t>эффициента для газообразного топлива (сжиженный нефтяной газ и природный газ/</w:t>
      </w:r>
      <w:proofErr w:type="spellStart"/>
      <w:r>
        <w:t>биометан</w:t>
      </w:r>
      <w:proofErr w:type="spellEnd"/>
      <w:r>
        <w:t>)</w:t>
      </w:r>
      <w:r w:rsidR="00754913" w:rsidRPr="00754913">
        <w:t>)</w:t>
      </w:r>
      <w:r>
        <w:t>.</w:t>
      </w:r>
    </w:p>
    <w:p w:rsidR="00F06A72" w:rsidRPr="001379B4" w:rsidRDefault="00F06A72" w:rsidP="00947BF3">
      <w:pPr>
        <w:pStyle w:val="SingleTxtGR"/>
      </w:pPr>
      <w:r>
        <w:t>6.</w:t>
      </w:r>
      <w:r>
        <w:tab/>
        <w:t>Представить соответствующие положения о массе полезной нагрузки (25</w:t>
      </w:r>
      <w:r w:rsidR="008C6652">
        <w:t> </w:t>
      </w:r>
      <w:r>
        <w:t xml:space="preserve">кг плюс масса загрузки транспортного средства), которые до настоящего времени не были четко определены. </w:t>
      </w:r>
      <w:r w:rsidRPr="001379B4">
        <w:t>Дополнительные массы для установки и</w:t>
      </w:r>
      <w:r w:rsidRPr="001379B4">
        <w:t>с</w:t>
      </w:r>
      <w:r w:rsidRPr="001379B4">
        <w:t xml:space="preserve">пытательной массы должны применяться таким образом, чтобы распределение </w:t>
      </w:r>
      <w:r>
        <w:t>веса</w:t>
      </w:r>
      <w:r w:rsidRPr="001379B4">
        <w:t xml:space="preserve"> транспортного средства было приблизительно таким же, как </w:t>
      </w:r>
      <w:r w:rsidRPr="00132BBD">
        <w:t>и у тран</w:t>
      </w:r>
      <w:r w:rsidRPr="00132BBD">
        <w:t>с</w:t>
      </w:r>
      <w:r w:rsidRPr="00132BBD">
        <w:t>портного средства с массой в снаряженном состоянии.</w:t>
      </w:r>
      <w:r w:rsidRPr="001379B4">
        <w:t xml:space="preserve"> В случае транспортных средств категории 2 или пассажирских транспортных средств, </w:t>
      </w:r>
      <w:r>
        <w:t>созданных на б</w:t>
      </w:r>
      <w:r>
        <w:t>а</w:t>
      </w:r>
      <w:r>
        <w:t>зе</w:t>
      </w:r>
      <w:r w:rsidRPr="001379B4">
        <w:t xml:space="preserve"> транспортных средств категории 2, дополнительные массы должны </w:t>
      </w:r>
      <w:r>
        <w:t>быть ук</w:t>
      </w:r>
      <w:r>
        <w:t>а</w:t>
      </w:r>
      <w:r>
        <w:t>заны</w:t>
      </w:r>
      <w:r w:rsidRPr="001379B4">
        <w:t xml:space="preserve"> </w:t>
      </w:r>
      <w:r>
        <w:t>на репрезентативной основе</w:t>
      </w:r>
      <w:r w:rsidRPr="001379B4">
        <w:t xml:space="preserve"> и должны быть обоснованы </w:t>
      </w:r>
      <w:r>
        <w:t>для компетентн</w:t>
      </w:r>
      <w:r>
        <w:t>о</w:t>
      </w:r>
      <w:r>
        <w:t xml:space="preserve">го органа по его </w:t>
      </w:r>
      <w:r w:rsidRPr="001379B4">
        <w:t xml:space="preserve">просьбе. Распределение </w:t>
      </w:r>
      <w:r>
        <w:t>веса</w:t>
      </w:r>
      <w:r w:rsidRPr="001379B4">
        <w:t xml:space="preserve"> транспортного средства рег</w:t>
      </w:r>
      <w:r w:rsidRPr="001379B4">
        <w:t>и</w:t>
      </w:r>
      <w:r w:rsidRPr="001379B4">
        <w:lastRenderedPageBreak/>
        <w:t>стрир</w:t>
      </w:r>
      <w:r>
        <w:t>уют</w:t>
      </w:r>
      <w:r w:rsidRPr="001379B4">
        <w:t xml:space="preserve"> и использ</w:t>
      </w:r>
      <w:r>
        <w:t>уют</w:t>
      </w:r>
      <w:r w:rsidRPr="001379B4">
        <w:t xml:space="preserve"> для любых последующих испытаний </w:t>
      </w:r>
      <w:r>
        <w:t xml:space="preserve">на </w:t>
      </w:r>
      <w:r w:rsidRPr="001379B4">
        <w:t>определени</w:t>
      </w:r>
      <w:r>
        <w:t>е дорожной</w:t>
      </w:r>
      <w:r w:rsidRPr="001379B4">
        <w:t xml:space="preserve"> нагрузки.</w:t>
      </w:r>
    </w:p>
    <w:p w:rsidR="00F06A72" w:rsidRPr="001379B4" w:rsidRDefault="00F06A72" w:rsidP="00947BF3">
      <w:pPr>
        <w:pStyle w:val="SingleTxtGR"/>
      </w:pPr>
      <w:r>
        <w:t>7.</w:t>
      </w:r>
      <w:r>
        <w:tab/>
      </w:r>
      <w:r w:rsidRPr="001379B4">
        <w:t xml:space="preserve">Исправить терминологию, </w:t>
      </w:r>
      <w:r>
        <w:t>например термин</w:t>
      </w:r>
      <w:r w:rsidRPr="001379B4">
        <w:t xml:space="preserve"> «классы коэффициентов с</w:t>
      </w:r>
      <w:r w:rsidRPr="001379B4">
        <w:t>о</w:t>
      </w:r>
      <w:r w:rsidRPr="001379B4">
        <w:t xml:space="preserve">противления качению». </w:t>
      </w:r>
      <w:r>
        <w:t>Т</w:t>
      </w:r>
      <w:r w:rsidRPr="001379B4">
        <w:t xml:space="preserve">аблицы, относящиеся к классам </w:t>
      </w:r>
      <w:proofErr w:type="spellStart"/>
      <w:r w:rsidRPr="001379B4">
        <w:t>энергоэффективности</w:t>
      </w:r>
      <w:proofErr w:type="spellEnd"/>
      <w:r w:rsidRPr="001379B4">
        <w:t xml:space="preserve"> </w:t>
      </w:r>
      <w:r>
        <w:t>с учетом</w:t>
      </w:r>
      <w:r w:rsidRPr="001379B4">
        <w:t xml:space="preserve"> коэффициент</w:t>
      </w:r>
      <w:r>
        <w:t>ов</w:t>
      </w:r>
      <w:r w:rsidRPr="001379B4">
        <w:t xml:space="preserve"> сопротивления качению для шин</w:t>
      </w:r>
      <w:r>
        <w:t>, были изменены с</w:t>
      </w:r>
      <w:r>
        <w:t>о</w:t>
      </w:r>
      <w:r>
        <w:t>ответствующим образом</w:t>
      </w:r>
      <w:r w:rsidRPr="001379B4">
        <w:t>.</w:t>
      </w:r>
    </w:p>
    <w:p w:rsidR="00F06A72" w:rsidRPr="001379B4" w:rsidRDefault="00F06A72" w:rsidP="00947BF3">
      <w:pPr>
        <w:pStyle w:val="SingleTxtGR"/>
      </w:pPr>
      <w:r>
        <w:t>8.</w:t>
      </w:r>
      <w:r>
        <w:tab/>
      </w:r>
      <w:r w:rsidRPr="0080655F">
        <w:t>Исправить небольшие орфографические и/или пунктуационные ошибки, а также преобразовать структуру отдельных пунктов.</w:t>
      </w:r>
      <w:r>
        <w:t xml:space="preserve"> </w:t>
      </w:r>
      <w:r w:rsidRPr="0080655F">
        <w:t>Обеспечить сквозную с</w:t>
      </w:r>
      <w:r w:rsidRPr="0080655F">
        <w:t>о</w:t>
      </w:r>
      <w:r w:rsidRPr="0080655F">
        <w:t>гласованность используемых формулировок и привести текст ГТП к единому формату.</w:t>
      </w:r>
    </w:p>
    <w:p w:rsidR="00F06A72" w:rsidRPr="001379B4" w:rsidRDefault="00F06A72" w:rsidP="00947BF3">
      <w:pPr>
        <w:pStyle w:val="SingleTxtGR"/>
      </w:pPr>
      <w:r>
        <w:t>9.</w:t>
      </w:r>
      <w:r>
        <w:tab/>
      </w:r>
      <w:r w:rsidRPr="001379B4">
        <w:t>Исправить некоторые уравнения и сделать их совместимыми с использ</w:t>
      </w:r>
      <w:r w:rsidRPr="001379B4">
        <w:t>о</w:t>
      </w:r>
      <w:r w:rsidRPr="001379B4">
        <w:t>ванием математически</w:t>
      </w:r>
      <w:r>
        <w:t>х</w:t>
      </w:r>
      <w:r w:rsidRPr="001379B4">
        <w:t xml:space="preserve"> символ</w:t>
      </w:r>
      <w:r>
        <w:t>ов в формате «</w:t>
      </w:r>
      <w:r w:rsidRPr="001379B4">
        <w:rPr>
          <w:lang w:val="en-US"/>
        </w:rPr>
        <w:t>Word</w:t>
      </w:r>
      <w:r>
        <w:t>»</w:t>
      </w:r>
      <w:r w:rsidRPr="001379B4">
        <w:t>.</w:t>
      </w:r>
    </w:p>
    <w:p w:rsidR="00F06A72" w:rsidRPr="001379B4" w:rsidRDefault="00F06A72" w:rsidP="00947BF3">
      <w:pPr>
        <w:pStyle w:val="SingleTxtGR"/>
      </w:pPr>
      <w:r w:rsidRPr="001379B4">
        <w:t>10.</w:t>
      </w:r>
      <w:r>
        <w:tab/>
      </w:r>
      <w:r w:rsidRPr="001379B4">
        <w:t xml:space="preserve">Исключить </w:t>
      </w:r>
      <w:r>
        <w:t xml:space="preserve">из мониторинга </w:t>
      </w:r>
      <w:r w:rsidRPr="001379B4">
        <w:t xml:space="preserve">все </w:t>
      </w:r>
      <w:r w:rsidRPr="005E51FD">
        <w:t>перезаряжаемы</w:t>
      </w:r>
      <w:r>
        <w:t>е системы</w:t>
      </w:r>
      <w:r w:rsidRPr="005E51FD">
        <w:t xml:space="preserve"> хранения эле</w:t>
      </w:r>
      <w:r w:rsidRPr="005E51FD">
        <w:t>к</w:t>
      </w:r>
      <w:r w:rsidRPr="005E51FD">
        <w:t>трической энергии (П</w:t>
      </w:r>
      <w:r>
        <w:t>СХЭЭ</w:t>
      </w:r>
      <w:r w:rsidRPr="001379B4">
        <w:t xml:space="preserve">), которые не </w:t>
      </w:r>
      <w:r>
        <w:t>задействованы в создании тяги</w:t>
      </w:r>
      <w:r w:rsidRPr="001379B4">
        <w:t xml:space="preserve"> тран</w:t>
      </w:r>
      <w:r w:rsidRPr="001379B4">
        <w:t>с</w:t>
      </w:r>
      <w:r w:rsidRPr="001379B4">
        <w:t>портных средств.</w:t>
      </w:r>
    </w:p>
    <w:p w:rsidR="00F06A72" w:rsidRPr="001379B4" w:rsidRDefault="00F06A72" w:rsidP="00947BF3">
      <w:pPr>
        <w:pStyle w:val="SingleTxtGR"/>
      </w:pPr>
      <w:r>
        <w:t>11.</w:t>
      </w:r>
      <w:r>
        <w:tab/>
        <w:t>Более четко</w:t>
      </w:r>
      <w:r w:rsidRPr="001379B4">
        <w:t xml:space="preserve"> определить чистоту некоторых газов, таких как азот и синт</w:t>
      </w:r>
      <w:r w:rsidRPr="001379B4">
        <w:t>е</w:t>
      </w:r>
      <w:r w:rsidRPr="001379B4">
        <w:t>тический воздух.</w:t>
      </w:r>
    </w:p>
    <w:p w:rsidR="00F06A72" w:rsidRPr="001379B4" w:rsidRDefault="00F06A72" w:rsidP="00947BF3">
      <w:pPr>
        <w:pStyle w:val="SingleTxtGR"/>
      </w:pPr>
      <w:r w:rsidRPr="001379B4">
        <w:t>12.</w:t>
      </w:r>
      <w:r>
        <w:tab/>
      </w:r>
      <w:r w:rsidRPr="001379B4">
        <w:t xml:space="preserve">Более конкретно определить разницу в массе </w:t>
      </w:r>
      <w:r w:rsidRPr="001379B4">
        <w:rPr>
          <w:lang w:val="en-US"/>
        </w:rPr>
        <w:t>CO</w:t>
      </w:r>
      <w:r w:rsidRPr="00F13819">
        <w:rPr>
          <w:vertAlign w:val="subscript"/>
        </w:rPr>
        <w:t>2</w:t>
      </w:r>
      <w:r w:rsidRPr="001379B4">
        <w:t xml:space="preserve"> </w:t>
      </w:r>
      <w:r w:rsidRPr="00F13819">
        <w:t>в режиме сохранения заряда</w:t>
      </w:r>
      <w:r w:rsidRPr="001379B4">
        <w:t xml:space="preserve"> между </w:t>
      </w:r>
      <w:r>
        <w:t>испытанием с наибольшим и наименьшим</w:t>
      </w:r>
      <w:r w:rsidRPr="001379B4">
        <w:t xml:space="preserve"> положительным и о</w:t>
      </w:r>
      <w:r w:rsidRPr="001379B4">
        <w:t>т</w:t>
      </w:r>
      <w:r w:rsidRPr="001379B4">
        <w:t>рицательным зарядом электрической энергии.</w:t>
      </w:r>
    </w:p>
    <w:p w:rsidR="00F06A72" w:rsidRPr="00D846A2" w:rsidRDefault="00F06A72" w:rsidP="00947BF3">
      <w:pPr>
        <w:pStyle w:val="HChGR"/>
      </w:pPr>
      <w:r w:rsidRPr="00F13819">
        <w:tab/>
      </w:r>
      <w:r w:rsidRPr="00D846A2">
        <w:rPr>
          <w:lang w:val="en-US"/>
        </w:rPr>
        <w:t>III</w:t>
      </w:r>
      <w:r>
        <w:t>.</w:t>
      </w:r>
      <w:r>
        <w:tab/>
      </w:r>
      <w:r w:rsidRPr="004A6B22">
        <w:t>Совещания, проведенные целевыми группами</w:t>
      </w:r>
    </w:p>
    <w:p w:rsidR="00F06A72" w:rsidRPr="001379B4" w:rsidRDefault="00F06A72" w:rsidP="00947BF3">
      <w:pPr>
        <w:pStyle w:val="SingleTxtGR"/>
      </w:pPr>
      <w:r>
        <w:t>13.</w:t>
      </w:r>
      <w:r>
        <w:tab/>
      </w:r>
      <w:r w:rsidRPr="004A6B22">
        <w:t xml:space="preserve">Предлагаемые изменения к </w:t>
      </w:r>
      <w:r>
        <w:t>п</w:t>
      </w:r>
      <w:r w:rsidRPr="004A6B22">
        <w:t xml:space="preserve">оправке </w:t>
      </w:r>
      <w:r>
        <w:t>4</w:t>
      </w:r>
      <w:r w:rsidRPr="004A6B22">
        <w:t xml:space="preserve"> к ГТП № 15, перечисленные в ра</w:t>
      </w:r>
      <w:r w:rsidRPr="004A6B22">
        <w:t>з</w:t>
      </w:r>
      <w:r w:rsidRPr="004A6B22">
        <w:t>деле II выше, являлись предметом обстоятельного обсуждения и согласования всеми участвующими сторонами в ходе следующих очных или ауди</w:t>
      </w:r>
      <w:proofErr w:type="gramStart"/>
      <w:r w:rsidRPr="004A6B22">
        <w:t>о-</w:t>
      </w:r>
      <w:proofErr w:type="gramEnd"/>
      <w:r w:rsidRPr="004A6B22">
        <w:t>/</w:t>
      </w:r>
      <w:r>
        <w:t>веб-</w:t>
      </w:r>
      <w:r w:rsidRPr="004A6B22">
        <w:t>совещаний целевых групп</w:t>
      </w:r>
      <w:r>
        <w:t xml:space="preserve"> (ЦГ)</w:t>
      </w:r>
      <w:r w:rsidRPr="004A6B22">
        <w:t>:</w:t>
      </w:r>
    </w:p>
    <w:p w:rsidR="00F06A72" w:rsidRPr="001379B4" w:rsidRDefault="00947BF3" w:rsidP="00947BF3">
      <w:pPr>
        <w:pStyle w:val="SingleTxtGR"/>
        <w:ind w:left="1701" w:hanging="567"/>
      </w:pPr>
      <w:r w:rsidRPr="00754913">
        <w:tab/>
      </w:r>
      <w:r w:rsidR="00F06A72" w:rsidRPr="001379B4">
        <w:rPr>
          <w:lang w:val="en-US"/>
        </w:rPr>
        <w:t>a</w:t>
      </w:r>
      <w:r w:rsidR="00F06A72">
        <w:t>)</w:t>
      </w:r>
      <w:r w:rsidR="00F06A72">
        <w:tab/>
      </w:r>
      <w:proofErr w:type="gramStart"/>
      <w:r w:rsidR="00F06A72">
        <w:t>девятнадцатое</w:t>
      </w:r>
      <w:proofErr w:type="gramEnd"/>
      <w:r w:rsidR="00F06A72">
        <w:t xml:space="preserve"> совещание Н</w:t>
      </w:r>
      <w:r w:rsidR="00F06A72" w:rsidRPr="001379B4">
        <w:t>РГ в июне 2017 года в Женеве;</w:t>
      </w:r>
    </w:p>
    <w:p w:rsidR="00E12C5F" w:rsidRPr="00754913" w:rsidRDefault="00947BF3" w:rsidP="00947BF3">
      <w:pPr>
        <w:pStyle w:val="SingleTxtGR"/>
        <w:ind w:left="2268" w:hanging="1134"/>
      </w:pPr>
      <w:r w:rsidRPr="00754913">
        <w:tab/>
      </w:r>
      <w:r w:rsidR="00F06A72" w:rsidRPr="001379B4">
        <w:rPr>
          <w:lang w:val="en-US"/>
        </w:rPr>
        <w:t>b</w:t>
      </w:r>
      <w:r w:rsidR="00F06A72">
        <w:t>)</w:t>
      </w:r>
      <w:r w:rsidR="00F06A72">
        <w:tab/>
        <w:t>ЦГ по д</w:t>
      </w:r>
      <w:r w:rsidR="00F06A72" w:rsidRPr="001379B4">
        <w:t>инамометр</w:t>
      </w:r>
      <w:r w:rsidR="00F06A72">
        <w:t>ическим испытаниям</w:t>
      </w:r>
      <w:r w:rsidR="00F06A72" w:rsidRPr="001379B4">
        <w:t xml:space="preserve"> (од</w:t>
      </w:r>
      <w:r w:rsidR="00F06A72">
        <w:t>но совещание</w:t>
      </w:r>
      <w:r w:rsidR="00F06A72" w:rsidRPr="001379B4">
        <w:t xml:space="preserve">), </w:t>
      </w:r>
      <w:r w:rsidR="00F06A72">
        <w:t>ЦГ по новым вопросам (о</w:t>
      </w:r>
      <w:r w:rsidR="00F06A72" w:rsidRPr="001379B4">
        <w:t>д</w:t>
      </w:r>
      <w:r w:rsidR="00F06A72">
        <w:t>но совещание</w:t>
      </w:r>
      <w:r w:rsidR="00F06A72" w:rsidRPr="001379B4">
        <w:t xml:space="preserve">), </w:t>
      </w:r>
      <w:r w:rsidR="00F06A72">
        <w:t>ЦГ по ЭМ</w:t>
      </w:r>
      <w:r w:rsidR="00F06A72" w:rsidRPr="001379B4">
        <w:t xml:space="preserve"> (</w:t>
      </w:r>
      <w:r w:rsidR="00F06A72">
        <w:t>три</w:t>
      </w:r>
      <w:r w:rsidR="00F06A72" w:rsidRPr="001379B4">
        <w:t xml:space="preserve"> </w:t>
      </w:r>
      <w:r w:rsidR="00F06A72">
        <w:t>совещания</w:t>
      </w:r>
      <w:r w:rsidR="00F06A72" w:rsidRPr="001379B4">
        <w:t>). Было проведено два ауди</w:t>
      </w:r>
      <w:proofErr w:type="gramStart"/>
      <w:r w:rsidR="00F06A72" w:rsidRPr="001379B4">
        <w:t>о</w:t>
      </w:r>
      <w:r w:rsidR="00F06A72">
        <w:t>-</w:t>
      </w:r>
      <w:proofErr w:type="gramEnd"/>
      <w:r w:rsidR="00F06A72" w:rsidRPr="001379B4">
        <w:t>/</w:t>
      </w:r>
      <w:r w:rsidR="00F06A72">
        <w:t>веб-совещания</w:t>
      </w:r>
      <w:r w:rsidR="00F06A72" w:rsidRPr="001379B4">
        <w:t xml:space="preserve"> </w:t>
      </w:r>
      <w:r w:rsidR="00F06A72">
        <w:t>по вопросам, каса</w:t>
      </w:r>
      <w:r w:rsidR="00F06A72">
        <w:t>ю</w:t>
      </w:r>
      <w:r w:rsidR="00F06A72">
        <w:t>щимся</w:t>
      </w:r>
      <w:r w:rsidR="00F06A72" w:rsidRPr="001379B4">
        <w:t xml:space="preserve"> </w:t>
      </w:r>
      <w:r w:rsidR="00F06A72">
        <w:t>п</w:t>
      </w:r>
      <w:r w:rsidR="00F06A72" w:rsidRPr="00956D66">
        <w:t>одвижн</w:t>
      </w:r>
      <w:r w:rsidR="00F06A72">
        <w:t>ых</w:t>
      </w:r>
      <w:r w:rsidR="00F06A72" w:rsidRPr="00956D66">
        <w:t xml:space="preserve"> аэродинамическ</w:t>
      </w:r>
      <w:r w:rsidR="00F06A72">
        <w:t>их</w:t>
      </w:r>
      <w:r w:rsidR="00F06A72" w:rsidRPr="00956D66">
        <w:t xml:space="preserve"> част</w:t>
      </w:r>
      <w:r w:rsidR="00F06A72">
        <w:t>ей</w:t>
      </w:r>
      <w:r w:rsidR="00F06A72" w:rsidRPr="00956D66">
        <w:t xml:space="preserve"> кузова</w:t>
      </w:r>
      <w:r w:rsidR="00F06A72">
        <w:t xml:space="preserve">, но </w:t>
      </w:r>
      <w:r w:rsidR="00F06A72" w:rsidRPr="001379B4">
        <w:t>оконч</w:t>
      </w:r>
      <w:r w:rsidR="00F06A72" w:rsidRPr="001379B4">
        <w:t>а</w:t>
      </w:r>
      <w:r w:rsidR="00F06A72" w:rsidRPr="001379B4">
        <w:t>тельн</w:t>
      </w:r>
      <w:r w:rsidR="00F06A72">
        <w:t>ый</w:t>
      </w:r>
      <w:r w:rsidR="00F06A72" w:rsidRPr="001379B4">
        <w:t xml:space="preserve"> текст</w:t>
      </w:r>
      <w:r w:rsidR="00F06A72">
        <w:t xml:space="preserve"> еще не подготовлен</w:t>
      </w:r>
      <w:r w:rsidR="00F06A72" w:rsidRPr="001379B4">
        <w:t>.</w:t>
      </w:r>
    </w:p>
    <w:p w:rsidR="00947BF3" w:rsidRPr="00754913" w:rsidRDefault="00947BF3" w:rsidP="00947BF3">
      <w:pPr>
        <w:pStyle w:val="SingleTxtGR"/>
        <w:spacing w:before="240" w:after="0"/>
        <w:jc w:val="center"/>
        <w:rPr>
          <w:u w:val="single"/>
        </w:rPr>
      </w:pPr>
      <w:r w:rsidRPr="00754913">
        <w:rPr>
          <w:u w:val="single"/>
        </w:rPr>
        <w:tab/>
      </w:r>
      <w:r w:rsidRPr="00754913">
        <w:rPr>
          <w:u w:val="single"/>
        </w:rPr>
        <w:tab/>
      </w:r>
      <w:r w:rsidRPr="00754913">
        <w:rPr>
          <w:u w:val="single"/>
        </w:rPr>
        <w:tab/>
      </w:r>
    </w:p>
    <w:sectPr w:rsidR="00947BF3" w:rsidRPr="00754913" w:rsidSect="00F06A7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55" w:rsidRPr="00A312BC" w:rsidRDefault="00005955" w:rsidP="00A312BC"/>
  </w:endnote>
  <w:endnote w:type="continuationSeparator" w:id="0">
    <w:p w:rsidR="00005955" w:rsidRPr="00A312BC" w:rsidRDefault="0000595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72" w:rsidRPr="00F06A72" w:rsidRDefault="00F06A72">
    <w:pPr>
      <w:pStyle w:val="Footer"/>
    </w:pPr>
    <w:r w:rsidRPr="00F06A72">
      <w:rPr>
        <w:b/>
        <w:sz w:val="18"/>
      </w:rPr>
      <w:fldChar w:fldCharType="begin"/>
    </w:r>
    <w:r w:rsidRPr="00F06A72">
      <w:rPr>
        <w:b/>
        <w:sz w:val="18"/>
      </w:rPr>
      <w:instrText xml:space="preserve"> PAGE  \* MERGEFORMAT </w:instrText>
    </w:r>
    <w:r w:rsidRPr="00F06A72">
      <w:rPr>
        <w:b/>
        <w:sz w:val="18"/>
      </w:rPr>
      <w:fldChar w:fldCharType="separate"/>
    </w:r>
    <w:r w:rsidR="00BE55CE">
      <w:rPr>
        <w:b/>
        <w:noProof/>
        <w:sz w:val="18"/>
      </w:rPr>
      <w:t>2</w:t>
    </w:r>
    <w:r w:rsidRPr="00F06A72">
      <w:rPr>
        <w:b/>
        <w:sz w:val="18"/>
      </w:rPr>
      <w:fldChar w:fldCharType="end"/>
    </w:r>
    <w:r>
      <w:rPr>
        <w:b/>
        <w:sz w:val="18"/>
      </w:rPr>
      <w:tab/>
    </w:r>
    <w:r>
      <w:t>GE.17-18458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72" w:rsidRPr="00F06A72" w:rsidRDefault="00F06A72" w:rsidP="00F06A72">
    <w:pPr>
      <w:pStyle w:val="Footer"/>
      <w:tabs>
        <w:tab w:val="clear" w:pos="9639"/>
        <w:tab w:val="right" w:pos="9638"/>
      </w:tabs>
      <w:rPr>
        <w:b/>
        <w:sz w:val="18"/>
      </w:rPr>
    </w:pPr>
    <w:r>
      <w:t>GE.17-18458</w:t>
    </w:r>
    <w:r>
      <w:tab/>
    </w:r>
    <w:r w:rsidRPr="00F06A72">
      <w:rPr>
        <w:b/>
        <w:sz w:val="18"/>
      </w:rPr>
      <w:fldChar w:fldCharType="begin"/>
    </w:r>
    <w:r w:rsidRPr="00F06A72">
      <w:rPr>
        <w:b/>
        <w:sz w:val="18"/>
      </w:rPr>
      <w:instrText xml:space="preserve"> PAGE  \* MERGEFORMAT </w:instrText>
    </w:r>
    <w:r w:rsidRPr="00F06A72">
      <w:rPr>
        <w:b/>
        <w:sz w:val="18"/>
      </w:rPr>
      <w:fldChar w:fldCharType="separate"/>
    </w:r>
    <w:r w:rsidR="00BE55CE">
      <w:rPr>
        <w:b/>
        <w:noProof/>
        <w:sz w:val="18"/>
      </w:rPr>
      <w:t>3</w:t>
    </w:r>
    <w:r w:rsidRPr="00F06A7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F06A72" w:rsidRDefault="00F06A72" w:rsidP="00F06A72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793DED9" wp14:editId="2ED9283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17-18458  (R)</w:t>
    </w:r>
    <w:r w:rsidR="00D60B5D">
      <w:rPr>
        <w:lang w:val="en-US"/>
      </w:rPr>
      <w:t xml:space="preserve">  071117  071117</w:t>
    </w:r>
    <w:r>
      <w:br/>
    </w:r>
    <w:r w:rsidRPr="00F06A72">
      <w:rPr>
        <w:rFonts w:ascii="C39T30Lfz" w:hAnsi="C39T30Lfz"/>
        <w:spacing w:val="0"/>
        <w:w w:val="100"/>
        <w:sz w:val="56"/>
      </w:rPr>
      <w:t></w:t>
    </w:r>
    <w:r w:rsidRPr="00F06A72">
      <w:rPr>
        <w:rFonts w:ascii="C39T30Lfz" w:hAnsi="C39T30Lfz"/>
        <w:spacing w:val="0"/>
        <w:w w:val="100"/>
        <w:sz w:val="56"/>
      </w:rPr>
      <w:t></w:t>
    </w:r>
    <w:r w:rsidRPr="00F06A72">
      <w:rPr>
        <w:rFonts w:ascii="C39T30Lfz" w:hAnsi="C39T30Lfz"/>
        <w:spacing w:val="0"/>
        <w:w w:val="100"/>
        <w:sz w:val="56"/>
      </w:rPr>
      <w:t></w:t>
    </w:r>
    <w:r w:rsidRPr="00F06A72">
      <w:rPr>
        <w:rFonts w:ascii="C39T30Lfz" w:hAnsi="C39T30Lfz"/>
        <w:spacing w:val="0"/>
        <w:w w:val="100"/>
        <w:sz w:val="56"/>
      </w:rPr>
      <w:t></w:t>
    </w:r>
    <w:r w:rsidRPr="00F06A72">
      <w:rPr>
        <w:rFonts w:ascii="C39T30Lfz" w:hAnsi="C39T30Lfz"/>
        <w:spacing w:val="0"/>
        <w:w w:val="100"/>
        <w:sz w:val="56"/>
      </w:rPr>
      <w:t></w:t>
    </w:r>
    <w:r w:rsidRPr="00F06A72">
      <w:rPr>
        <w:rFonts w:ascii="C39T30Lfz" w:hAnsi="C39T30Lfz"/>
        <w:spacing w:val="0"/>
        <w:w w:val="100"/>
        <w:sz w:val="56"/>
      </w:rPr>
      <w:t></w:t>
    </w:r>
    <w:r w:rsidRPr="00F06A72">
      <w:rPr>
        <w:rFonts w:ascii="C39T30Lfz" w:hAnsi="C39T30Lfz"/>
        <w:spacing w:val="0"/>
        <w:w w:val="100"/>
        <w:sz w:val="56"/>
      </w:rPr>
      <w:t></w:t>
    </w:r>
    <w:r w:rsidRPr="00F06A72">
      <w:rPr>
        <w:rFonts w:ascii="C39T30Lfz" w:hAnsi="C39T30Lfz"/>
        <w:spacing w:val="0"/>
        <w:w w:val="100"/>
        <w:sz w:val="56"/>
      </w:rPr>
      <w:t></w:t>
    </w:r>
    <w:r w:rsidRPr="00F06A72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PE/2018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18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55" w:rsidRPr="001075E9" w:rsidRDefault="0000595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5955" w:rsidRDefault="0000595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06A72" w:rsidRPr="00D60B5D" w:rsidRDefault="00F06A72" w:rsidP="00D60B5D">
      <w:pPr>
        <w:pStyle w:val="FootnoteText"/>
        <w:rPr>
          <w:lang w:val="ru-RU"/>
        </w:rPr>
      </w:pPr>
      <w:r>
        <w:rPr>
          <w:lang w:val="ru-RU"/>
        </w:rPr>
        <w:tab/>
      </w:r>
      <w:r w:rsidRPr="00D60B5D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</w:t>
      </w:r>
      <w:r w:rsidRPr="00D60B5D">
        <w:rPr>
          <w:lang w:val="ru-RU"/>
        </w:rPr>
        <w:t>Комитета</w:t>
      </w:r>
      <w:r>
        <w:rPr>
          <w:lang w:val="ru-RU"/>
        </w:rPr>
        <w:t xml:space="preserve"> по внутреннему транспорту </w:t>
      </w:r>
      <w:r w:rsidR="00D60B5D" w:rsidRPr="00D60B5D">
        <w:rPr>
          <w:lang w:val="ru-RU"/>
        </w:rPr>
        <w:br/>
      </w:r>
      <w:r>
        <w:rPr>
          <w:lang w:val="ru-RU"/>
        </w:rPr>
        <w:t>на 2014–2018 годы (ECE/TRANS/240, пункт 105, и ECE/TRANS/2014/26, подпрограмма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72" w:rsidRPr="00F06A72" w:rsidRDefault="002155CF">
    <w:pPr>
      <w:pStyle w:val="Header"/>
    </w:pPr>
    <w:fldSimple w:instr=" TITLE  \* MERGEFORMAT ">
      <w:r>
        <w:t>ECE/TRANS/WP.29/GRPE/2018/8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72" w:rsidRPr="00F06A72" w:rsidRDefault="002155CF" w:rsidP="00F06A72">
    <w:pPr>
      <w:pStyle w:val="Header"/>
      <w:jc w:val="right"/>
    </w:pPr>
    <w:fldSimple w:instr=" TITLE  \* MERGEFORMAT ">
      <w:r>
        <w:t>ECE/TRANS/WP.29/GRPE/2018/8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55"/>
    <w:rsid w:val="00005955"/>
    <w:rsid w:val="00033EE1"/>
    <w:rsid w:val="00042B72"/>
    <w:rsid w:val="000558BD"/>
    <w:rsid w:val="000675D5"/>
    <w:rsid w:val="00097DF4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55CF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C0295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53A6"/>
    <w:rsid w:val="00712895"/>
    <w:rsid w:val="00734ACB"/>
    <w:rsid w:val="00754913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6652"/>
    <w:rsid w:val="008D53B6"/>
    <w:rsid w:val="008F7609"/>
    <w:rsid w:val="00906890"/>
    <w:rsid w:val="00911BE4"/>
    <w:rsid w:val="00947BF3"/>
    <w:rsid w:val="00951972"/>
    <w:rsid w:val="009608F3"/>
    <w:rsid w:val="009A24AC"/>
    <w:rsid w:val="009C6FE6"/>
    <w:rsid w:val="009D7080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55CE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0B5D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6A72"/>
    <w:rsid w:val="00F2523A"/>
    <w:rsid w:val="00F4051E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"/>
    <w:basedOn w:val="Normal"/>
    <w:link w:val="FootnoteTextChar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06A72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F06A72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"/>
    <w:basedOn w:val="Normal"/>
    <w:link w:val="FootnoteTextChar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06A72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F06A72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5263</Characters>
  <Application>Microsoft Office Word</Application>
  <DocSecurity>4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ECE/TRANS/WP.29/GRPE/2018/8</vt:lpstr>
      <vt:lpstr>ECE/TRANS/WP.29/GRPE/2018/8</vt:lpstr>
      <vt:lpstr>A/</vt:lpstr>
    </vt:vector>
  </TitlesOfParts>
  <Company>DCM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ECE/TRANS/WP.29/GRPE/2018/8</dc:title>
  <dc:creator>Prokoudina S.</dc:creator>
  <cp:lastModifiedBy>Benedicte Boudol</cp:lastModifiedBy>
  <cp:revision>2</cp:revision>
  <cp:lastPrinted>2017-11-07T10:25:00Z</cp:lastPrinted>
  <dcterms:created xsi:type="dcterms:W3CDTF">2017-11-09T12:54:00Z</dcterms:created>
  <dcterms:modified xsi:type="dcterms:W3CDTF">2017-11-09T12:54:00Z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