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23B2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23B25" w:rsidP="00123B25">
            <w:pPr>
              <w:jc w:val="right"/>
            </w:pPr>
            <w:r w:rsidRPr="00123B25">
              <w:rPr>
                <w:sz w:val="40"/>
              </w:rPr>
              <w:t>ECE</w:t>
            </w:r>
            <w:r>
              <w:t>/TRANS/WP.29/GRPE/2018/6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23B25" w:rsidP="00C97039">
            <w:pPr>
              <w:spacing w:before="240"/>
            </w:pPr>
            <w:proofErr w:type="spellStart"/>
            <w:r>
              <w:t>Distr</w:t>
            </w:r>
            <w:proofErr w:type="spellEnd"/>
            <w:r>
              <w:t>. générale</w:t>
            </w:r>
          </w:p>
          <w:p w:rsidR="00123B25" w:rsidRDefault="00123B25" w:rsidP="00123B25">
            <w:pPr>
              <w:spacing w:line="240" w:lineRule="exact"/>
            </w:pPr>
            <w:r>
              <w:t>19 octobre 2017</w:t>
            </w:r>
          </w:p>
          <w:p w:rsidR="00123B25" w:rsidRDefault="00123B25" w:rsidP="00123B25">
            <w:pPr>
              <w:spacing w:line="240" w:lineRule="exact"/>
            </w:pPr>
            <w:r>
              <w:t>Français</w:t>
            </w:r>
          </w:p>
          <w:p w:rsidR="00123B25" w:rsidRPr="00DB58B5" w:rsidRDefault="009D24EE" w:rsidP="00123B25">
            <w:pPr>
              <w:spacing w:line="240" w:lineRule="exact"/>
            </w:pPr>
            <w:r>
              <w:t>Original </w:t>
            </w:r>
            <w:r w:rsidR="00123B25">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23B25" w:rsidRDefault="00123B25"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23B25" w:rsidRDefault="00123B25" w:rsidP="00257168">
      <w:pPr>
        <w:spacing w:before="120" w:after="120" w:line="240" w:lineRule="exact"/>
        <w:rPr>
          <w:b/>
        </w:rPr>
      </w:pPr>
      <w:r>
        <w:rPr>
          <w:b/>
        </w:rPr>
        <w:t>Groupe de travail de la pollution et de l’énergie</w:t>
      </w:r>
    </w:p>
    <w:p w:rsidR="00123B25" w:rsidRDefault="00123B25" w:rsidP="00257168">
      <w:pPr>
        <w:spacing w:before="120" w:line="240" w:lineRule="exact"/>
        <w:rPr>
          <w:b/>
        </w:rPr>
      </w:pPr>
      <w:r w:rsidRPr="00123B25">
        <w:rPr>
          <w:b/>
          <w:lang w:val="fr-FR"/>
        </w:rPr>
        <w:t>Soixante-seizième</w:t>
      </w:r>
      <w:r>
        <w:rPr>
          <w:b/>
        </w:rPr>
        <w:t xml:space="preserve"> session</w:t>
      </w:r>
    </w:p>
    <w:p w:rsidR="00123B25" w:rsidRDefault="00123B25" w:rsidP="00257168">
      <w:pPr>
        <w:spacing w:line="240" w:lineRule="exact"/>
      </w:pPr>
      <w:r>
        <w:t xml:space="preserve">Genève, </w:t>
      </w:r>
      <w:r w:rsidR="0090722B" w:rsidRPr="00123B25">
        <w:rPr>
          <w:lang w:val="fr-FR"/>
        </w:rPr>
        <w:t>9</w:t>
      </w:r>
      <w:r>
        <w:rPr>
          <w:lang w:val="fr-FR"/>
        </w:rPr>
        <w:noBreakHyphen/>
        <w:t>12 </w:t>
      </w:r>
      <w:r w:rsidR="0090722B" w:rsidRPr="00123B25">
        <w:rPr>
          <w:lang w:val="fr-FR"/>
        </w:rPr>
        <w:t>janvier 2018</w:t>
      </w:r>
    </w:p>
    <w:p w:rsidR="00123B25" w:rsidRDefault="00123B25" w:rsidP="00257168">
      <w:pPr>
        <w:spacing w:line="240" w:lineRule="exact"/>
      </w:pPr>
      <w:r>
        <w:t>Point 3 a) de l’ordre du jour</w:t>
      </w:r>
      <w:r w:rsidR="002A429E">
        <w:t xml:space="preserve"> provisoire</w:t>
      </w:r>
    </w:p>
    <w:p w:rsidR="00F9573C" w:rsidRDefault="0090722B" w:rsidP="00AF0CB5">
      <w:pPr>
        <w:rPr>
          <w:b/>
          <w:lang w:val="fr-FR"/>
        </w:rPr>
      </w:pPr>
      <w:r w:rsidRPr="00123B25">
        <w:rPr>
          <w:b/>
          <w:lang w:val="fr-FR"/>
        </w:rPr>
        <w:t xml:space="preserve">Véhicules légers </w:t>
      </w:r>
      <w:r w:rsidR="003B08AF">
        <w:rPr>
          <w:b/>
          <w:lang w:val="fr-FR"/>
        </w:rPr>
        <w:noBreakHyphen/>
      </w:r>
      <w:r w:rsidRPr="00123B25">
        <w:rPr>
          <w:b/>
          <w:lang w:val="fr-FR"/>
        </w:rPr>
        <w:t xml:space="preserve"> Règlements </w:t>
      </w:r>
      <w:r w:rsidR="00123B25" w:rsidRPr="00123B25">
        <w:rPr>
          <w:rFonts w:eastAsia="MS Mincho"/>
          <w:b/>
          <w:szCs w:val="22"/>
          <w:lang w:val="fr-FR"/>
        </w:rPr>
        <w:t>n</w:t>
      </w:r>
      <w:r w:rsidR="00123B25" w:rsidRPr="00123B25">
        <w:rPr>
          <w:rFonts w:eastAsia="MS Mincho"/>
          <w:b/>
          <w:szCs w:val="22"/>
          <w:vertAlign w:val="superscript"/>
          <w:lang w:val="fr-FR"/>
        </w:rPr>
        <w:t>o</w:t>
      </w:r>
      <w:r w:rsidR="00123B25">
        <w:rPr>
          <w:rFonts w:eastAsia="MS Mincho"/>
          <w:b/>
          <w:szCs w:val="22"/>
          <w:vertAlign w:val="superscript"/>
          <w:lang w:val="fr-FR"/>
        </w:rPr>
        <w:t>s</w:t>
      </w:r>
      <w:r w:rsidR="00123B25">
        <w:rPr>
          <w:b/>
          <w:lang w:val="fr-FR"/>
        </w:rPr>
        <w:t> </w:t>
      </w:r>
      <w:r w:rsidRPr="00123B25">
        <w:rPr>
          <w:b/>
          <w:lang w:val="fr-FR"/>
        </w:rPr>
        <w:t xml:space="preserve">68 </w:t>
      </w:r>
      <w:r w:rsidR="00123B25">
        <w:rPr>
          <w:b/>
          <w:lang w:val="fr-FR"/>
        </w:rPr>
        <w:br/>
      </w:r>
      <w:r w:rsidRPr="00123B25">
        <w:rPr>
          <w:b/>
          <w:lang w:val="fr-FR"/>
        </w:rPr>
        <w:t xml:space="preserve">(Mesure de la vitesse maximale des véhicules </w:t>
      </w:r>
      <w:r w:rsidR="00123B25">
        <w:rPr>
          <w:b/>
          <w:lang w:val="fr-FR"/>
        </w:rPr>
        <w:t xml:space="preserve">à moteur, </w:t>
      </w:r>
      <w:r w:rsidR="00123B25">
        <w:rPr>
          <w:b/>
          <w:lang w:val="fr-FR"/>
        </w:rPr>
        <w:br/>
        <w:t>y </w:t>
      </w:r>
      <w:r w:rsidRPr="00123B25">
        <w:rPr>
          <w:b/>
          <w:lang w:val="fr-FR"/>
        </w:rPr>
        <w:t xml:space="preserve">compris les véhicules électriques purs), </w:t>
      </w:r>
      <w:r w:rsidR="00123B25">
        <w:rPr>
          <w:b/>
          <w:lang w:val="fr-FR"/>
        </w:rPr>
        <w:br/>
      </w:r>
      <w:r w:rsidRPr="00123B25">
        <w:rPr>
          <w:b/>
          <w:lang w:val="fr-FR"/>
        </w:rPr>
        <w:t xml:space="preserve">83 (Émissions polluantes des véhicules des catégories M1 et N1), </w:t>
      </w:r>
      <w:r w:rsidR="00123B25">
        <w:rPr>
          <w:b/>
          <w:lang w:val="fr-FR"/>
        </w:rPr>
        <w:br/>
      </w:r>
      <w:r w:rsidRPr="00123B25">
        <w:rPr>
          <w:b/>
          <w:lang w:val="fr-FR"/>
        </w:rPr>
        <w:t>101 (Émissions de CO</w:t>
      </w:r>
      <w:r w:rsidRPr="00123B25">
        <w:rPr>
          <w:b/>
          <w:vertAlign w:val="subscript"/>
          <w:lang w:val="fr-FR"/>
        </w:rPr>
        <w:t>2</w:t>
      </w:r>
      <w:r w:rsidRPr="00123B25">
        <w:rPr>
          <w:b/>
          <w:lang w:val="fr-FR"/>
        </w:rPr>
        <w:t xml:space="preserve">/consommation de carburant) </w:t>
      </w:r>
      <w:r w:rsidR="00123B25">
        <w:rPr>
          <w:b/>
          <w:lang w:val="fr-FR"/>
        </w:rPr>
        <w:br/>
      </w:r>
      <w:r w:rsidRPr="00123B25">
        <w:rPr>
          <w:b/>
          <w:lang w:val="fr-FR"/>
        </w:rPr>
        <w:t>et 103 (Dispositifs antipollution de remplacement)</w:t>
      </w:r>
    </w:p>
    <w:p w:rsidR="00F02584" w:rsidRPr="00123B25" w:rsidRDefault="00123B25" w:rsidP="00123B25">
      <w:pPr>
        <w:pStyle w:val="HChG"/>
      </w:pPr>
      <w:r>
        <w:rPr>
          <w:lang w:val="fr-FR"/>
        </w:rPr>
        <w:tab/>
      </w:r>
      <w:r>
        <w:rPr>
          <w:lang w:val="fr-FR"/>
        </w:rPr>
        <w:tab/>
      </w:r>
      <w:r w:rsidR="0090722B" w:rsidRPr="00123B25">
        <w:rPr>
          <w:lang w:val="fr-FR"/>
        </w:rPr>
        <w:t xml:space="preserve">Proposition de nouveau complément aux séries 06 et 07 d’amendements au Règlement </w:t>
      </w:r>
      <w:r w:rsidRPr="00123B25">
        <w:rPr>
          <w:rFonts w:eastAsia="MS Mincho"/>
          <w:szCs w:val="22"/>
          <w:lang w:val="fr-FR"/>
        </w:rPr>
        <w:t>n</w:t>
      </w:r>
      <w:r w:rsidRPr="00123B25">
        <w:rPr>
          <w:rFonts w:eastAsia="MS Mincho"/>
          <w:szCs w:val="22"/>
          <w:vertAlign w:val="superscript"/>
          <w:lang w:val="fr-FR"/>
        </w:rPr>
        <w:t>o</w:t>
      </w:r>
      <w:r>
        <w:rPr>
          <w:lang w:val="fr-FR"/>
        </w:rPr>
        <w:t> </w:t>
      </w:r>
      <w:r w:rsidR="0090722B" w:rsidRPr="00123B25">
        <w:rPr>
          <w:lang w:val="fr-FR"/>
        </w:rPr>
        <w:t>83 (Émissions polluantes des véhicules des catégories M1 et N1)</w:t>
      </w:r>
    </w:p>
    <w:p w:rsidR="00F02584" w:rsidRPr="00123B25" w:rsidRDefault="0090722B" w:rsidP="00123B25">
      <w:pPr>
        <w:pStyle w:val="H1G"/>
      </w:pPr>
      <w:r w:rsidRPr="00123B25">
        <w:rPr>
          <w:lang w:val="fr-FR"/>
        </w:rPr>
        <w:tab/>
      </w:r>
      <w:r w:rsidRPr="00123B25">
        <w:rPr>
          <w:lang w:val="fr-FR"/>
        </w:rPr>
        <w:tab/>
        <w:t xml:space="preserve">Communication de l’expert de l’Organisation internationale </w:t>
      </w:r>
      <w:r w:rsidR="006E0A16">
        <w:rPr>
          <w:lang w:val="fr-FR"/>
        </w:rPr>
        <w:br/>
      </w:r>
      <w:r w:rsidRPr="00123B25">
        <w:rPr>
          <w:lang w:val="fr-FR"/>
        </w:rPr>
        <w:t>des constructeurs d’automobiles</w:t>
      </w:r>
      <w:r w:rsidRPr="00123B25">
        <w:rPr>
          <w:b w:val="0"/>
          <w:sz w:val="20"/>
          <w:lang w:val="fr-FR"/>
        </w:rPr>
        <w:footnoteReference w:customMarkFollows="1" w:id="2"/>
        <w:t>*</w:t>
      </w:r>
    </w:p>
    <w:p w:rsidR="00123B25" w:rsidRDefault="0090722B" w:rsidP="00123B25">
      <w:pPr>
        <w:pStyle w:val="SingleTxtG"/>
        <w:ind w:firstLine="567"/>
        <w:rPr>
          <w:lang w:val="fr-FR"/>
        </w:rPr>
      </w:pPr>
      <w:r w:rsidRPr="00123B25">
        <w:rPr>
          <w:lang w:val="fr-FR"/>
        </w:rPr>
        <w:t>Le texte ci</w:t>
      </w:r>
      <w:r w:rsidR="00D83CC4">
        <w:rPr>
          <w:lang w:val="fr-FR"/>
        </w:rPr>
        <w:noBreakHyphen/>
      </w:r>
      <w:r w:rsidRPr="00123B25">
        <w:rPr>
          <w:lang w:val="fr-FR"/>
        </w:rPr>
        <w:t xml:space="preserve">après, établi par l’expert de l’Organisation internationale des constructeurs d’automobiles (OICA), vise à clarifier la règle relative à l’octroi d’extensions en fonction de la masse de référence </w:t>
      </w:r>
      <w:r w:rsidR="006E0A16">
        <w:rPr>
          <w:lang w:val="fr-FR"/>
        </w:rPr>
        <w:t xml:space="preserve">telle que définie au paragraphe 7 du Règlement </w:t>
      </w:r>
      <w:r w:rsidR="006E0A16" w:rsidRPr="006E0A16">
        <w:rPr>
          <w:rFonts w:eastAsia="MS Mincho"/>
          <w:szCs w:val="22"/>
          <w:lang w:val="fr-FR"/>
        </w:rPr>
        <w:t>n</w:t>
      </w:r>
      <w:r w:rsidR="006E0A16" w:rsidRPr="006E0A16">
        <w:rPr>
          <w:rFonts w:eastAsia="MS Mincho"/>
          <w:szCs w:val="22"/>
          <w:vertAlign w:val="superscript"/>
          <w:lang w:val="fr-FR"/>
        </w:rPr>
        <w:t>o</w:t>
      </w:r>
      <w:r w:rsidR="006E0A16">
        <w:rPr>
          <w:lang w:val="fr-FR"/>
        </w:rPr>
        <w:t> </w:t>
      </w:r>
      <w:r w:rsidRPr="00123B25">
        <w:rPr>
          <w:lang w:val="fr-FR"/>
        </w:rPr>
        <w:t>83, dans le cas de son application aux</w:t>
      </w:r>
      <w:r w:rsidR="006E0A16">
        <w:rPr>
          <w:lang w:val="fr-FR"/>
        </w:rPr>
        <w:t xml:space="preserve"> véhicules de la catégorie </w:t>
      </w:r>
      <w:r w:rsidRPr="00123B25">
        <w:rPr>
          <w:lang w:val="fr-FR"/>
        </w:rPr>
        <w:t>N. Les modifications qu’il est proposé d’apporter au texte actuel du Règlement figurent en caractères gras pour les ajouts et biffés pour les suppressions.</w:t>
      </w:r>
    </w:p>
    <w:p w:rsidR="00F02584" w:rsidRPr="00D83CC4" w:rsidRDefault="00D83CC4" w:rsidP="00D83CC4">
      <w:pPr>
        <w:pStyle w:val="HChG"/>
      </w:pPr>
      <w:r>
        <w:rPr>
          <w:lang w:val="fr-FR"/>
        </w:rPr>
        <w:br w:type="page"/>
      </w:r>
      <w:r>
        <w:rPr>
          <w:lang w:val="fr-FR"/>
        </w:rPr>
        <w:lastRenderedPageBreak/>
        <w:tab/>
      </w:r>
      <w:r w:rsidR="0090722B" w:rsidRPr="00D83CC4">
        <w:rPr>
          <w:lang w:val="fr-FR"/>
        </w:rPr>
        <w:t>I.</w:t>
      </w:r>
      <w:r w:rsidR="0090722B" w:rsidRPr="00D83CC4">
        <w:rPr>
          <w:lang w:val="fr-FR"/>
        </w:rPr>
        <w:tab/>
        <w:t>Proposition</w:t>
      </w:r>
    </w:p>
    <w:p w:rsidR="00F02584" w:rsidRPr="00D83CC4" w:rsidRDefault="007D6B53" w:rsidP="00166DE6">
      <w:pPr>
        <w:pStyle w:val="SingleTxtG"/>
        <w:rPr>
          <w:i/>
        </w:rPr>
      </w:pPr>
      <w:r>
        <w:rPr>
          <w:i/>
          <w:iCs/>
          <w:lang w:val="fr-FR"/>
        </w:rPr>
        <w:t>Paragraphe </w:t>
      </w:r>
      <w:r w:rsidR="0090722B" w:rsidRPr="00D83CC4">
        <w:rPr>
          <w:i/>
          <w:iCs/>
          <w:lang w:val="fr-FR"/>
        </w:rPr>
        <w:t>7.1.1.2</w:t>
      </w:r>
      <w:r w:rsidR="00D83CC4">
        <w:rPr>
          <w:lang w:val="fr-FR"/>
        </w:rPr>
        <w:t xml:space="preserve">, </w:t>
      </w:r>
      <w:proofErr w:type="gramStart"/>
      <w:r w:rsidR="00D83CC4">
        <w:rPr>
          <w:lang w:val="fr-FR"/>
        </w:rPr>
        <w:t>modifier</w:t>
      </w:r>
      <w:proofErr w:type="gramEnd"/>
      <w:r w:rsidR="00D83CC4">
        <w:rPr>
          <w:lang w:val="fr-FR"/>
        </w:rPr>
        <w:t xml:space="preserve"> comme suit </w:t>
      </w:r>
      <w:r w:rsidR="0090722B" w:rsidRPr="00D83CC4">
        <w:rPr>
          <w:lang w:val="fr-FR"/>
        </w:rPr>
        <w:t>:</w:t>
      </w:r>
    </w:p>
    <w:p w:rsidR="00F02584" w:rsidRPr="00D83CC4" w:rsidRDefault="00D83CC4" w:rsidP="007B1015">
      <w:pPr>
        <w:pStyle w:val="SingleTxtG"/>
        <w:ind w:left="2268" w:hanging="1134"/>
      </w:pPr>
      <w:r>
        <w:rPr>
          <w:lang w:val="fr-FR"/>
        </w:rPr>
        <w:t>« </w:t>
      </w:r>
      <w:r w:rsidR="0090722B" w:rsidRPr="00D83CC4">
        <w:rPr>
          <w:lang w:val="fr-FR"/>
        </w:rPr>
        <w:t>7.1.1.2</w:t>
      </w:r>
      <w:r w:rsidR="0090722B" w:rsidRPr="00D83CC4">
        <w:rPr>
          <w:lang w:val="fr-FR"/>
        </w:rPr>
        <w:tab/>
        <w:t>Dans le ca</w:t>
      </w:r>
      <w:r w:rsidR="007B1015">
        <w:rPr>
          <w:lang w:val="fr-FR"/>
        </w:rPr>
        <w:t>s des véhicules de la catégorie </w:t>
      </w:r>
      <w:r w:rsidR="0090722B" w:rsidRPr="00D83CC4">
        <w:rPr>
          <w:lang w:val="fr-FR"/>
        </w:rPr>
        <w:t xml:space="preserve">N, l’extension de l’homologation ne doit être accordée </w:t>
      </w:r>
      <w:r w:rsidR="0090722B" w:rsidRPr="00BE0A42">
        <w:rPr>
          <w:strike/>
          <w:lang w:val="fr-FR"/>
        </w:rPr>
        <w:t>qu’</w:t>
      </w:r>
      <w:r w:rsidR="0090722B" w:rsidRPr="00D83CC4">
        <w:rPr>
          <w:lang w:val="fr-FR"/>
        </w:rPr>
        <w:t xml:space="preserve">aux véhicules ayant une masse de référence plus faible, </w:t>
      </w:r>
      <w:r w:rsidR="0090722B" w:rsidRPr="00BE0A42">
        <w:rPr>
          <w:b/>
          <w:lang w:val="fr-FR"/>
        </w:rPr>
        <w:t>que</w:t>
      </w:r>
      <w:r w:rsidR="0090722B" w:rsidRPr="00D83CC4">
        <w:rPr>
          <w:lang w:val="fr-FR"/>
        </w:rPr>
        <w:t xml:space="preserve"> si les émissions du véhicule déjà homologué satisfont aux limites prescrites pour le véhicule pour lequel l’extension de l’</w:t>
      </w:r>
      <w:r>
        <w:rPr>
          <w:lang w:val="fr-FR"/>
        </w:rPr>
        <w:t>homologation est demandée. »</w:t>
      </w:r>
      <w:r w:rsidR="00A613FD">
        <w:rPr>
          <w:lang w:val="fr-FR"/>
        </w:rPr>
        <w:t>.</w:t>
      </w:r>
    </w:p>
    <w:p w:rsidR="00F02584" w:rsidRPr="00D83CC4" w:rsidRDefault="00D83CC4" w:rsidP="00D83CC4">
      <w:pPr>
        <w:pStyle w:val="HChG"/>
      </w:pPr>
      <w:r>
        <w:rPr>
          <w:lang w:val="fr-FR"/>
        </w:rPr>
        <w:tab/>
      </w:r>
      <w:r w:rsidR="0090722B" w:rsidRPr="00D83CC4">
        <w:rPr>
          <w:lang w:val="fr-FR"/>
        </w:rPr>
        <w:t>II.</w:t>
      </w:r>
      <w:r w:rsidR="0090722B" w:rsidRPr="00D83CC4">
        <w:rPr>
          <w:lang w:val="fr-FR"/>
        </w:rPr>
        <w:tab/>
        <w:t>Justification</w:t>
      </w:r>
    </w:p>
    <w:p w:rsidR="00F02584" w:rsidRPr="00D83CC4" w:rsidRDefault="00D83CC4" w:rsidP="007B1015">
      <w:pPr>
        <w:pStyle w:val="SingleTxtG"/>
      </w:pPr>
      <w:r>
        <w:rPr>
          <w:lang w:val="fr-FR"/>
        </w:rPr>
        <w:t>1.</w:t>
      </w:r>
      <w:r>
        <w:rPr>
          <w:lang w:val="fr-FR"/>
        </w:rPr>
        <w:tab/>
        <w:t>Le paragraphe </w:t>
      </w:r>
      <w:r w:rsidR="0090722B" w:rsidRPr="00D83CC4">
        <w:rPr>
          <w:lang w:val="fr-FR"/>
        </w:rPr>
        <w:t>7.1.1.1 définit la règle générale, en ce qui concerne les extensions, pour les véhicules ayant des masses de référence différentes :</w:t>
      </w:r>
    </w:p>
    <w:p w:rsidR="00F02584" w:rsidRPr="00D83CC4" w:rsidRDefault="00D83CC4" w:rsidP="007B1015">
      <w:pPr>
        <w:pStyle w:val="SingleTxtG"/>
        <w:ind w:left="2268" w:hanging="1134"/>
      </w:pPr>
      <w:r>
        <w:t>« </w:t>
      </w:r>
      <w:r w:rsidR="0090722B" w:rsidRPr="00D83CC4">
        <w:rPr>
          <w:lang w:val="fr-FR"/>
        </w:rPr>
        <w:t>7.1.1.1.</w:t>
      </w:r>
      <w:r w:rsidR="0090722B" w:rsidRPr="00D83CC4">
        <w:rPr>
          <w:lang w:val="fr-FR"/>
        </w:rPr>
        <w:tab/>
        <w:t>L’extension de l’homologation de type ne doit être accordée qu’aux véhicules dont la masse de référence nécessite l’utilisation des deux classes d’inertie équivalente immédiatement supérieures ou de toute classe d’inertie équivalente inférieure.</w:t>
      </w:r>
      <w:r>
        <w:rPr>
          <w:lang w:val="fr-FR"/>
        </w:rPr>
        <w:t> »</w:t>
      </w:r>
      <w:r w:rsidR="00BD7530">
        <w:rPr>
          <w:lang w:val="fr-FR"/>
        </w:rPr>
        <w:t>.</w:t>
      </w:r>
    </w:p>
    <w:p w:rsidR="00F02584" w:rsidRPr="00D83CC4" w:rsidRDefault="0090722B" w:rsidP="007B1015">
      <w:pPr>
        <w:pStyle w:val="SingleTxtG"/>
      </w:pPr>
      <w:r w:rsidRPr="00D83CC4">
        <w:rPr>
          <w:lang w:val="fr-FR"/>
        </w:rPr>
        <w:t>2.</w:t>
      </w:r>
      <w:r w:rsidRPr="00D83CC4">
        <w:rPr>
          <w:lang w:val="fr-FR"/>
        </w:rPr>
        <w:tab/>
        <w:t>Cette prescription s’applique de la même faç</w:t>
      </w:r>
      <w:r w:rsidR="00E97865">
        <w:rPr>
          <w:lang w:val="fr-FR"/>
        </w:rPr>
        <w:t>on aux véhicules des catégories </w:t>
      </w:r>
      <w:r w:rsidRPr="00D83CC4">
        <w:rPr>
          <w:lang w:val="fr-FR"/>
        </w:rPr>
        <w:t>M ou N, mais dans le ca</w:t>
      </w:r>
      <w:r w:rsidR="008B6E37">
        <w:rPr>
          <w:lang w:val="fr-FR"/>
        </w:rPr>
        <w:t>s des véhicules de la catégorie </w:t>
      </w:r>
      <w:r w:rsidRPr="00D83CC4">
        <w:rPr>
          <w:lang w:val="fr-FR"/>
        </w:rPr>
        <w:t>N, pour lesquels les limites d’émission augmentent en fonction de la masse de référence, il convient d’empêcher qu’une extension soit accordée à un véhicule plus léger utilisant abusivement les limites moins rigoureuses applicables aux véhicules plus lourds.</w:t>
      </w:r>
    </w:p>
    <w:p w:rsidR="00F02584" w:rsidRPr="00D83CC4" w:rsidRDefault="0090722B" w:rsidP="007B1015">
      <w:pPr>
        <w:pStyle w:val="SingleTxtG"/>
      </w:pPr>
      <w:r w:rsidRPr="00D83CC4">
        <w:rPr>
          <w:lang w:val="fr-FR"/>
        </w:rPr>
        <w:t>3.</w:t>
      </w:r>
      <w:r w:rsidRPr="00D83CC4">
        <w:rPr>
          <w:lang w:val="fr-FR"/>
        </w:rPr>
        <w:tab/>
        <w:t xml:space="preserve">Toutefois, </w:t>
      </w:r>
      <w:r w:rsidR="00E97865">
        <w:rPr>
          <w:lang w:val="fr-FR"/>
        </w:rPr>
        <w:t>le libellé actuel du paragraphe </w:t>
      </w:r>
      <w:r w:rsidRPr="00D83CC4">
        <w:rPr>
          <w:lang w:val="fr-FR"/>
        </w:rPr>
        <w:t>7.1.1.2 peut donner à penser indépendamment de ce qui est mentionné ci</w:t>
      </w:r>
      <w:r w:rsidR="008B6E37">
        <w:rPr>
          <w:lang w:val="fr-FR"/>
        </w:rPr>
        <w:noBreakHyphen/>
      </w:r>
      <w:r w:rsidRPr="00D83CC4">
        <w:rPr>
          <w:lang w:val="fr-FR"/>
        </w:rPr>
        <w:t>dessus, qu’aucune extension ne doit être accordée aux véhicules ayant une masse de référence supérieure à la masse du véhicule ayant fait l’objet de l’homologation de type. Cela est sans fondement.</w:t>
      </w:r>
    </w:p>
    <w:p w:rsidR="00123B25" w:rsidRDefault="0090722B" w:rsidP="007B1015">
      <w:pPr>
        <w:pStyle w:val="SingleTxtG"/>
        <w:rPr>
          <w:lang w:val="fr-FR"/>
        </w:rPr>
      </w:pPr>
      <w:r w:rsidRPr="00D83CC4">
        <w:rPr>
          <w:lang w:val="fr-FR"/>
        </w:rPr>
        <w:t>4.</w:t>
      </w:r>
      <w:r w:rsidRPr="00D83CC4">
        <w:rPr>
          <w:lang w:val="fr-FR"/>
        </w:rPr>
        <w:tab/>
        <w:t>La présente proposition met fin à cette ambiguïté.</w:t>
      </w:r>
    </w:p>
    <w:p w:rsidR="00E97865" w:rsidRPr="00E97865" w:rsidRDefault="00E97865" w:rsidP="00E9786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97865" w:rsidRPr="00E97865" w:rsidSect="00123B2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E0" w:rsidRDefault="006B2EE0" w:rsidP="00F95C08">
      <w:pPr>
        <w:spacing w:line="240" w:lineRule="auto"/>
      </w:pPr>
    </w:p>
  </w:endnote>
  <w:endnote w:type="continuationSeparator" w:id="0">
    <w:p w:rsidR="006B2EE0" w:rsidRPr="00AC3823" w:rsidRDefault="006B2EE0" w:rsidP="00AC3823">
      <w:pPr>
        <w:pStyle w:val="Footer"/>
      </w:pPr>
    </w:p>
  </w:endnote>
  <w:endnote w:type="continuationNotice" w:id="1">
    <w:p w:rsidR="006B2EE0" w:rsidRDefault="006B2E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25" w:rsidRPr="00123B25" w:rsidRDefault="00123B25" w:rsidP="00123B25">
    <w:pPr>
      <w:pStyle w:val="Footer"/>
      <w:tabs>
        <w:tab w:val="right" w:pos="9638"/>
      </w:tabs>
    </w:pPr>
    <w:r w:rsidRPr="00123B25">
      <w:rPr>
        <w:b/>
        <w:sz w:val="18"/>
      </w:rPr>
      <w:fldChar w:fldCharType="begin"/>
    </w:r>
    <w:r w:rsidRPr="00123B25">
      <w:rPr>
        <w:b/>
        <w:sz w:val="18"/>
      </w:rPr>
      <w:instrText xml:space="preserve"> PAGE  \* MERGEFORMAT </w:instrText>
    </w:r>
    <w:r w:rsidRPr="00123B25">
      <w:rPr>
        <w:b/>
        <w:sz w:val="18"/>
      </w:rPr>
      <w:fldChar w:fldCharType="separate"/>
    </w:r>
    <w:r w:rsidR="004A3B98">
      <w:rPr>
        <w:b/>
        <w:noProof/>
        <w:sz w:val="18"/>
      </w:rPr>
      <w:t>2</w:t>
    </w:r>
    <w:r w:rsidRPr="00123B25">
      <w:rPr>
        <w:b/>
        <w:sz w:val="18"/>
      </w:rPr>
      <w:fldChar w:fldCharType="end"/>
    </w:r>
    <w:r>
      <w:rPr>
        <w:b/>
        <w:sz w:val="18"/>
      </w:rPr>
      <w:tab/>
    </w:r>
    <w:r>
      <w:t>GE.17-18408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25" w:rsidRPr="00123B25" w:rsidRDefault="00123B25" w:rsidP="00123B25">
    <w:pPr>
      <w:pStyle w:val="Footer"/>
      <w:tabs>
        <w:tab w:val="right" w:pos="9638"/>
      </w:tabs>
      <w:rPr>
        <w:b/>
        <w:sz w:val="18"/>
      </w:rPr>
    </w:pPr>
    <w:r>
      <w:t>GE.17-18408</w:t>
    </w:r>
    <w:r>
      <w:tab/>
    </w:r>
    <w:r w:rsidRPr="00123B25">
      <w:rPr>
        <w:b/>
        <w:sz w:val="18"/>
      </w:rPr>
      <w:fldChar w:fldCharType="begin"/>
    </w:r>
    <w:r w:rsidRPr="00123B25">
      <w:rPr>
        <w:b/>
        <w:sz w:val="18"/>
      </w:rPr>
      <w:instrText xml:space="preserve"> PAGE  \* MERGEFORMAT </w:instrText>
    </w:r>
    <w:r w:rsidRPr="00123B25">
      <w:rPr>
        <w:b/>
        <w:sz w:val="18"/>
      </w:rPr>
      <w:fldChar w:fldCharType="separate"/>
    </w:r>
    <w:r w:rsidR="0090722B">
      <w:rPr>
        <w:b/>
        <w:noProof/>
        <w:sz w:val="18"/>
      </w:rPr>
      <w:t>2</w:t>
    </w:r>
    <w:r w:rsidRPr="00123B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23B25" w:rsidRDefault="00123B25" w:rsidP="00123B25">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17-18408  (F)</w:t>
    </w:r>
    <w:r w:rsidR="00153B39">
      <w:rPr>
        <w:sz w:val="20"/>
      </w:rPr>
      <w:t xml:space="preserve">    091117    091117</w:t>
    </w:r>
    <w:r>
      <w:rPr>
        <w:sz w:val="20"/>
      </w:rPr>
      <w:br/>
    </w:r>
    <w:r w:rsidRPr="00123B25">
      <w:rPr>
        <w:rFonts w:ascii="C39T30Lfz" w:hAnsi="C39T30Lfz"/>
        <w:sz w:val="56"/>
      </w:rPr>
      <w:t></w:t>
    </w:r>
    <w:r w:rsidRPr="00123B25">
      <w:rPr>
        <w:rFonts w:ascii="C39T30Lfz" w:hAnsi="C39T30Lfz"/>
        <w:sz w:val="56"/>
      </w:rPr>
      <w:t></w:t>
    </w:r>
    <w:r w:rsidRPr="00123B25">
      <w:rPr>
        <w:rFonts w:ascii="C39T30Lfz" w:hAnsi="C39T30Lfz"/>
        <w:sz w:val="56"/>
      </w:rPr>
      <w:t></w:t>
    </w:r>
    <w:r w:rsidRPr="00123B25">
      <w:rPr>
        <w:rFonts w:ascii="C39T30Lfz" w:hAnsi="C39T30Lfz"/>
        <w:sz w:val="56"/>
      </w:rPr>
      <w:t></w:t>
    </w:r>
    <w:r w:rsidRPr="00123B25">
      <w:rPr>
        <w:rFonts w:ascii="C39T30Lfz" w:hAnsi="C39T30Lfz"/>
        <w:sz w:val="56"/>
      </w:rPr>
      <w:t></w:t>
    </w:r>
    <w:r w:rsidRPr="00123B25">
      <w:rPr>
        <w:rFonts w:ascii="C39T30Lfz" w:hAnsi="C39T30Lfz"/>
        <w:sz w:val="56"/>
      </w:rPr>
      <w:t></w:t>
    </w:r>
    <w:r w:rsidRPr="00123B25">
      <w:rPr>
        <w:rFonts w:ascii="C39T30Lfz" w:hAnsi="C39T30Lfz"/>
        <w:sz w:val="56"/>
      </w:rPr>
      <w:t></w:t>
    </w:r>
    <w:r w:rsidRPr="00123B25">
      <w:rPr>
        <w:rFonts w:ascii="C39T30Lfz" w:hAnsi="C39T30Lfz"/>
        <w:sz w:val="56"/>
      </w:rPr>
      <w:t></w:t>
    </w:r>
    <w:r w:rsidRPr="00123B25">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E0" w:rsidRPr="00AC3823" w:rsidRDefault="006B2EE0" w:rsidP="00AC3823">
      <w:pPr>
        <w:pStyle w:val="Footer"/>
        <w:tabs>
          <w:tab w:val="right" w:pos="2155"/>
        </w:tabs>
        <w:spacing w:after="80" w:line="240" w:lineRule="atLeast"/>
        <w:ind w:left="680"/>
        <w:rPr>
          <w:u w:val="single"/>
        </w:rPr>
      </w:pPr>
      <w:r>
        <w:rPr>
          <w:u w:val="single"/>
        </w:rPr>
        <w:tab/>
      </w:r>
    </w:p>
  </w:footnote>
  <w:footnote w:type="continuationSeparator" w:id="0">
    <w:p w:rsidR="006B2EE0" w:rsidRPr="00AC3823" w:rsidRDefault="006B2EE0" w:rsidP="00AC3823">
      <w:pPr>
        <w:pStyle w:val="Footer"/>
        <w:tabs>
          <w:tab w:val="right" w:pos="2155"/>
        </w:tabs>
        <w:spacing w:after="80" w:line="240" w:lineRule="atLeast"/>
        <w:ind w:left="680"/>
        <w:rPr>
          <w:u w:val="single"/>
        </w:rPr>
      </w:pPr>
      <w:r>
        <w:rPr>
          <w:u w:val="single"/>
        </w:rPr>
        <w:tab/>
      </w:r>
    </w:p>
  </w:footnote>
  <w:footnote w:type="continuationNotice" w:id="1">
    <w:p w:rsidR="006B2EE0" w:rsidRPr="00AC3823" w:rsidRDefault="006B2EE0">
      <w:pPr>
        <w:spacing w:line="240" w:lineRule="auto"/>
        <w:rPr>
          <w:sz w:val="2"/>
          <w:szCs w:val="2"/>
        </w:rPr>
      </w:pPr>
    </w:p>
  </w:footnote>
  <w:footnote w:id="2">
    <w:p w:rsidR="00123B25" w:rsidRPr="007E5C8F" w:rsidRDefault="00123B25" w:rsidP="00CB5239">
      <w:pPr>
        <w:pStyle w:val="FootnoteText"/>
      </w:pPr>
      <w:r>
        <w:rPr>
          <w:lang w:val="fr-FR"/>
        </w:rPr>
        <w:tab/>
        <w:t>*</w:t>
      </w:r>
      <w:r>
        <w:rPr>
          <w:lang w:val="fr-FR"/>
        </w:rPr>
        <w:tab/>
        <w:t>Conformément au programme de travail du Comité des transports intérieurs pour la période 2014</w:t>
      </w:r>
      <w:r w:rsidR="006E0A16">
        <w:rPr>
          <w:lang w:val="fr-FR"/>
        </w:rPr>
        <w:noBreakHyphen/>
        <w:t>2018 (ECE/TRANS/240, par. </w:t>
      </w:r>
      <w:r>
        <w:rPr>
          <w:lang w:val="fr-FR"/>
        </w:rPr>
        <w:t>105, et ECE/TRANS/2014/26, activité 02.4), le Forum mondial a pour mission d’élaborer, d’harmoniser et de mettre à jour les Règlements en vue d’améliorer les caractéristiques f</w:t>
      </w:r>
      <w:r w:rsidR="006E0A16">
        <w:rPr>
          <w:lang w:val="fr-FR"/>
        </w:rPr>
        <w:t>onctionnelles des véhicules. Le </w:t>
      </w:r>
      <w:r>
        <w:rPr>
          <w:lang w:val="fr-FR"/>
        </w:rPr>
        <w:t>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25" w:rsidRPr="00123B25" w:rsidRDefault="004A3B98">
    <w:pPr>
      <w:pStyle w:val="Header"/>
    </w:pPr>
    <w:r>
      <w:fldChar w:fldCharType="begin"/>
    </w:r>
    <w:r>
      <w:instrText xml:space="preserve"> TITLE  \* MERGEFORMAT </w:instrText>
    </w:r>
    <w:r>
      <w:fldChar w:fldCharType="separate"/>
    </w:r>
    <w:r w:rsidR="0090722B">
      <w:t>ECE/TRANS/WP.29/GRPE/2018/6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25" w:rsidRPr="00123B25" w:rsidRDefault="004A3B98" w:rsidP="00123B25">
    <w:pPr>
      <w:pStyle w:val="Header"/>
      <w:jc w:val="right"/>
    </w:pPr>
    <w:r>
      <w:fldChar w:fldCharType="begin"/>
    </w:r>
    <w:r>
      <w:instrText xml:space="preserve"> TITLE  \* MERGEFORMAT </w:instrText>
    </w:r>
    <w:r>
      <w:fldChar w:fldCharType="separate"/>
    </w:r>
    <w:r w:rsidR="0090722B">
      <w:t>ECE/TRANS/WP.29/GRPE/2018/6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E0"/>
    <w:rsid w:val="00012E10"/>
    <w:rsid w:val="00017F94"/>
    <w:rsid w:val="00023842"/>
    <w:rsid w:val="000334F9"/>
    <w:rsid w:val="00045FEB"/>
    <w:rsid w:val="0007796D"/>
    <w:rsid w:val="000B7790"/>
    <w:rsid w:val="00111F2F"/>
    <w:rsid w:val="00123B25"/>
    <w:rsid w:val="0014365E"/>
    <w:rsid w:val="00143C66"/>
    <w:rsid w:val="00153B39"/>
    <w:rsid w:val="00166DE6"/>
    <w:rsid w:val="00176178"/>
    <w:rsid w:val="001F525A"/>
    <w:rsid w:val="00223272"/>
    <w:rsid w:val="0024779E"/>
    <w:rsid w:val="00257168"/>
    <w:rsid w:val="002744B8"/>
    <w:rsid w:val="002832AC"/>
    <w:rsid w:val="002A429E"/>
    <w:rsid w:val="002D7C93"/>
    <w:rsid w:val="00305801"/>
    <w:rsid w:val="003916DE"/>
    <w:rsid w:val="003B08AF"/>
    <w:rsid w:val="00441C3B"/>
    <w:rsid w:val="00446FE5"/>
    <w:rsid w:val="00452396"/>
    <w:rsid w:val="004628A4"/>
    <w:rsid w:val="004837D8"/>
    <w:rsid w:val="004A3B98"/>
    <w:rsid w:val="004E468C"/>
    <w:rsid w:val="005505B7"/>
    <w:rsid w:val="00560EBE"/>
    <w:rsid w:val="00573BE5"/>
    <w:rsid w:val="00586ED3"/>
    <w:rsid w:val="00596AA9"/>
    <w:rsid w:val="006B2EE0"/>
    <w:rsid w:val="006E0A16"/>
    <w:rsid w:val="0071601D"/>
    <w:rsid w:val="007A62E6"/>
    <w:rsid w:val="007B1015"/>
    <w:rsid w:val="007D6B53"/>
    <w:rsid w:val="007F20FA"/>
    <w:rsid w:val="0080684C"/>
    <w:rsid w:val="0084476A"/>
    <w:rsid w:val="00871C75"/>
    <w:rsid w:val="008776DC"/>
    <w:rsid w:val="008B6E37"/>
    <w:rsid w:val="0090722B"/>
    <w:rsid w:val="009446C0"/>
    <w:rsid w:val="009705C8"/>
    <w:rsid w:val="009B7468"/>
    <w:rsid w:val="009C1CF4"/>
    <w:rsid w:val="009D24EE"/>
    <w:rsid w:val="009E6D74"/>
    <w:rsid w:val="009F6B74"/>
    <w:rsid w:val="00A30353"/>
    <w:rsid w:val="00A613FD"/>
    <w:rsid w:val="00AC3823"/>
    <w:rsid w:val="00AE323C"/>
    <w:rsid w:val="00AF0CB5"/>
    <w:rsid w:val="00B00181"/>
    <w:rsid w:val="00B00B0D"/>
    <w:rsid w:val="00B765F7"/>
    <w:rsid w:val="00BA0CA9"/>
    <w:rsid w:val="00BD7530"/>
    <w:rsid w:val="00BE0A42"/>
    <w:rsid w:val="00C02897"/>
    <w:rsid w:val="00C97039"/>
    <w:rsid w:val="00CB5239"/>
    <w:rsid w:val="00D3439C"/>
    <w:rsid w:val="00D83CC4"/>
    <w:rsid w:val="00DB1831"/>
    <w:rsid w:val="00DD3BFD"/>
    <w:rsid w:val="00DF6678"/>
    <w:rsid w:val="00E0299A"/>
    <w:rsid w:val="00E04A5F"/>
    <w:rsid w:val="00E85C74"/>
    <w:rsid w:val="00E97865"/>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4</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ECE/TRANS/WP.29/GRPE/2018/6</vt:lpstr>
      <vt:lpstr>ECE/TRANS/WP.29/GRPE/2018/6</vt:lpstr>
    </vt:vector>
  </TitlesOfParts>
  <Company>DCM</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ECE/TRANS/WP.29/GRPE/2018/6</dc:title>
  <dc:creator>DEVOS</dc:creator>
  <cp:lastModifiedBy>Benedicte Boudol</cp:lastModifiedBy>
  <cp:revision>2</cp:revision>
  <cp:lastPrinted>2017-11-09T14:42:00Z</cp:lastPrinted>
  <dcterms:created xsi:type="dcterms:W3CDTF">2017-11-10T10:12:00Z</dcterms:created>
  <dcterms:modified xsi:type="dcterms:W3CDTF">2017-11-10T10:12:00Z</dcterms:modified>
</cp:coreProperties>
</file>