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C7740F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C7740F" w:rsidP="00C7740F">
            <w:pPr>
              <w:jc w:val="right"/>
            </w:pPr>
            <w:r w:rsidRPr="00C7740F">
              <w:rPr>
                <w:sz w:val="40"/>
              </w:rPr>
              <w:t>ECE</w:t>
            </w:r>
            <w:r>
              <w:t>/TRANS/WP.29/GRPE/2017/2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C7740F" w:rsidP="00892A2F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C7740F" w:rsidRDefault="00C7740F" w:rsidP="00C7740F">
            <w:pPr>
              <w:spacing w:line="240" w:lineRule="exact"/>
            </w:pPr>
            <w:r>
              <w:t>25 octobre 2016</w:t>
            </w:r>
          </w:p>
          <w:p w:rsidR="00C7740F" w:rsidRDefault="00C7740F" w:rsidP="00C7740F">
            <w:pPr>
              <w:spacing w:line="240" w:lineRule="exact"/>
            </w:pPr>
            <w:r>
              <w:t>Français</w:t>
            </w:r>
          </w:p>
          <w:p w:rsidR="00C7740F" w:rsidRPr="00DB58B5" w:rsidRDefault="00C7740F" w:rsidP="00C7740F">
            <w:pPr>
              <w:spacing w:line="240" w:lineRule="exact"/>
            </w:pPr>
            <w:r>
              <w:t>Original : anglais</w:t>
            </w:r>
            <w:r w:rsidR="009251F5">
              <w:t xml:space="preserve"> et russe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9251F5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C7740F" w:rsidRDefault="00C7740F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9251F5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C7740F" w:rsidRDefault="00C7740F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la pollution et de l</w:t>
      </w:r>
      <w:r w:rsidR="009251F5">
        <w:rPr>
          <w:b/>
        </w:rPr>
        <w:t>’</w:t>
      </w:r>
      <w:r>
        <w:rPr>
          <w:b/>
        </w:rPr>
        <w:t>énergie</w:t>
      </w:r>
    </w:p>
    <w:p w:rsidR="00C7740F" w:rsidRPr="00CC0929" w:rsidRDefault="00C7740F" w:rsidP="00C7740F">
      <w:pPr>
        <w:spacing w:before="120"/>
        <w:rPr>
          <w:rFonts w:eastAsiaTheme="minorHAnsi"/>
          <w:b/>
          <w:bCs/>
        </w:rPr>
      </w:pPr>
      <w:r w:rsidRPr="00CC0929">
        <w:rPr>
          <w:rFonts w:eastAsiaTheme="minorHAnsi"/>
          <w:b/>
          <w:bCs/>
        </w:rPr>
        <w:t>Soixante-</w:t>
      </w:r>
      <w:r>
        <w:rPr>
          <w:rFonts w:eastAsiaTheme="minorHAnsi"/>
          <w:b/>
          <w:bCs/>
        </w:rPr>
        <w:t>quatorz</w:t>
      </w:r>
      <w:r w:rsidRPr="00CC0929">
        <w:rPr>
          <w:rFonts w:eastAsiaTheme="minorHAnsi"/>
          <w:b/>
          <w:bCs/>
        </w:rPr>
        <w:t>ième session</w:t>
      </w:r>
    </w:p>
    <w:p w:rsidR="00C7740F" w:rsidRPr="00CC0929" w:rsidRDefault="00C7740F" w:rsidP="00C7740F">
      <w:pPr>
        <w:rPr>
          <w:rFonts w:eastAsiaTheme="minorHAnsi"/>
        </w:rPr>
      </w:pPr>
      <w:r w:rsidRPr="00CC0929">
        <w:rPr>
          <w:rFonts w:eastAsiaTheme="minorHAnsi"/>
        </w:rPr>
        <w:t xml:space="preserve">Genève, </w:t>
      </w:r>
      <w:r>
        <w:rPr>
          <w:rFonts w:eastAsiaTheme="minorHAnsi"/>
        </w:rPr>
        <w:t>10</w:t>
      </w:r>
      <w:r w:rsidRPr="00CC0929">
        <w:rPr>
          <w:rFonts w:eastAsiaTheme="minorHAnsi"/>
        </w:rPr>
        <w:t>-1</w:t>
      </w:r>
      <w:r>
        <w:rPr>
          <w:rFonts w:eastAsiaTheme="minorHAnsi"/>
        </w:rPr>
        <w:t>3</w:t>
      </w:r>
      <w:r w:rsidRPr="00CC0929">
        <w:rPr>
          <w:rFonts w:eastAsiaTheme="minorHAnsi"/>
        </w:rPr>
        <w:t xml:space="preserve"> j</w:t>
      </w:r>
      <w:r>
        <w:rPr>
          <w:rFonts w:eastAsiaTheme="minorHAnsi"/>
        </w:rPr>
        <w:t>a</w:t>
      </w:r>
      <w:r w:rsidRPr="00CC0929">
        <w:rPr>
          <w:rFonts w:eastAsiaTheme="minorHAnsi"/>
        </w:rPr>
        <w:t>n</w:t>
      </w:r>
      <w:r>
        <w:rPr>
          <w:rFonts w:eastAsiaTheme="minorHAnsi"/>
        </w:rPr>
        <w:t>vier</w:t>
      </w:r>
      <w:r w:rsidRPr="00CC0929">
        <w:rPr>
          <w:rFonts w:eastAsiaTheme="minorHAnsi"/>
        </w:rPr>
        <w:t xml:space="preserve"> 201</w:t>
      </w:r>
      <w:r>
        <w:rPr>
          <w:rFonts w:eastAsiaTheme="minorHAnsi"/>
        </w:rPr>
        <w:t>7</w:t>
      </w:r>
    </w:p>
    <w:p w:rsidR="00C7740F" w:rsidRDefault="00C7740F" w:rsidP="00C7740F">
      <w:pPr>
        <w:tabs>
          <w:tab w:val="left" w:pos="567"/>
          <w:tab w:val="left" w:pos="1134"/>
        </w:tabs>
        <w:rPr>
          <w:bCs/>
        </w:rPr>
      </w:pPr>
      <w:r w:rsidRPr="00CC0929">
        <w:rPr>
          <w:rFonts w:eastAsiaTheme="minorHAnsi"/>
        </w:rPr>
        <w:t xml:space="preserve">Point </w:t>
      </w:r>
      <w:r w:rsidR="009251F5">
        <w:rPr>
          <w:rFonts w:eastAsiaTheme="minorHAnsi"/>
        </w:rPr>
        <w:t>3 a)</w:t>
      </w:r>
      <w:r w:rsidRPr="00CC0929">
        <w:rPr>
          <w:rFonts w:eastAsiaTheme="minorHAnsi"/>
        </w:rPr>
        <w:t xml:space="preserve"> de l</w:t>
      </w:r>
      <w:r w:rsidR="009251F5">
        <w:rPr>
          <w:rFonts w:eastAsiaTheme="minorHAnsi"/>
        </w:rPr>
        <w:t>’</w:t>
      </w:r>
      <w:r w:rsidRPr="00CC0929">
        <w:rPr>
          <w:rFonts w:eastAsiaTheme="minorHAnsi"/>
        </w:rPr>
        <w:t>ordre du jour provisoire</w:t>
      </w:r>
    </w:p>
    <w:p w:rsidR="00F9573C" w:rsidRDefault="00C7740F" w:rsidP="00C7740F">
      <w:pPr>
        <w:rPr>
          <w:b/>
        </w:rPr>
      </w:pPr>
      <w:r w:rsidRPr="00002670">
        <w:rPr>
          <w:b/>
        </w:rPr>
        <w:t>Véhicules légers</w:t>
      </w:r>
      <w:r>
        <w:rPr>
          <w:b/>
        </w:rPr>
        <w:t xml:space="preserve"> − </w:t>
      </w:r>
      <w:r w:rsidRPr="00002670">
        <w:rPr>
          <w:b/>
        </w:rPr>
        <w:t xml:space="preserve">Règlements </w:t>
      </w:r>
      <w:r w:rsidRPr="00C7740F">
        <w:rPr>
          <w:rFonts w:eastAsia="MS Mincho"/>
          <w:b/>
          <w:szCs w:val="22"/>
        </w:rPr>
        <w:t>n</w:t>
      </w:r>
      <w:r w:rsidRPr="00C7740F">
        <w:rPr>
          <w:rFonts w:eastAsia="MS Mincho"/>
          <w:b/>
          <w:szCs w:val="22"/>
          <w:vertAlign w:val="superscript"/>
        </w:rPr>
        <w:t>o</w:t>
      </w:r>
      <w:r w:rsidRPr="00002670">
        <w:rPr>
          <w:b/>
          <w:vertAlign w:val="superscript"/>
        </w:rPr>
        <w:t>s</w:t>
      </w:r>
      <w:r w:rsidRPr="00002670">
        <w:rPr>
          <w:b/>
        </w:rPr>
        <w:t xml:space="preserve">68 (Mesure de la vitesse maximale, </w:t>
      </w:r>
      <w:r>
        <w:rPr>
          <w:b/>
        </w:rPr>
        <w:br/>
      </w:r>
      <w:r w:rsidRPr="00002670">
        <w:rPr>
          <w:b/>
        </w:rPr>
        <w:t xml:space="preserve">y compris des véhicules électriques purs), 83 (Émissions des véhicules </w:t>
      </w:r>
      <w:r>
        <w:rPr>
          <w:b/>
        </w:rPr>
        <w:br/>
      </w:r>
      <w:r w:rsidRPr="00002670">
        <w:rPr>
          <w:b/>
        </w:rPr>
        <w:t>des catégories M</w:t>
      </w:r>
      <w:r w:rsidRPr="00002670">
        <w:rPr>
          <w:b/>
          <w:vertAlign w:val="subscript"/>
        </w:rPr>
        <w:t>1</w:t>
      </w:r>
      <w:r w:rsidRPr="00002670">
        <w:rPr>
          <w:b/>
        </w:rPr>
        <w:t xml:space="preserve"> et N</w:t>
      </w:r>
      <w:r w:rsidRPr="00002670">
        <w:rPr>
          <w:b/>
          <w:vertAlign w:val="subscript"/>
        </w:rPr>
        <w:t>1</w:t>
      </w:r>
      <w:r w:rsidRPr="00002670">
        <w:rPr>
          <w:b/>
        </w:rPr>
        <w:t>), 101 (Émissions de CO</w:t>
      </w:r>
      <w:r w:rsidRPr="00002670">
        <w:rPr>
          <w:b/>
          <w:vertAlign w:val="subscript"/>
        </w:rPr>
        <w:t>2</w:t>
      </w:r>
      <w:r w:rsidRPr="00002670">
        <w:rPr>
          <w:b/>
        </w:rPr>
        <w:t xml:space="preserve">/consommation </w:t>
      </w:r>
      <w:r>
        <w:rPr>
          <w:b/>
        </w:rPr>
        <w:br/>
      </w:r>
      <w:r w:rsidRPr="00002670">
        <w:rPr>
          <w:b/>
        </w:rPr>
        <w:t>de carburant) et 103 (Dispositifs antipollution de remplacement)</w:t>
      </w:r>
    </w:p>
    <w:p w:rsidR="00C7740F" w:rsidRDefault="00C7740F" w:rsidP="00946373">
      <w:pPr>
        <w:pStyle w:val="HChG"/>
      </w:pPr>
      <w:r>
        <w:tab/>
      </w:r>
      <w:r>
        <w:tab/>
      </w:r>
      <w:r w:rsidRPr="00C7740F">
        <w:t>Proposition de nouveau complément aux séries 06 et 07 d</w:t>
      </w:r>
      <w:r w:rsidR="009251F5">
        <w:t>’</w:t>
      </w:r>
      <w:r w:rsidRPr="00C7740F">
        <w:t xml:space="preserve">amendements au Règlement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</w:t>
      </w:r>
      <w:r w:rsidRPr="00C7740F">
        <w:t>83 (</w:t>
      </w:r>
      <w:r w:rsidRPr="00946373">
        <w:t>Émissions</w:t>
      </w:r>
      <w:r w:rsidRPr="00C7740F">
        <w:t xml:space="preserve"> </w:t>
      </w:r>
      <w:r w:rsidR="00946373">
        <w:br/>
      </w:r>
      <w:r w:rsidRPr="00C7740F">
        <w:t>des véhicules des catégories M</w:t>
      </w:r>
      <w:r w:rsidRPr="00C7740F">
        <w:rPr>
          <w:vertAlign w:val="subscript"/>
        </w:rPr>
        <w:t>1</w:t>
      </w:r>
      <w:r w:rsidRPr="00C7740F">
        <w:t xml:space="preserve"> et N</w:t>
      </w:r>
      <w:r w:rsidRPr="00C7740F">
        <w:rPr>
          <w:vertAlign w:val="subscript"/>
        </w:rPr>
        <w:t>1</w:t>
      </w:r>
      <w:r w:rsidRPr="00C7740F">
        <w:t>)</w:t>
      </w:r>
    </w:p>
    <w:p w:rsidR="00946373" w:rsidRDefault="00946373" w:rsidP="00946373">
      <w:pPr>
        <w:pStyle w:val="H1G"/>
        <w:rPr>
          <w:rStyle w:val="H1GChar"/>
        </w:rPr>
      </w:pPr>
      <w:r>
        <w:tab/>
      </w:r>
      <w:r>
        <w:tab/>
      </w:r>
      <w:r w:rsidRPr="00702106">
        <w:t>Communication de l</w:t>
      </w:r>
      <w:r w:rsidR="009251F5">
        <w:t>’</w:t>
      </w:r>
      <w:r w:rsidRPr="00702106">
        <w:t xml:space="preserve">expert de la </w:t>
      </w:r>
      <w:r>
        <w:t>Fédération d</w:t>
      </w:r>
      <w:r w:rsidRPr="00FD4196">
        <w:t xml:space="preserve">e </w:t>
      </w:r>
      <w:r>
        <w:t>Russie</w:t>
      </w:r>
      <w:r w:rsidRPr="009251F5">
        <w:rPr>
          <w:rStyle w:val="H1GChar"/>
          <w:sz w:val="20"/>
        </w:rPr>
        <w:footnoteReference w:customMarkFollows="1" w:id="2"/>
        <w:t>*</w:t>
      </w:r>
    </w:p>
    <w:p w:rsidR="00F27708" w:rsidRDefault="00946373" w:rsidP="00946373">
      <w:pPr>
        <w:pStyle w:val="SingleTxtG"/>
        <w:ind w:firstLine="567"/>
      </w:pPr>
      <w:r w:rsidRPr="00702106">
        <w:t>Le texte ci-après, établi par l</w:t>
      </w:r>
      <w:r w:rsidR="009251F5">
        <w:t>’</w:t>
      </w:r>
      <w:r w:rsidRPr="00702106">
        <w:t xml:space="preserve">expert de la </w:t>
      </w:r>
      <w:r w:rsidRPr="00B34062">
        <w:t>Fédération de Russie</w:t>
      </w:r>
      <w:r>
        <w:t>, a pour objet de préciser le champ d</w:t>
      </w:r>
      <w:r w:rsidR="009251F5">
        <w:t>’</w:t>
      </w:r>
      <w:r>
        <w:t>application</w:t>
      </w:r>
      <w:r w:rsidRPr="00B34062">
        <w:t xml:space="preserve"> </w:t>
      </w:r>
      <w:r>
        <w:t>du Règlement</w:t>
      </w:r>
      <w:r w:rsidRPr="00B34062">
        <w:t xml:space="preserve"> </w:t>
      </w:r>
      <w:r w:rsidR="009251F5" w:rsidRPr="002D76F4">
        <w:rPr>
          <w:rFonts w:eastAsia="MS Mincho"/>
          <w:szCs w:val="22"/>
        </w:rPr>
        <w:t>n</w:t>
      </w:r>
      <w:r w:rsidR="009251F5" w:rsidRPr="002D76F4">
        <w:rPr>
          <w:rFonts w:eastAsia="MS Mincho"/>
          <w:szCs w:val="22"/>
          <w:vertAlign w:val="superscript"/>
        </w:rPr>
        <w:t>o</w:t>
      </w:r>
      <w:r w:rsidR="009251F5">
        <w:t> </w:t>
      </w:r>
      <w:r w:rsidRPr="00FD4196">
        <w:t>8</w:t>
      </w:r>
      <w:r>
        <w:t>3</w:t>
      </w:r>
      <w:r w:rsidRPr="00FD4196">
        <w:t>.</w:t>
      </w:r>
      <w:r>
        <w:t xml:space="preserve"> </w:t>
      </w:r>
      <w:r w:rsidRPr="00702106">
        <w:t xml:space="preserve">Les modifications apportées au texte actuel du Règlement sont indiquées </w:t>
      </w:r>
      <w:r w:rsidRPr="00B34062">
        <w:rPr>
          <w:bCs/>
        </w:rPr>
        <w:t>en caractères gras</w:t>
      </w:r>
      <w:r w:rsidRPr="00702106">
        <w:rPr>
          <w:b/>
          <w:bCs/>
        </w:rPr>
        <w:t xml:space="preserve"> </w:t>
      </w:r>
      <w:r w:rsidRPr="00702106">
        <w:t xml:space="preserve">pour les ajouts et </w:t>
      </w:r>
      <w:r w:rsidRPr="00622CA3">
        <w:t>en caractères biffés</w:t>
      </w:r>
      <w:r w:rsidRPr="00702106">
        <w:t xml:space="preserve"> pour les suppressions</w:t>
      </w:r>
      <w:r w:rsidRPr="00332C2D">
        <w:t>.</w:t>
      </w:r>
    </w:p>
    <w:p w:rsidR="00A34ECC" w:rsidRPr="00A34ECC" w:rsidRDefault="00F27708" w:rsidP="00A34ECC">
      <w:pPr>
        <w:pStyle w:val="HChG"/>
      </w:pPr>
      <w:r>
        <w:br w:type="page"/>
      </w:r>
      <w:r w:rsidR="00A34ECC">
        <w:lastRenderedPageBreak/>
        <w:tab/>
        <w:t>I.</w:t>
      </w:r>
      <w:r w:rsidR="00A34ECC">
        <w:tab/>
        <w:t>Propositions</w:t>
      </w:r>
    </w:p>
    <w:p w:rsidR="00A34ECC" w:rsidRPr="00635177" w:rsidRDefault="00A34ECC" w:rsidP="00A34ECC">
      <w:pPr>
        <w:pStyle w:val="H1G"/>
      </w:pPr>
      <w:r>
        <w:tab/>
      </w:r>
      <w:r w:rsidRPr="00433F78">
        <w:t>A.</w:t>
      </w:r>
      <w:r w:rsidRPr="00433F78">
        <w:tab/>
        <w:t>Nouveau complément à la série 06 d</w:t>
      </w:r>
      <w:r w:rsidR="009251F5">
        <w:t>’</w:t>
      </w:r>
      <w:r w:rsidRPr="00433F78">
        <w:t>amendements</w:t>
      </w:r>
    </w:p>
    <w:p w:rsidR="00A34ECC" w:rsidRPr="00433F78" w:rsidRDefault="00A34ECC" w:rsidP="00A34ECC">
      <w:pPr>
        <w:pStyle w:val="SingleTxtG"/>
      </w:pPr>
      <w:r w:rsidRPr="00433F78">
        <w:rPr>
          <w:i/>
        </w:rPr>
        <w:t>Paragraphe 1.1</w:t>
      </w:r>
      <w:r w:rsidRPr="00A34ECC">
        <w:t>,</w:t>
      </w:r>
      <w:r w:rsidRPr="00433F78">
        <w:rPr>
          <w:i/>
        </w:rPr>
        <w:t xml:space="preserve"> </w:t>
      </w:r>
      <w:proofErr w:type="gramStart"/>
      <w:r w:rsidRPr="00433F78">
        <w:t>modifier</w:t>
      </w:r>
      <w:proofErr w:type="gramEnd"/>
      <w:r w:rsidRPr="00433F78">
        <w:t xml:space="preserve"> comme suit</w:t>
      </w:r>
      <w:r>
        <w:t> </w:t>
      </w:r>
      <w:r w:rsidRPr="00433F78">
        <w:t>:</w:t>
      </w:r>
    </w:p>
    <w:p w:rsidR="00A34ECC" w:rsidRPr="00433F78" w:rsidRDefault="009D0402" w:rsidP="00A34ECC">
      <w:pPr>
        <w:pStyle w:val="SingleTxtG"/>
        <w:ind w:left="2268" w:hanging="1134"/>
        <w:rPr>
          <w:szCs w:val="24"/>
        </w:rPr>
      </w:pPr>
      <w:r>
        <w:t>« </w:t>
      </w:r>
      <w:r w:rsidR="00A34ECC" w:rsidRPr="00433F78">
        <w:rPr>
          <w:szCs w:val="24"/>
        </w:rPr>
        <w:t>1.1</w:t>
      </w:r>
      <w:r w:rsidR="00A34ECC" w:rsidRPr="00433F78">
        <w:rPr>
          <w:szCs w:val="24"/>
        </w:rPr>
        <w:tab/>
      </w:r>
      <w:r w:rsidR="00A34ECC">
        <w:rPr>
          <w:szCs w:val="24"/>
        </w:rPr>
        <w:t xml:space="preserve">Le </w:t>
      </w:r>
      <w:r>
        <w:t>présent Règlement</w:t>
      </w:r>
      <w:r w:rsidR="00A34ECC" w:rsidRPr="00433F78">
        <w:rPr>
          <w:szCs w:val="24"/>
        </w:rPr>
        <w:t>…</w:t>
      </w:r>
    </w:p>
    <w:p w:rsidR="00A34ECC" w:rsidRPr="00433F78" w:rsidRDefault="00A34ECC" w:rsidP="009D0402">
      <w:pPr>
        <w:pStyle w:val="SingleTxtG"/>
        <w:ind w:left="2268"/>
      </w:pPr>
      <w:r w:rsidRPr="00433F78">
        <w:tab/>
      </w:r>
      <w:r w:rsidR="009D0402">
        <w:t>…</w:t>
      </w:r>
    </w:p>
    <w:p w:rsidR="00A34ECC" w:rsidRPr="00802A72" w:rsidRDefault="00A34ECC" w:rsidP="009D0402">
      <w:pPr>
        <w:pStyle w:val="SingleTxtG"/>
        <w:ind w:left="2268"/>
        <w:rPr>
          <w:bCs/>
        </w:rPr>
      </w:pPr>
      <w:r w:rsidRPr="00433F78">
        <w:tab/>
      </w:r>
      <w:r w:rsidRPr="009251F5">
        <w:rPr>
          <w:b/>
        </w:rPr>
        <w:t>À la demande du constructeur, l</w:t>
      </w:r>
      <w:r w:rsidR="009251F5" w:rsidRPr="009251F5">
        <w:rPr>
          <w:b/>
        </w:rPr>
        <w:t>’</w:t>
      </w:r>
      <w:r w:rsidRPr="009251F5">
        <w:rPr>
          <w:b/>
        </w:rPr>
        <w:t>homologation de type accordée en vertu du présent Règlement peut être étendue des véhicules désignés ci-dessus aux véhicules spécialisés des catégories M</w:t>
      </w:r>
      <w:r w:rsidRPr="009251F5">
        <w:rPr>
          <w:b/>
          <w:vertAlign w:val="subscript"/>
        </w:rPr>
        <w:t>1</w:t>
      </w:r>
      <w:r w:rsidRPr="009251F5">
        <w:rPr>
          <w:b/>
        </w:rPr>
        <w:t>, M</w:t>
      </w:r>
      <w:r w:rsidRPr="009251F5">
        <w:rPr>
          <w:b/>
          <w:vertAlign w:val="subscript"/>
        </w:rPr>
        <w:t>2</w:t>
      </w:r>
      <w:r w:rsidRPr="009251F5">
        <w:rPr>
          <w:b/>
        </w:rPr>
        <w:t>, N</w:t>
      </w:r>
      <w:r w:rsidRPr="009251F5">
        <w:rPr>
          <w:b/>
          <w:vertAlign w:val="subscript"/>
        </w:rPr>
        <w:t>1</w:t>
      </w:r>
      <w:r w:rsidRPr="009251F5">
        <w:rPr>
          <w:b/>
        </w:rPr>
        <w:t xml:space="preserve"> et N</w:t>
      </w:r>
      <w:r w:rsidRPr="009251F5">
        <w:rPr>
          <w:b/>
          <w:vertAlign w:val="subscript"/>
        </w:rPr>
        <w:t>2</w:t>
      </w:r>
      <w:r w:rsidRPr="009251F5">
        <w:rPr>
          <w:b/>
        </w:rPr>
        <w:t xml:space="preserve"> quelle que soit leur masse de référence. Le constructeur doit démontrer à l</w:t>
      </w:r>
      <w:r w:rsidR="009251F5" w:rsidRPr="009251F5">
        <w:rPr>
          <w:b/>
        </w:rPr>
        <w:t>’</w:t>
      </w:r>
      <w:r w:rsidRPr="009251F5">
        <w:rPr>
          <w:b/>
        </w:rPr>
        <w:t>autorité qui a délivré l</w:t>
      </w:r>
      <w:r w:rsidR="009251F5" w:rsidRPr="009251F5">
        <w:rPr>
          <w:b/>
        </w:rPr>
        <w:t>’</w:t>
      </w:r>
      <w:r w:rsidRPr="009251F5">
        <w:rPr>
          <w:b/>
        </w:rPr>
        <w:t>homologation de type que le véhicule en question est un véhicule spécialisé.</w:t>
      </w:r>
      <w:r w:rsidR="009D0402">
        <w:rPr>
          <w:bCs/>
        </w:rPr>
        <w:t> ».</w:t>
      </w:r>
    </w:p>
    <w:p w:rsidR="00A34ECC" w:rsidRPr="00433F78" w:rsidRDefault="00A34ECC" w:rsidP="009D0402">
      <w:pPr>
        <w:pStyle w:val="SingleTxtG"/>
        <w:rPr>
          <w:bCs/>
        </w:rPr>
      </w:pPr>
      <w:r>
        <w:rPr>
          <w:i/>
          <w:iCs/>
        </w:rPr>
        <w:t>Ajouter les</w:t>
      </w:r>
      <w:r w:rsidRPr="00433F78">
        <w:rPr>
          <w:i/>
          <w:iCs/>
        </w:rPr>
        <w:t xml:space="preserve"> </w:t>
      </w:r>
      <w:r>
        <w:rPr>
          <w:i/>
          <w:iCs/>
        </w:rPr>
        <w:t xml:space="preserve">nouveaux </w:t>
      </w:r>
      <w:r w:rsidRPr="00433F78">
        <w:rPr>
          <w:i/>
          <w:iCs/>
        </w:rPr>
        <w:t>paragraph</w:t>
      </w:r>
      <w:r>
        <w:rPr>
          <w:i/>
          <w:iCs/>
        </w:rPr>
        <w:t>e</w:t>
      </w:r>
      <w:r w:rsidRPr="00433F78">
        <w:rPr>
          <w:i/>
          <w:iCs/>
        </w:rPr>
        <w:t xml:space="preserve">s 2.28 </w:t>
      </w:r>
      <w:r>
        <w:rPr>
          <w:i/>
          <w:iCs/>
        </w:rPr>
        <w:t>et</w:t>
      </w:r>
      <w:r w:rsidRPr="00433F78">
        <w:rPr>
          <w:i/>
          <w:iCs/>
        </w:rPr>
        <w:t xml:space="preserve"> 2.29</w:t>
      </w:r>
      <w:r w:rsidRPr="009D0402">
        <w:rPr>
          <w:bCs/>
        </w:rPr>
        <w:t>,</w:t>
      </w:r>
      <w:r w:rsidRPr="00433F78">
        <w:rPr>
          <w:bCs/>
        </w:rPr>
        <w:t xml:space="preserve"> </w:t>
      </w:r>
      <w:r>
        <w:rPr>
          <w:iCs/>
        </w:rPr>
        <w:t>comme suit</w:t>
      </w:r>
      <w:r w:rsidR="009D0402">
        <w:rPr>
          <w:iCs/>
        </w:rPr>
        <w:t> </w:t>
      </w:r>
      <w:r w:rsidRPr="00433F78">
        <w:rPr>
          <w:bCs/>
        </w:rPr>
        <w:t>:</w:t>
      </w:r>
    </w:p>
    <w:p w:rsidR="00A34ECC" w:rsidRPr="00433F78" w:rsidRDefault="009D0402" w:rsidP="00A34ECC">
      <w:pPr>
        <w:pStyle w:val="SingleTxtG"/>
        <w:ind w:left="2268" w:hanging="1134"/>
        <w:rPr>
          <w:b/>
          <w:bCs/>
          <w:szCs w:val="24"/>
        </w:rPr>
      </w:pPr>
      <w:r>
        <w:rPr>
          <w:bCs/>
          <w:szCs w:val="24"/>
        </w:rPr>
        <w:t>« </w:t>
      </w:r>
      <w:r w:rsidR="00A34ECC" w:rsidRPr="00433F78">
        <w:rPr>
          <w:b/>
          <w:szCs w:val="24"/>
        </w:rPr>
        <w:t>2.28</w:t>
      </w:r>
      <w:r w:rsidR="00A34ECC" w:rsidRPr="00433F78">
        <w:rPr>
          <w:b/>
          <w:szCs w:val="24"/>
        </w:rPr>
        <w:tab/>
      </w:r>
      <w:r w:rsidR="00A34ECC">
        <w:rPr>
          <w:b/>
          <w:szCs w:val="24"/>
        </w:rPr>
        <w:t xml:space="preserve">Par </w:t>
      </w:r>
      <w:r w:rsidRPr="00635177">
        <w:rPr>
          <w:b/>
          <w:szCs w:val="24"/>
        </w:rPr>
        <w:t>“</w:t>
      </w:r>
      <w:r w:rsidR="00A34ECC">
        <w:rPr>
          <w:b/>
          <w:bCs/>
          <w:szCs w:val="24"/>
        </w:rPr>
        <w:t>v</w:t>
      </w:r>
      <w:r w:rsidR="00A34ECC" w:rsidRPr="006D2746">
        <w:rPr>
          <w:b/>
        </w:rPr>
        <w:t>éhicule spécialisé</w:t>
      </w:r>
      <w:r w:rsidRPr="00635177">
        <w:rPr>
          <w:b/>
        </w:rPr>
        <w:t>”</w:t>
      </w:r>
      <w:r w:rsidR="00A34ECC">
        <w:rPr>
          <w:b/>
          <w:bCs/>
          <w:szCs w:val="24"/>
        </w:rPr>
        <w:t>,</w:t>
      </w:r>
      <w:r w:rsidR="00A34ECC" w:rsidRPr="006D2746">
        <w:rPr>
          <w:b/>
          <w:bCs/>
          <w:szCs w:val="24"/>
        </w:rPr>
        <w:t xml:space="preserve"> un véhicule des catégories M</w:t>
      </w:r>
      <w:r w:rsidR="00A34ECC" w:rsidRPr="006D2746">
        <w:rPr>
          <w:b/>
          <w:bCs/>
          <w:szCs w:val="24"/>
          <w:vertAlign w:val="subscript"/>
        </w:rPr>
        <w:t>1</w:t>
      </w:r>
      <w:r w:rsidR="00A34ECC" w:rsidRPr="006D2746">
        <w:rPr>
          <w:b/>
          <w:bCs/>
          <w:szCs w:val="24"/>
        </w:rPr>
        <w:t>, M</w:t>
      </w:r>
      <w:r w:rsidR="00A34ECC" w:rsidRPr="006D2746">
        <w:rPr>
          <w:b/>
          <w:bCs/>
          <w:szCs w:val="24"/>
          <w:vertAlign w:val="subscript"/>
        </w:rPr>
        <w:t>2</w:t>
      </w:r>
      <w:r w:rsidR="00A34ECC" w:rsidRPr="006D2746">
        <w:rPr>
          <w:b/>
          <w:bCs/>
          <w:szCs w:val="24"/>
        </w:rPr>
        <w:t>, N</w:t>
      </w:r>
      <w:r w:rsidR="00A34ECC" w:rsidRPr="006D2746">
        <w:rPr>
          <w:b/>
          <w:bCs/>
          <w:szCs w:val="24"/>
          <w:vertAlign w:val="subscript"/>
        </w:rPr>
        <w:t>1</w:t>
      </w:r>
      <w:r w:rsidR="00A34ECC" w:rsidRPr="006D2746">
        <w:rPr>
          <w:b/>
          <w:bCs/>
          <w:szCs w:val="24"/>
        </w:rPr>
        <w:t xml:space="preserve"> et N</w:t>
      </w:r>
      <w:r w:rsidR="00A34ECC" w:rsidRPr="006D2746">
        <w:rPr>
          <w:b/>
          <w:bCs/>
          <w:szCs w:val="24"/>
          <w:vertAlign w:val="subscript"/>
        </w:rPr>
        <w:t>2</w:t>
      </w:r>
      <w:r w:rsidR="00A34ECC" w:rsidRPr="006D2746">
        <w:rPr>
          <w:b/>
          <w:bCs/>
          <w:szCs w:val="24"/>
        </w:rPr>
        <w:t xml:space="preserve"> ayant une masse de référence supérieure à 2</w:t>
      </w:r>
      <w:r w:rsidR="005E32D5">
        <w:rPr>
          <w:b/>
          <w:bCs/>
          <w:szCs w:val="24"/>
        </w:rPr>
        <w:t> </w:t>
      </w:r>
      <w:r w:rsidR="00A34ECC" w:rsidRPr="006D2746">
        <w:rPr>
          <w:b/>
          <w:bCs/>
          <w:szCs w:val="24"/>
        </w:rPr>
        <w:t>610</w:t>
      </w:r>
      <w:r>
        <w:rPr>
          <w:b/>
          <w:bCs/>
          <w:szCs w:val="24"/>
        </w:rPr>
        <w:t> </w:t>
      </w:r>
      <w:r w:rsidR="00A34ECC" w:rsidRPr="006D2746">
        <w:rPr>
          <w:b/>
          <w:bCs/>
          <w:szCs w:val="24"/>
        </w:rPr>
        <w:t xml:space="preserve">kg destiné à remplir une fonction qui nécessite des aménagements de carrosserie et/ou équipements spéciaux. </w:t>
      </w:r>
      <w:r w:rsidR="00A34ECC" w:rsidRPr="006D2746">
        <w:rPr>
          <w:b/>
        </w:rPr>
        <w:t>Cette catégorie inclut les véhicules blindés, les véhicules accessibles aux fauteuils roulants, etc.</w:t>
      </w:r>
    </w:p>
    <w:p w:rsidR="00A34ECC" w:rsidRPr="00433F78" w:rsidRDefault="00A34ECC" w:rsidP="00A34ECC">
      <w:pPr>
        <w:pStyle w:val="SingleTxtG"/>
        <w:ind w:left="2268" w:hanging="1134"/>
        <w:rPr>
          <w:bCs/>
          <w:szCs w:val="24"/>
        </w:rPr>
      </w:pPr>
      <w:r w:rsidRPr="00433F78">
        <w:rPr>
          <w:b/>
          <w:szCs w:val="24"/>
        </w:rPr>
        <w:t>2.29</w:t>
      </w:r>
      <w:r w:rsidRPr="00433F78">
        <w:rPr>
          <w:b/>
          <w:szCs w:val="24"/>
        </w:rPr>
        <w:tab/>
      </w:r>
      <w:r>
        <w:rPr>
          <w:b/>
          <w:szCs w:val="24"/>
        </w:rPr>
        <w:t xml:space="preserve">Par </w:t>
      </w:r>
      <w:r w:rsidR="005E32D5" w:rsidRPr="00635177">
        <w:rPr>
          <w:b/>
          <w:szCs w:val="24"/>
        </w:rPr>
        <w:t>“</w:t>
      </w:r>
      <w:r>
        <w:rPr>
          <w:b/>
          <w:bCs/>
          <w:szCs w:val="24"/>
        </w:rPr>
        <w:t>v</w:t>
      </w:r>
      <w:r w:rsidRPr="006D2746">
        <w:rPr>
          <w:rStyle w:val="alt-edited"/>
          <w:b/>
        </w:rPr>
        <w:t>éhicule blindé</w:t>
      </w:r>
      <w:r w:rsidR="005E32D5" w:rsidRPr="00635177">
        <w:rPr>
          <w:b/>
        </w:rPr>
        <w:t>”</w:t>
      </w:r>
      <w:r>
        <w:rPr>
          <w:b/>
          <w:bCs/>
          <w:szCs w:val="24"/>
        </w:rPr>
        <w:t>,</w:t>
      </w:r>
      <w:r w:rsidRPr="006D2746">
        <w:rPr>
          <w:b/>
          <w:bCs/>
          <w:szCs w:val="24"/>
        </w:rPr>
        <w:t xml:space="preserve"> </w:t>
      </w:r>
      <w:r w:rsidRPr="006D2746">
        <w:rPr>
          <w:rStyle w:val="alt-edited"/>
          <w:b/>
        </w:rPr>
        <w:t>un véhicule conçu pour la protection des passagers et/ou des marchandises transportés et équipé d</w:t>
      </w:r>
      <w:r w:rsidR="009251F5">
        <w:rPr>
          <w:rStyle w:val="alt-edited"/>
          <w:b/>
        </w:rPr>
        <w:t>’</w:t>
      </w:r>
      <w:r w:rsidRPr="006D2746">
        <w:rPr>
          <w:rStyle w:val="alt-edited"/>
          <w:b/>
        </w:rPr>
        <w:t>une protection blindée.</w:t>
      </w:r>
      <w:r w:rsidR="005E32D5">
        <w:rPr>
          <w:b/>
          <w:bCs/>
          <w:szCs w:val="24"/>
        </w:rPr>
        <w:t> </w:t>
      </w:r>
      <w:r w:rsidR="005E32D5" w:rsidRPr="005E32D5">
        <w:rPr>
          <w:bCs/>
          <w:szCs w:val="24"/>
        </w:rPr>
        <w:t>».</w:t>
      </w:r>
    </w:p>
    <w:p w:rsidR="00A34ECC" w:rsidRPr="005E32D5" w:rsidRDefault="00A34ECC" w:rsidP="005E32D5">
      <w:pPr>
        <w:pStyle w:val="H1G"/>
      </w:pPr>
      <w:r w:rsidRPr="00635177">
        <w:tab/>
        <w:t>B.</w:t>
      </w:r>
      <w:r w:rsidRPr="00635177">
        <w:tab/>
      </w:r>
      <w:r w:rsidRPr="00433F78">
        <w:t>Nouveau complément à la série 0</w:t>
      </w:r>
      <w:r>
        <w:t>7</w:t>
      </w:r>
      <w:r w:rsidRPr="00433F78">
        <w:t xml:space="preserve"> d</w:t>
      </w:r>
      <w:r w:rsidR="009251F5">
        <w:t>’</w:t>
      </w:r>
      <w:r w:rsidRPr="00433F78">
        <w:t>amendements</w:t>
      </w:r>
    </w:p>
    <w:p w:rsidR="00A34ECC" w:rsidRPr="00433F78" w:rsidRDefault="00A34ECC" w:rsidP="005E32D5">
      <w:pPr>
        <w:pStyle w:val="SingleTxtG"/>
        <w:rPr>
          <w:iCs/>
        </w:rPr>
      </w:pPr>
      <w:r w:rsidRPr="00433F78">
        <w:rPr>
          <w:i/>
          <w:iCs/>
        </w:rPr>
        <w:t>Paragraph</w:t>
      </w:r>
      <w:r>
        <w:rPr>
          <w:i/>
          <w:iCs/>
        </w:rPr>
        <w:t>e</w:t>
      </w:r>
      <w:r w:rsidRPr="00433F78">
        <w:rPr>
          <w:i/>
          <w:iCs/>
        </w:rPr>
        <w:t xml:space="preserve"> 1.1</w:t>
      </w:r>
      <w:r w:rsidRPr="005E32D5">
        <w:rPr>
          <w:iCs/>
        </w:rPr>
        <w:t>,</w:t>
      </w:r>
      <w:r w:rsidRPr="00433F78">
        <w:rPr>
          <w:i/>
          <w:iCs/>
        </w:rPr>
        <w:t xml:space="preserve"> </w:t>
      </w:r>
      <w:proofErr w:type="gramStart"/>
      <w:r w:rsidRPr="00433F78">
        <w:rPr>
          <w:iCs/>
        </w:rPr>
        <w:t>modifier</w:t>
      </w:r>
      <w:proofErr w:type="gramEnd"/>
      <w:r w:rsidRPr="00433F78">
        <w:rPr>
          <w:iCs/>
        </w:rPr>
        <w:t xml:space="preserve"> comme suit</w:t>
      </w:r>
      <w:r w:rsidR="005E32D5">
        <w:rPr>
          <w:iCs/>
        </w:rPr>
        <w:t> </w:t>
      </w:r>
      <w:r w:rsidRPr="00433F78">
        <w:rPr>
          <w:iCs/>
        </w:rPr>
        <w:t>:</w:t>
      </w:r>
    </w:p>
    <w:p w:rsidR="00A34ECC" w:rsidRPr="00433F78" w:rsidRDefault="00E76CDB" w:rsidP="00A34ECC">
      <w:pPr>
        <w:pStyle w:val="SingleTxtG"/>
        <w:ind w:left="2268" w:hanging="1134"/>
        <w:rPr>
          <w:szCs w:val="24"/>
        </w:rPr>
      </w:pPr>
      <w:r>
        <w:rPr>
          <w:bCs/>
          <w:szCs w:val="24"/>
        </w:rPr>
        <w:t>« </w:t>
      </w:r>
      <w:r>
        <w:rPr>
          <w:szCs w:val="24"/>
        </w:rPr>
        <w:t>1.1</w:t>
      </w:r>
      <w:r w:rsidR="00A34ECC" w:rsidRPr="00433F78">
        <w:rPr>
          <w:szCs w:val="24"/>
        </w:rPr>
        <w:tab/>
      </w:r>
      <w:r w:rsidR="00A34ECC">
        <w:rPr>
          <w:szCs w:val="24"/>
        </w:rPr>
        <w:t xml:space="preserve">Le </w:t>
      </w:r>
      <w:r w:rsidR="00A34ECC">
        <w:t>présent Règlement</w:t>
      </w:r>
      <w:r w:rsidR="00A34ECC" w:rsidRPr="00433F78">
        <w:rPr>
          <w:szCs w:val="24"/>
        </w:rPr>
        <w:t>…</w:t>
      </w:r>
    </w:p>
    <w:p w:rsidR="00A34ECC" w:rsidRPr="00433F78" w:rsidRDefault="00A34ECC" w:rsidP="00E76CDB">
      <w:pPr>
        <w:pStyle w:val="SingleTxtG"/>
        <w:ind w:left="2268"/>
        <w:rPr>
          <w:szCs w:val="24"/>
        </w:rPr>
      </w:pPr>
      <w:r w:rsidRPr="00433F78">
        <w:rPr>
          <w:szCs w:val="24"/>
        </w:rPr>
        <w:tab/>
        <w:t>…</w:t>
      </w:r>
    </w:p>
    <w:p w:rsidR="00A34ECC" w:rsidRPr="006D2746" w:rsidRDefault="00A34ECC" w:rsidP="00E76CDB">
      <w:pPr>
        <w:pStyle w:val="SingleTxtG"/>
        <w:ind w:left="2268"/>
        <w:rPr>
          <w:b/>
          <w:bCs/>
        </w:rPr>
      </w:pPr>
      <w:r w:rsidRPr="00433F78">
        <w:tab/>
      </w:r>
      <w:r w:rsidRPr="006D2746">
        <w:rPr>
          <w:b/>
        </w:rPr>
        <w:t>À la demande du constructeur, l</w:t>
      </w:r>
      <w:r w:rsidR="009251F5">
        <w:rPr>
          <w:b/>
        </w:rPr>
        <w:t>’</w:t>
      </w:r>
      <w:r w:rsidRPr="006D2746">
        <w:rPr>
          <w:b/>
        </w:rPr>
        <w:t>homologation de type accordée en vertu du présent Règlement peut être étendue des véhicules désignés ci</w:t>
      </w:r>
      <w:r w:rsidR="00E76CDB">
        <w:rPr>
          <w:b/>
        </w:rPr>
        <w:noBreakHyphen/>
      </w:r>
      <w:r w:rsidRPr="006D2746">
        <w:rPr>
          <w:b/>
        </w:rPr>
        <w:t>dessus aux véhicules spécialisés des catégories M</w:t>
      </w:r>
      <w:r w:rsidRPr="006D2746">
        <w:rPr>
          <w:b/>
          <w:vertAlign w:val="subscript"/>
        </w:rPr>
        <w:t>1</w:t>
      </w:r>
      <w:r w:rsidRPr="006D2746">
        <w:rPr>
          <w:b/>
        </w:rPr>
        <w:t>, M</w:t>
      </w:r>
      <w:r w:rsidRPr="006D2746">
        <w:rPr>
          <w:b/>
          <w:vertAlign w:val="subscript"/>
        </w:rPr>
        <w:t>2</w:t>
      </w:r>
      <w:r w:rsidRPr="006D2746">
        <w:rPr>
          <w:b/>
        </w:rPr>
        <w:t>, N</w:t>
      </w:r>
      <w:r w:rsidRPr="006D2746">
        <w:rPr>
          <w:b/>
          <w:vertAlign w:val="subscript"/>
        </w:rPr>
        <w:t>1</w:t>
      </w:r>
      <w:r w:rsidRPr="006D2746">
        <w:rPr>
          <w:b/>
        </w:rPr>
        <w:t xml:space="preserve"> et N</w:t>
      </w:r>
      <w:r w:rsidRPr="006D2746">
        <w:rPr>
          <w:b/>
          <w:vertAlign w:val="subscript"/>
        </w:rPr>
        <w:t>2</w:t>
      </w:r>
      <w:r w:rsidRPr="006D2746">
        <w:rPr>
          <w:b/>
        </w:rPr>
        <w:t xml:space="preserve"> quelle que soit leur masse de référence. Le constructeur doit démontrer à l</w:t>
      </w:r>
      <w:r w:rsidR="009251F5">
        <w:rPr>
          <w:b/>
        </w:rPr>
        <w:t>’</w:t>
      </w:r>
      <w:r w:rsidRPr="006D2746">
        <w:rPr>
          <w:b/>
        </w:rPr>
        <w:t>autorité qui a délivré l</w:t>
      </w:r>
      <w:r w:rsidR="009251F5">
        <w:rPr>
          <w:b/>
        </w:rPr>
        <w:t>’</w:t>
      </w:r>
      <w:r w:rsidRPr="006D2746">
        <w:rPr>
          <w:b/>
        </w:rPr>
        <w:t>homologation de type que le véhicule en question est un véhicule spécialisé.</w:t>
      </w:r>
      <w:r w:rsidR="00E76CDB">
        <w:rPr>
          <w:b/>
          <w:bCs/>
        </w:rPr>
        <w:t> </w:t>
      </w:r>
      <w:r w:rsidR="00E76CDB" w:rsidRPr="00E76CDB">
        <w:rPr>
          <w:bCs/>
        </w:rPr>
        <w:t>».</w:t>
      </w:r>
    </w:p>
    <w:p w:rsidR="00A34ECC" w:rsidRPr="00433F78" w:rsidRDefault="00A34ECC" w:rsidP="00E76CDB">
      <w:pPr>
        <w:pStyle w:val="SingleTxtG"/>
        <w:rPr>
          <w:bCs/>
        </w:rPr>
      </w:pPr>
      <w:r w:rsidRPr="009251F5">
        <w:rPr>
          <w:i/>
        </w:rPr>
        <w:t>Ajouter les nouveaux paragraphes 2.35 et 2.36</w:t>
      </w:r>
      <w:r w:rsidRPr="00433F78">
        <w:rPr>
          <w:bCs/>
        </w:rPr>
        <w:t xml:space="preserve">, </w:t>
      </w:r>
      <w:r>
        <w:t>comme suit</w:t>
      </w:r>
      <w:r w:rsidR="00E76CDB">
        <w:t> </w:t>
      </w:r>
      <w:r w:rsidRPr="00433F78">
        <w:rPr>
          <w:bCs/>
        </w:rPr>
        <w:t>:</w:t>
      </w:r>
    </w:p>
    <w:p w:rsidR="00A34ECC" w:rsidRPr="00433F78" w:rsidRDefault="00E76CDB" w:rsidP="00A34ECC">
      <w:pPr>
        <w:pStyle w:val="SingleTxtG"/>
        <w:ind w:left="2268" w:hanging="1134"/>
        <w:rPr>
          <w:b/>
          <w:bCs/>
          <w:szCs w:val="24"/>
        </w:rPr>
      </w:pPr>
      <w:r>
        <w:rPr>
          <w:bCs/>
          <w:szCs w:val="24"/>
        </w:rPr>
        <w:t>« </w:t>
      </w:r>
      <w:r w:rsidR="00A34ECC" w:rsidRPr="00433F78">
        <w:rPr>
          <w:b/>
          <w:szCs w:val="24"/>
        </w:rPr>
        <w:t>2.35</w:t>
      </w:r>
      <w:r w:rsidR="00A34ECC" w:rsidRPr="00433F78">
        <w:rPr>
          <w:b/>
          <w:szCs w:val="24"/>
        </w:rPr>
        <w:tab/>
      </w:r>
      <w:r w:rsidR="00A34ECC">
        <w:rPr>
          <w:b/>
          <w:szCs w:val="24"/>
        </w:rPr>
        <w:t xml:space="preserve">Par </w:t>
      </w:r>
      <w:r w:rsidR="009A5BD1" w:rsidRPr="00635177">
        <w:rPr>
          <w:b/>
          <w:szCs w:val="24"/>
        </w:rPr>
        <w:t>“</w:t>
      </w:r>
      <w:r w:rsidR="00A34ECC">
        <w:rPr>
          <w:b/>
          <w:bCs/>
          <w:szCs w:val="24"/>
        </w:rPr>
        <w:t>v</w:t>
      </w:r>
      <w:r w:rsidR="00A34ECC">
        <w:rPr>
          <w:b/>
        </w:rPr>
        <w:t>éhicule spécialisé</w:t>
      </w:r>
      <w:r w:rsidR="009A5BD1" w:rsidRPr="00635177">
        <w:rPr>
          <w:b/>
        </w:rPr>
        <w:t>”</w:t>
      </w:r>
      <w:r w:rsidR="00A34ECC">
        <w:rPr>
          <w:b/>
          <w:bCs/>
          <w:szCs w:val="24"/>
        </w:rPr>
        <w:t>,</w:t>
      </w:r>
      <w:r w:rsidR="00A34ECC" w:rsidRPr="006D2746">
        <w:rPr>
          <w:b/>
          <w:bCs/>
          <w:szCs w:val="24"/>
        </w:rPr>
        <w:t xml:space="preserve"> un véhicule des catégories M</w:t>
      </w:r>
      <w:r w:rsidR="00A34ECC" w:rsidRPr="006D2746">
        <w:rPr>
          <w:b/>
          <w:bCs/>
          <w:szCs w:val="24"/>
          <w:vertAlign w:val="subscript"/>
        </w:rPr>
        <w:t>1</w:t>
      </w:r>
      <w:r w:rsidR="00A34ECC" w:rsidRPr="006D2746">
        <w:rPr>
          <w:b/>
          <w:bCs/>
          <w:szCs w:val="24"/>
        </w:rPr>
        <w:t>, M</w:t>
      </w:r>
      <w:r w:rsidR="00A34ECC" w:rsidRPr="006D2746">
        <w:rPr>
          <w:b/>
          <w:bCs/>
          <w:szCs w:val="24"/>
          <w:vertAlign w:val="subscript"/>
        </w:rPr>
        <w:t>2</w:t>
      </w:r>
      <w:r w:rsidR="00A34ECC" w:rsidRPr="006D2746">
        <w:rPr>
          <w:b/>
          <w:bCs/>
          <w:szCs w:val="24"/>
        </w:rPr>
        <w:t>, N</w:t>
      </w:r>
      <w:r w:rsidR="00A34ECC" w:rsidRPr="006D2746">
        <w:rPr>
          <w:b/>
          <w:bCs/>
          <w:szCs w:val="24"/>
          <w:vertAlign w:val="subscript"/>
        </w:rPr>
        <w:t>1</w:t>
      </w:r>
      <w:r w:rsidR="00A34ECC" w:rsidRPr="006D2746">
        <w:rPr>
          <w:b/>
          <w:bCs/>
          <w:szCs w:val="24"/>
        </w:rPr>
        <w:t xml:space="preserve"> et N</w:t>
      </w:r>
      <w:r w:rsidR="00A34ECC" w:rsidRPr="006D2746">
        <w:rPr>
          <w:b/>
          <w:bCs/>
          <w:szCs w:val="24"/>
          <w:vertAlign w:val="subscript"/>
        </w:rPr>
        <w:t>2</w:t>
      </w:r>
      <w:r w:rsidR="00A34ECC" w:rsidRPr="006D2746">
        <w:rPr>
          <w:b/>
          <w:bCs/>
          <w:szCs w:val="24"/>
        </w:rPr>
        <w:t xml:space="preserve"> ayant une masse de référence supérieure à </w:t>
      </w:r>
      <w:r w:rsidR="009A5BD1">
        <w:rPr>
          <w:b/>
          <w:bCs/>
          <w:szCs w:val="24"/>
        </w:rPr>
        <w:t>2 </w:t>
      </w:r>
      <w:r w:rsidR="00A34ECC" w:rsidRPr="006D2746">
        <w:rPr>
          <w:b/>
          <w:bCs/>
          <w:szCs w:val="24"/>
        </w:rPr>
        <w:t>610</w:t>
      </w:r>
      <w:r w:rsidR="009A5BD1">
        <w:rPr>
          <w:b/>
          <w:bCs/>
          <w:szCs w:val="24"/>
        </w:rPr>
        <w:t> </w:t>
      </w:r>
      <w:r w:rsidR="00A34ECC" w:rsidRPr="006D2746">
        <w:rPr>
          <w:b/>
          <w:bCs/>
          <w:szCs w:val="24"/>
        </w:rPr>
        <w:t xml:space="preserve">kg destiné à remplir une fonction qui nécessite des aménagements de carrosserie et/ou équipements spéciaux. </w:t>
      </w:r>
      <w:r w:rsidR="00A34ECC" w:rsidRPr="006D2746">
        <w:rPr>
          <w:b/>
        </w:rPr>
        <w:t>Cette catégorie inclut les véhicules blindés, les véhicules accessibles aux fauteuils roulants, etc</w:t>
      </w:r>
      <w:r w:rsidR="00A34ECC" w:rsidRPr="006D2746">
        <w:rPr>
          <w:b/>
          <w:bCs/>
          <w:szCs w:val="24"/>
        </w:rPr>
        <w:t>.</w:t>
      </w:r>
    </w:p>
    <w:p w:rsidR="00A34ECC" w:rsidRDefault="00A34ECC" w:rsidP="00A34ECC">
      <w:pPr>
        <w:pStyle w:val="SingleTxtG"/>
        <w:ind w:left="2268" w:hanging="1134"/>
        <w:rPr>
          <w:bCs/>
        </w:rPr>
      </w:pPr>
      <w:r w:rsidRPr="00433F78">
        <w:rPr>
          <w:b/>
          <w:szCs w:val="24"/>
        </w:rPr>
        <w:t>2.36</w:t>
      </w:r>
      <w:r w:rsidRPr="00433F78">
        <w:rPr>
          <w:b/>
          <w:szCs w:val="24"/>
        </w:rPr>
        <w:tab/>
      </w:r>
      <w:r>
        <w:rPr>
          <w:b/>
          <w:szCs w:val="24"/>
        </w:rPr>
        <w:t xml:space="preserve">Par </w:t>
      </w:r>
      <w:r w:rsidR="009A5BD1" w:rsidRPr="00635177">
        <w:rPr>
          <w:b/>
          <w:szCs w:val="24"/>
        </w:rPr>
        <w:t>“</w:t>
      </w:r>
      <w:r>
        <w:rPr>
          <w:b/>
          <w:bCs/>
          <w:szCs w:val="24"/>
        </w:rPr>
        <w:t>v</w:t>
      </w:r>
      <w:r w:rsidRPr="006D2746">
        <w:rPr>
          <w:rStyle w:val="alt-edited"/>
          <w:b/>
        </w:rPr>
        <w:t>éhicule blindé</w:t>
      </w:r>
      <w:r w:rsidR="009A5BD1" w:rsidRPr="00635177">
        <w:rPr>
          <w:b/>
        </w:rPr>
        <w:t>”</w:t>
      </w:r>
      <w:r>
        <w:rPr>
          <w:b/>
          <w:bCs/>
          <w:szCs w:val="24"/>
        </w:rPr>
        <w:t>,</w:t>
      </w:r>
      <w:r w:rsidRPr="006D2746">
        <w:rPr>
          <w:b/>
          <w:bCs/>
          <w:szCs w:val="24"/>
        </w:rPr>
        <w:t xml:space="preserve"> </w:t>
      </w:r>
      <w:r w:rsidRPr="006D2746">
        <w:rPr>
          <w:rStyle w:val="alt-edited"/>
          <w:b/>
        </w:rPr>
        <w:t>un véhicule conçu pour la protection des passagers et/ou des marchandises transportés et équipé d</w:t>
      </w:r>
      <w:r w:rsidR="009251F5">
        <w:rPr>
          <w:rStyle w:val="alt-edited"/>
          <w:b/>
        </w:rPr>
        <w:t>’</w:t>
      </w:r>
      <w:r w:rsidRPr="006D2746">
        <w:rPr>
          <w:rStyle w:val="alt-edited"/>
          <w:b/>
        </w:rPr>
        <w:t>une protection blindée.</w:t>
      </w:r>
      <w:r w:rsidR="009A5BD1">
        <w:rPr>
          <w:b/>
          <w:bCs/>
        </w:rPr>
        <w:t> </w:t>
      </w:r>
      <w:r w:rsidR="009A5BD1" w:rsidRPr="009A5BD1">
        <w:rPr>
          <w:bCs/>
        </w:rPr>
        <w:t>».</w:t>
      </w:r>
    </w:p>
    <w:p w:rsidR="00A34ECC" w:rsidRPr="00E77373" w:rsidRDefault="00A34ECC" w:rsidP="009A5BD1">
      <w:pPr>
        <w:pStyle w:val="HChG"/>
      </w:pPr>
      <w:r w:rsidRPr="00E77373">
        <w:lastRenderedPageBreak/>
        <w:tab/>
        <w:t>II.</w:t>
      </w:r>
      <w:r w:rsidRPr="00E77373">
        <w:tab/>
      </w:r>
      <w:r w:rsidRPr="009A5BD1">
        <w:t>Justification</w:t>
      </w:r>
    </w:p>
    <w:p w:rsidR="00946373" w:rsidRDefault="00A34ECC" w:rsidP="009A5BD1">
      <w:pPr>
        <w:pStyle w:val="SingleTxtG"/>
        <w:ind w:firstLine="567"/>
        <w:rPr>
          <w:bCs/>
        </w:rPr>
      </w:pPr>
      <w:r w:rsidRPr="00802A72">
        <w:rPr>
          <w:bCs/>
        </w:rPr>
        <w:t xml:space="preserve">La présente proposition vise à introduire les dispositions de </w:t>
      </w:r>
      <w:r>
        <w:rPr>
          <w:bCs/>
        </w:rPr>
        <w:t>la directive européenne</w:t>
      </w:r>
      <w:r w:rsidR="009251F5">
        <w:rPr>
          <w:bCs/>
        </w:rPr>
        <w:t> </w:t>
      </w:r>
      <w:r>
        <w:rPr>
          <w:bCs/>
        </w:rPr>
        <w:t>2007/46</w:t>
      </w:r>
      <w:r w:rsidRPr="00802A72">
        <w:rPr>
          <w:bCs/>
        </w:rPr>
        <w:t xml:space="preserve">/CE dans le </w:t>
      </w:r>
      <w:r>
        <w:rPr>
          <w:bCs/>
        </w:rPr>
        <w:t>R</w:t>
      </w:r>
      <w:r w:rsidRPr="00802A72">
        <w:rPr>
          <w:bCs/>
        </w:rPr>
        <w:t xml:space="preserve">èglement </w:t>
      </w:r>
      <w:r w:rsidR="00E51855" w:rsidRPr="00E51855">
        <w:rPr>
          <w:rFonts w:eastAsia="MS Mincho"/>
          <w:bCs/>
          <w:szCs w:val="22"/>
        </w:rPr>
        <w:t>n</w:t>
      </w:r>
      <w:r w:rsidR="00E51855" w:rsidRPr="00E51855">
        <w:rPr>
          <w:rFonts w:eastAsia="MS Mincho"/>
          <w:bCs/>
          <w:szCs w:val="22"/>
          <w:vertAlign w:val="superscript"/>
        </w:rPr>
        <w:t>o</w:t>
      </w:r>
      <w:r w:rsidR="00E51855">
        <w:rPr>
          <w:bCs/>
        </w:rPr>
        <w:t> </w:t>
      </w:r>
      <w:r w:rsidRPr="00802A72">
        <w:rPr>
          <w:bCs/>
        </w:rPr>
        <w:t>83 en autorisant l</w:t>
      </w:r>
      <w:r w:rsidR="009251F5">
        <w:rPr>
          <w:bCs/>
        </w:rPr>
        <w:t>’</w:t>
      </w:r>
      <w:r w:rsidRPr="00802A72">
        <w:rPr>
          <w:bCs/>
        </w:rPr>
        <w:t>utilisation des résultats de l</w:t>
      </w:r>
      <w:r w:rsidR="009251F5">
        <w:rPr>
          <w:bCs/>
        </w:rPr>
        <w:t>’</w:t>
      </w:r>
      <w:r w:rsidRPr="00802A72">
        <w:rPr>
          <w:bCs/>
        </w:rPr>
        <w:t>évaluation de la conformité des véhicules dont la masse de référence est inférieure à 2</w:t>
      </w:r>
      <w:r w:rsidR="009A5BD1">
        <w:rPr>
          <w:bCs/>
        </w:rPr>
        <w:t> </w:t>
      </w:r>
      <w:r w:rsidRPr="00802A72">
        <w:rPr>
          <w:bCs/>
        </w:rPr>
        <w:t>610</w:t>
      </w:r>
      <w:r w:rsidR="009A5BD1">
        <w:rPr>
          <w:bCs/>
        </w:rPr>
        <w:t> </w:t>
      </w:r>
      <w:r w:rsidRPr="00802A72">
        <w:rPr>
          <w:bCs/>
        </w:rPr>
        <w:t>kg pour l</w:t>
      </w:r>
      <w:r w:rsidR="009251F5">
        <w:rPr>
          <w:bCs/>
        </w:rPr>
        <w:t>’</w:t>
      </w:r>
      <w:r w:rsidRPr="00802A72">
        <w:rPr>
          <w:bCs/>
        </w:rPr>
        <w:t>extension de l</w:t>
      </w:r>
      <w:r w:rsidR="009251F5">
        <w:rPr>
          <w:bCs/>
        </w:rPr>
        <w:t>’</w:t>
      </w:r>
      <w:r w:rsidRPr="00802A72">
        <w:rPr>
          <w:bCs/>
        </w:rPr>
        <w:t>homologation aux véhicules spécialisés (y</w:t>
      </w:r>
      <w:r w:rsidR="001A5388">
        <w:rPr>
          <w:bCs/>
        </w:rPr>
        <w:t> </w:t>
      </w:r>
      <w:r w:rsidRPr="00802A72">
        <w:rPr>
          <w:bCs/>
        </w:rPr>
        <w:t>compris les véhicules blindés) d</w:t>
      </w:r>
      <w:r w:rsidR="009251F5">
        <w:rPr>
          <w:bCs/>
        </w:rPr>
        <w:t>’</w:t>
      </w:r>
      <w:r w:rsidRPr="00802A72">
        <w:rPr>
          <w:bCs/>
        </w:rPr>
        <w:t>une masse de référence supérieure à 2</w:t>
      </w:r>
      <w:r w:rsidR="009A5BD1">
        <w:rPr>
          <w:bCs/>
        </w:rPr>
        <w:t> </w:t>
      </w:r>
      <w:r w:rsidRPr="00802A72">
        <w:rPr>
          <w:bCs/>
        </w:rPr>
        <w:t>840</w:t>
      </w:r>
      <w:r w:rsidR="009A5BD1">
        <w:rPr>
          <w:bCs/>
        </w:rPr>
        <w:t> </w:t>
      </w:r>
      <w:r w:rsidRPr="00802A72">
        <w:rPr>
          <w:bCs/>
        </w:rPr>
        <w:t>kg.</w:t>
      </w:r>
    </w:p>
    <w:p w:rsidR="009A5BD1" w:rsidRPr="009A5BD1" w:rsidRDefault="009A5BD1" w:rsidP="009A5BD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A5BD1" w:rsidRPr="009A5BD1" w:rsidSect="00C7740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1C" w:rsidRDefault="000B5B1C" w:rsidP="00F95C08">
      <w:pPr>
        <w:spacing w:line="240" w:lineRule="auto"/>
      </w:pPr>
    </w:p>
  </w:endnote>
  <w:endnote w:type="continuationSeparator" w:id="0">
    <w:p w:rsidR="000B5B1C" w:rsidRPr="00AC3823" w:rsidRDefault="000B5B1C" w:rsidP="00AC3823">
      <w:pPr>
        <w:pStyle w:val="Footer"/>
      </w:pPr>
    </w:p>
  </w:endnote>
  <w:endnote w:type="continuationNotice" w:id="1">
    <w:p w:rsidR="000B5B1C" w:rsidRDefault="000B5B1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40F" w:rsidRPr="00C7740F" w:rsidRDefault="00C7740F" w:rsidP="00C7740F">
    <w:pPr>
      <w:pStyle w:val="Footer"/>
      <w:tabs>
        <w:tab w:val="right" w:pos="9638"/>
      </w:tabs>
    </w:pPr>
    <w:r w:rsidRPr="00C7740F">
      <w:rPr>
        <w:b/>
        <w:sz w:val="18"/>
      </w:rPr>
      <w:fldChar w:fldCharType="begin"/>
    </w:r>
    <w:r w:rsidRPr="00C7740F">
      <w:rPr>
        <w:b/>
        <w:sz w:val="18"/>
      </w:rPr>
      <w:instrText xml:space="preserve"> PAGE  \* MERGEFORMAT </w:instrText>
    </w:r>
    <w:r w:rsidRPr="00C7740F">
      <w:rPr>
        <w:b/>
        <w:sz w:val="18"/>
      </w:rPr>
      <w:fldChar w:fldCharType="separate"/>
    </w:r>
    <w:r w:rsidR="00635177">
      <w:rPr>
        <w:b/>
        <w:noProof/>
        <w:sz w:val="18"/>
      </w:rPr>
      <w:t>2</w:t>
    </w:r>
    <w:r w:rsidRPr="00C7740F">
      <w:rPr>
        <w:b/>
        <w:sz w:val="18"/>
      </w:rPr>
      <w:fldChar w:fldCharType="end"/>
    </w:r>
    <w:r>
      <w:rPr>
        <w:b/>
        <w:sz w:val="18"/>
      </w:rPr>
      <w:tab/>
    </w:r>
    <w:r>
      <w:t>GE.16-18546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40F" w:rsidRPr="00C7740F" w:rsidRDefault="00C7740F" w:rsidP="00C7740F">
    <w:pPr>
      <w:pStyle w:val="Footer"/>
      <w:tabs>
        <w:tab w:val="right" w:pos="9638"/>
      </w:tabs>
      <w:rPr>
        <w:b/>
        <w:sz w:val="18"/>
      </w:rPr>
    </w:pPr>
    <w:r>
      <w:t>GE.16-18546</w:t>
    </w:r>
    <w:r>
      <w:tab/>
    </w:r>
    <w:r w:rsidRPr="00C7740F">
      <w:rPr>
        <w:b/>
        <w:sz w:val="18"/>
      </w:rPr>
      <w:fldChar w:fldCharType="begin"/>
    </w:r>
    <w:r w:rsidRPr="00C7740F">
      <w:rPr>
        <w:b/>
        <w:sz w:val="18"/>
      </w:rPr>
      <w:instrText xml:space="preserve"> PAGE  \* MERGEFORMAT </w:instrText>
    </w:r>
    <w:r w:rsidRPr="00C7740F">
      <w:rPr>
        <w:b/>
        <w:sz w:val="18"/>
      </w:rPr>
      <w:fldChar w:fldCharType="separate"/>
    </w:r>
    <w:r w:rsidR="00635177">
      <w:rPr>
        <w:b/>
        <w:noProof/>
        <w:sz w:val="18"/>
      </w:rPr>
      <w:t>3</w:t>
    </w:r>
    <w:r w:rsidRPr="00C7740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C7740F" w:rsidRDefault="00C7740F" w:rsidP="00C7740F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3B193935" wp14:editId="51B47F0B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16-18546  (F)</w:t>
    </w:r>
    <w:r w:rsidR="00F27708">
      <w:rPr>
        <w:sz w:val="20"/>
      </w:rPr>
      <w:t xml:space="preserve">    011116    151116</w:t>
    </w:r>
    <w:r>
      <w:rPr>
        <w:sz w:val="20"/>
      </w:rPr>
      <w:br/>
    </w:r>
    <w:r w:rsidRPr="00C7740F">
      <w:rPr>
        <w:rFonts w:ascii="C39T30Lfz" w:hAnsi="C39T30Lfz"/>
        <w:sz w:val="56"/>
      </w:rPr>
      <w:t></w:t>
    </w:r>
    <w:r w:rsidRPr="00C7740F">
      <w:rPr>
        <w:rFonts w:ascii="C39T30Lfz" w:hAnsi="C39T30Lfz"/>
        <w:sz w:val="56"/>
      </w:rPr>
      <w:t></w:t>
    </w:r>
    <w:r w:rsidRPr="00C7740F">
      <w:rPr>
        <w:rFonts w:ascii="C39T30Lfz" w:hAnsi="C39T30Lfz"/>
        <w:sz w:val="56"/>
      </w:rPr>
      <w:t></w:t>
    </w:r>
    <w:r w:rsidRPr="00C7740F">
      <w:rPr>
        <w:rFonts w:ascii="C39T30Lfz" w:hAnsi="C39T30Lfz"/>
        <w:sz w:val="56"/>
      </w:rPr>
      <w:t></w:t>
    </w:r>
    <w:r w:rsidRPr="00C7740F">
      <w:rPr>
        <w:rFonts w:ascii="C39T30Lfz" w:hAnsi="C39T30Lfz"/>
        <w:sz w:val="56"/>
      </w:rPr>
      <w:t></w:t>
    </w:r>
    <w:r w:rsidRPr="00C7740F">
      <w:rPr>
        <w:rFonts w:ascii="C39T30Lfz" w:hAnsi="C39T30Lfz"/>
        <w:sz w:val="56"/>
      </w:rPr>
      <w:t></w:t>
    </w:r>
    <w:r w:rsidRPr="00C7740F">
      <w:rPr>
        <w:rFonts w:ascii="C39T30Lfz" w:hAnsi="C39T30Lfz"/>
        <w:sz w:val="56"/>
      </w:rPr>
      <w:t></w:t>
    </w:r>
    <w:r w:rsidRPr="00C7740F">
      <w:rPr>
        <w:rFonts w:ascii="C39T30Lfz" w:hAnsi="C39T30Lfz"/>
        <w:sz w:val="56"/>
      </w:rPr>
      <w:t></w:t>
    </w:r>
    <w:r w:rsidRPr="00C7740F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GRPE/2017/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PE/2017/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1C" w:rsidRPr="00AC3823" w:rsidRDefault="000B5B1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B5B1C" w:rsidRPr="00AC3823" w:rsidRDefault="000B5B1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B5B1C" w:rsidRPr="00AC3823" w:rsidRDefault="000B5B1C">
      <w:pPr>
        <w:spacing w:line="240" w:lineRule="auto"/>
        <w:rPr>
          <w:sz w:val="2"/>
          <w:szCs w:val="2"/>
        </w:rPr>
      </w:pPr>
    </w:p>
  </w:footnote>
  <w:footnote w:id="2">
    <w:p w:rsidR="00946373" w:rsidRPr="00A84D55" w:rsidRDefault="00946373" w:rsidP="00946373">
      <w:pPr>
        <w:pStyle w:val="FootnoteText"/>
      </w:pPr>
      <w:r>
        <w:tab/>
      </w:r>
      <w:r w:rsidRPr="00635177">
        <w:rPr>
          <w:rStyle w:val="FootnoteReference"/>
          <w:sz w:val="20"/>
          <w:vertAlign w:val="baseline"/>
        </w:rPr>
        <w:t>*</w:t>
      </w:r>
      <w:r w:rsidRPr="00635177">
        <w:rPr>
          <w:sz w:val="20"/>
        </w:rPr>
        <w:tab/>
      </w:r>
      <w:r w:rsidRPr="00A50896">
        <w:rPr>
          <w:lang w:val="fr-FR"/>
        </w:rPr>
        <w:t xml:space="preserve">Conformément au programme de travail du Comité des transports </w:t>
      </w:r>
      <w:r>
        <w:rPr>
          <w:lang w:val="fr-FR"/>
        </w:rPr>
        <w:t>intérieurs pour la période 2014</w:t>
      </w:r>
      <w:r w:rsidR="00F27708">
        <w:rPr>
          <w:lang w:val="fr-FR"/>
        </w:rPr>
        <w:noBreakHyphen/>
      </w:r>
      <w:r w:rsidRPr="00A50896">
        <w:rPr>
          <w:lang w:val="fr-FR"/>
        </w:rPr>
        <w:t>2018 (ECE/TRANS/240, par.105, et ECE/TRANS/2014/26</w:t>
      </w:r>
      <w:r>
        <w:rPr>
          <w:lang w:val="fr-FR"/>
        </w:rPr>
        <w:t>,</w:t>
      </w:r>
      <w:r w:rsidRPr="00A50896">
        <w:rPr>
          <w:lang w:val="fr-FR"/>
        </w:rPr>
        <w:t xml:space="preserve"> activité 02.4), le Forum mondial élabore, harmonise et actualise les </w:t>
      </w:r>
      <w:r>
        <w:rPr>
          <w:lang w:val="fr-FR"/>
        </w:rPr>
        <w:t>Règlements</w:t>
      </w:r>
      <w:r w:rsidRPr="00A50896">
        <w:rPr>
          <w:lang w:val="fr-FR"/>
        </w:rPr>
        <w:t xml:space="preserve"> afin d</w:t>
      </w:r>
      <w:r w:rsidR="009251F5">
        <w:rPr>
          <w:lang w:val="fr-FR"/>
        </w:rPr>
        <w:t>’</w:t>
      </w:r>
      <w:r w:rsidRPr="00A50896">
        <w:rPr>
          <w:lang w:val="fr-FR"/>
        </w:rPr>
        <w:t>améliorer les caractéristiques fonctionnelles des</w:t>
      </w:r>
      <w:r w:rsidR="00F27708">
        <w:rPr>
          <w:lang w:val="fr-FR"/>
        </w:rPr>
        <w:t> </w:t>
      </w:r>
      <w:r w:rsidRPr="00A50896">
        <w:rPr>
          <w:lang w:val="fr-FR"/>
        </w:rPr>
        <w:t>véhicules</w:t>
      </w:r>
      <w:r w:rsidRPr="00A50896">
        <w:rPr>
          <w:szCs w:val="18"/>
          <w:lang w:val="fr-FR"/>
        </w:rPr>
        <w:t xml:space="preserve">. </w:t>
      </w:r>
      <w:r w:rsidRPr="00A50896">
        <w:rPr>
          <w:lang w:val="fr-FR"/>
        </w:rPr>
        <w:t>Le présent document est soumis en vertu de ce mandat</w:t>
      </w:r>
      <w:r w:rsidR="00F27708">
        <w:rPr>
          <w:szCs w:val="18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40F" w:rsidRPr="00C7740F" w:rsidRDefault="00C7740F">
    <w:pPr>
      <w:pStyle w:val="Header"/>
    </w:pPr>
    <w:r>
      <w:t>ECE/TRANS/WP.29/GRPE/2017/2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40F" w:rsidRPr="00C7740F" w:rsidRDefault="00C7740F" w:rsidP="00C7740F">
    <w:pPr>
      <w:pStyle w:val="Header"/>
      <w:jc w:val="right"/>
    </w:pPr>
    <w:r>
      <w:t>ECE/TRANS/WP.29/GRPE/2017/2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1C"/>
    <w:rsid w:val="00017F94"/>
    <w:rsid w:val="00023842"/>
    <w:rsid w:val="000334F9"/>
    <w:rsid w:val="0007796D"/>
    <w:rsid w:val="000B5B1C"/>
    <w:rsid w:val="000B7790"/>
    <w:rsid w:val="000E1898"/>
    <w:rsid w:val="00111F2F"/>
    <w:rsid w:val="0014365E"/>
    <w:rsid w:val="00143C66"/>
    <w:rsid w:val="00176178"/>
    <w:rsid w:val="001A538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5E32D5"/>
    <w:rsid w:val="00635177"/>
    <w:rsid w:val="0071601D"/>
    <w:rsid w:val="007A62E6"/>
    <w:rsid w:val="007F20FA"/>
    <w:rsid w:val="0080684C"/>
    <w:rsid w:val="00871C75"/>
    <w:rsid w:val="008776DC"/>
    <w:rsid w:val="009251F5"/>
    <w:rsid w:val="00946373"/>
    <w:rsid w:val="009705C8"/>
    <w:rsid w:val="009A5BD1"/>
    <w:rsid w:val="009C1CF4"/>
    <w:rsid w:val="009D0402"/>
    <w:rsid w:val="009F6B74"/>
    <w:rsid w:val="00A30353"/>
    <w:rsid w:val="00A34ECC"/>
    <w:rsid w:val="00AC3823"/>
    <w:rsid w:val="00AE323C"/>
    <w:rsid w:val="00AF0CB5"/>
    <w:rsid w:val="00B00181"/>
    <w:rsid w:val="00B00B0D"/>
    <w:rsid w:val="00B765F7"/>
    <w:rsid w:val="00BA0CA9"/>
    <w:rsid w:val="00C02897"/>
    <w:rsid w:val="00C7740F"/>
    <w:rsid w:val="00D3439C"/>
    <w:rsid w:val="00DB1831"/>
    <w:rsid w:val="00DC2A4A"/>
    <w:rsid w:val="00DD3BFD"/>
    <w:rsid w:val="00DF6678"/>
    <w:rsid w:val="00E51855"/>
    <w:rsid w:val="00E76CDB"/>
    <w:rsid w:val="00E85C74"/>
    <w:rsid w:val="00EA6547"/>
    <w:rsid w:val="00EF2E22"/>
    <w:rsid w:val="00F27708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1">
    <w:name w:val="Footnote Text Char1"/>
    <w:aliases w:val="5_G Char,PP Char,Footnote Text Char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946373"/>
    <w:rPr>
      <w:rFonts w:ascii="Times New Roman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rsid w:val="00A34ECC"/>
    <w:rPr>
      <w:rFonts w:ascii="Times New Roman" w:hAnsi="Times New Roman" w:cs="Times New Roman"/>
      <w:sz w:val="20"/>
      <w:szCs w:val="20"/>
      <w:lang w:eastAsia="en-US"/>
    </w:rPr>
  </w:style>
  <w:style w:type="paragraph" w:styleId="NormalWeb">
    <w:name w:val="Normal (Web)"/>
    <w:basedOn w:val="Normal"/>
    <w:link w:val="NormalWebChar"/>
    <w:rsid w:val="00A34ECC"/>
    <w:pPr>
      <w:kinsoku/>
      <w:overflowPunct/>
      <w:autoSpaceDE/>
      <w:autoSpaceDN/>
      <w:adjustRightInd/>
      <w:snapToGrid/>
    </w:pPr>
    <w:rPr>
      <w:sz w:val="24"/>
      <w:szCs w:val="24"/>
      <w:lang w:val="en-GB"/>
    </w:rPr>
  </w:style>
  <w:style w:type="character" w:customStyle="1" w:styleId="NormalWebChar">
    <w:name w:val="Normal (Web) Char"/>
    <w:link w:val="NormalWeb"/>
    <w:rsid w:val="00A34ECC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HChGChar">
    <w:name w:val="_ H _Ch_G Char"/>
    <w:link w:val="HChG"/>
    <w:rsid w:val="00A34ECC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alt-edited">
    <w:name w:val="alt-edited"/>
    <w:basedOn w:val="DefaultParagraphFont"/>
    <w:rsid w:val="00A34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1">
    <w:name w:val="Footnote Text Char1"/>
    <w:aliases w:val="5_G Char,PP Char,Footnote Text Char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946373"/>
    <w:rPr>
      <w:rFonts w:ascii="Times New Roman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rsid w:val="00A34ECC"/>
    <w:rPr>
      <w:rFonts w:ascii="Times New Roman" w:hAnsi="Times New Roman" w:cs="Times New Roman"/>
      <w:sz w:val="20"/>
      <w:szCs w:val="20"/>
      <w:lang w:eastAsia="en-US"/>
    </w:rPr>
  </w:style>
  <w:style w:type="paragraph" w:styleId="NormalWeb">
    <w:name w:val="Normal (Web)"/>
    <w:basedOn w:val="Normal"/>
    <w:link w:val="NormalWebChar"/>
    <w:rsid w:val="00A34ECC"/>
    <w:pPr>
      <w:kinsoku/>
      <w:overflowPunct/>
      <w:autoSpaceDE/>
      <w:autoSpaceDN/>
      <w:adjustRightInd/>
      <w:snapToGrid/>
    </w:pPr>
    <w:rPr>
      <w:sz w:val="24"/>
      <w:szCs w:val="24"/>
      <w:lang w:val="en-GB"/>
    </w:rPr>
  </w:style>
  <w:style w:type="character" w:customStyle="1" w:styleId="NormalWebChar">
    <w:name w:val="Normal (Web) Char"/>
    <w:link w:val="NormalWeb"/>
    <w:rsid w:val="00A34ECC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HChGChar">
    <w:name w:val="_ H _Ch_G Char"/>
    <w:link w:val="HChG"/>
    <w:rsid w:val="00A34ECC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alt-edited">
    <w:name w:val="alt-edited"/>
    <w:basedOn w:val="DefaultParagraphFont"/>
    <w:rsid w:val="00A3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3179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ECE/TRANS/WP.29/GRPE/2017/2</vt:lpstr>
      <vt:lpstr>ECE/TRANS/WP.29/GRPE/2017/2</vt:lpstr>
    </vt:vector>
  </TitlesOfParts>
  <Company>DCM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ECE/TRANS/WP.29/GRPE/2017/2</dc:title>
  <dc:creator>Robert Corinne</dc:creator>
  <cp:lastModifiedBy>Benedicte Boudol</cp:lastModifiedBy>
  <cp:revision>2</cp:revision>
  <cp:lastPrinted>2016-11-15T06:43:00Z</cp:lastPrinted>
  <dcterms:created xsi:type="dcterms:W3CDTF">2016-11-16T08:42:00Z</dcterms:created>
  <dcterms:modified xsi:type="dcterms:W3CDTF">2016-11-16T08:42:00Z</dcterms:modified>
</cp:coreProperties>
</file>