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36339F">
            <w:pPr>
              <w:jc w:val="right"/>
            </w:pPr>
            <w:r w:rsidRPr="00525E6C">
              <w:rPr>
                <w:sz w:val="40"/>
              </w:rPr>
              <w:t>ECE</w:t>
            </w:r>
            <w:r w:rsidRPr="00525E6C">
              <w:t>/TRANS/WP.29/GRE/201</w:t>
            </w:r>
            <w:r w:rsidR="0036339F">
              <w:t>7</w:t>
            </w:r>
            <w:r w:rsidRPr="00525E6C">
              <w:t>/</w:t>
            </w:r>
            <w:r w:rsidR="0036339F">
              <w:t>2</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36339F" w:rsidP="00732AD2">
            <w:pPr>
              <w:spacing w:line="240" w:lineRule="exact"/>
            </w:pPr>
            <w:r>
              <w:t>1</w:t>
            </w:r>
            <w:r w:rsidR="00551E8E">
              <w:t>7</w:t>
            </w:r>
            <w:r>
              <w:t xml:space="preserve"> </w:t>
            </w:r>
            <w:r w:rsidR="0005586D" w:rsidRPr="00525E6C">
              <w:t xml:space="preserve">January </w:t>
            </w:r>
            <w:r w:rsidR="00732AD2" w:rsidRPr="00525E6C">
              <w:t>201</w:t>
            </w:r>
            <w:r>
              <w:t>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bookmarkStart w:id="0" w:name="_GoBack"/>
      <w:r w:rsidRPr="00525E6C">
        <w:rPr>
          <w:b/>
        </w:rPr>
        <w:t>S</w:t>
      </w:r>
      <w:bookmarkEnd w:id="0"/>
      <w:r w:rsidRPr="00525E6C">
        <w:rPr>
          <w:b/>
        </w:rPr>
        <w:t>eventy-</w:t>
      </w:r>
      <w:r w:rsidR="0036339F">
        <w:rPr>
          <w:b/>
        </w:rPr>
        <w:t xml:space="preserve">seventh </w:t>
      </w:r>
      <w:proofErr w:type="gramStart"/>
      <w:r w:rsidRPr="00525E6C">
        <w:rPr>
          <w:b/>
        </w:rPr>
        <w:t>session</w:t>
      </w:r>
      <w:proofErr w:type="gramEnd"/>
    </w:p>
    <w:p w:rsidR="000866FB" w:rsidRPr="00525E6C" w:rsidRDefault="000866FB" w:rsidP="000866FB">
      <w:pPr>
        <w:rPr>
          <w:bCs/>
        </w:rPr>
      </w:pPr>
      <w:r w:rsidRPr="00525E6C">
        <w:t>Geneva</w:t>
      </w:r>
      <w:r w:rsidRPr="00525E6C">
        <w:rPr>
          <w:bCs/>
        </w:rPr>
        <w:t xml:space="preserve">, </w:t>
      </w:r>
      <w:r w:rsidR="0036339F">
        <w:rPr>
          <w:bCs/>
        </w:rPr>
        <w:t>4</w:t>
      </w:r>
      <w:r w:rsidR="00C1493B">
        <w:rPr>
          <w:bCs/>
        </w:rPr>
        <w:t>-</w:t>
      </w:r>
      <w:r w:rsidR="0036339F">
        <w:rPr>
          <w:bCs/>
        </w:rPr>
        <w:t>7</w:t>
      </w:r>
      <w:r w:rsidRPr="00525E6C">
        <w:rPr>
          <w:bCs/>
        </w:rPr>
        <w:t xml:space="preserve"> April 201</w:t>
      </w:r>
      <w:r w:rsidR="0036339F">
        <w:rPr>
          <w:bCs/>
        </w:rPr>
        <w:t>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36339F" w:rsidRDefault="0036339F" w:rsidP="00732AD2">
      <w:pPr>
        <w:ind w:right="1134"/>
        <w:rPr>
          <w:b/>
          <w:bCs/>
          <w:lang w:val="en-US"/>
        </w:rPr>
      </w:pPr>
      <w:r w:rsidRPr="0036339F">
        <w:rPr>
          <w:b/>
          <w:bCs/>
          <w:lang w:val="en-US"/>
        </w:rPr>
        <w:t xml:space="preserve">Regulations Nos. 37 (Filament lamps), 99 (Gas discharge light sources), </w:t>
      </w:r>
    </w:p>
    <w:p w:rsidR="0036339F" w:rsidRDefault="0036339F" w:rsidP="00732AD2">
      <w:pPr>
        <w:ind w:right="1134"/>
        <w:rPr>
          <w:b/>
          <w:bCs/>
          <w:lang w:val="en-US"/>
        </w:rPr>
      </w:pPr>
      <w:r w:rsidRPr="0036339F">
        <w:rPr>
          <w:b/>
          <w:bCs/>
          <w:lang w:val="en-US"/>
        </w:rPr>
        <w:t xml:space="preserve">128 (Light emitting diodes light sources) and the Consolidated Resolution </w:t>
      </w:r>
    </w:p>
    <w:p w:rsidR="00732AD2" w:rsidRPr="00525E6C" w:rsidRDefault="0036339F" w:rsidP="00732AD2">
      <w:pPr>
        <w:ind w:right="1134"/>
        <w:rPr>
          <w:bCs/>
        </w:rPr>
      </w:pPr>
      <w:proofErr w:type="gramStart"/>
      <w:r w:rsidRPr="0036339F">
        <w:rPr>
          <w:b/>
          <w:bCs/>
          <w:lang w:val="en-US"/>
        </w:rPr>
        <w:t>on</w:t>
      </w:r>
      <w:proofErr w:type="gramEnd"/>
      <w:r w:rsidRPr="0036339F">
        <w:rPr>
          <w:b/>
          <w:bCs/>
          <w:lang w:val="en-US"/>
        </w:rPr>
        <w:t xml:space="preserve"> the common specification of light source categories </w:t>
      </w:r>
    </w:p>
    <w:p w:rsidR="00732AD2" w:rsidRPr="00525E6C" w:rsidRDefault="00732AD2" w:rsidP="00732AD2">
      <w:pPr>
        <w:pStyle w:val="HChG"/>
      </w:pPr>
      <w:r w:rsidRPr="00525E6C">
        <w:tab/>
      </w:r>
      <w:r w:rsidRPr="00525E6C">
        <w:tab/>
      </w:r>
      <w:r w:rsidR="008B2727" w:rsidRPr="00525E6C">
        <w:t xml:space="preserve">Proposal for Supplement </w:t>
      </w:r>
      <w:r w:rsidR="0036339F">
        <w:t>7</w:t>
      </w:r>
      <w:r w:rsidR="008B2727" w:rsidRPr="00525E6C">
        <w:t xml:space="preserve"> to the original version of Regulation No. 128 (Light emitting diodes light sources)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E41166">
        <w:rPr>
          <w:vertAlign w:val="superscript"/>
        </w:rPr>
        <w:footnoteReference w:customMarkFollows="1" w:id="2"/>
        <w:t>*</w:t>
      </w:r>
      <w:r w:rsidR="005067BB" w:rsidRPr="00525E6C">
        <w:rPr>
          <w:szCs w:val="24"/>
        </w:rPr>
        <w:t xml:space="preserve"> </w:t>
      </w:r>
    </w:p>
    <w:p w:rsidR="00732AD2" w:rsidRPr="00525E6C" w:rsidRDefault="0036339F" w:rsidP="00732AD2">
      <w:pPr>
        <w:pStyle w:val="SingleTxtG"/>
        <w:tabs>
          <w:tab w:val="left" w:pos="8505"/>
        </w:tabs>
        <w:ind w:firstLine="567"/>
      </w:pPr>
      <w:r w:rsidRPr="0036339F">
        <w:t xml:space="preserve">The text reproduced below was prepared by the expert from GTB to introduce requirements and test specifications </w:t>
      </w:r>
      <w:r>
        <w:t>for light emitting diodes (</w:t>
      </w:r>
      <w:r w:rsidRPr="0036339F">
        <w:t>LED</w:t>
      </w:r>
      <w:r>
        <w:t>)</w:t>
      </w:r>
      <w:r w:rsidRPr="0036339F">
        <w:t xml:space="preserve"> substitute light sources. The modifications to the existing text of the Regulation are marked in bold for new or strikethrough for deleted characters.</w:t>
      </w:r>
      <w:r w:rsidR="0005586D"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36339F" w:rsidRPr="00EA6840" w:rsidRDefault="0036339F" w:rsidP="00C51879">
      <w:pPr>
        <w:spacing w:after="120"/>
        <w:ind w:left="2268" w:right="1134" w:hanging="1134"/>
        <w:jc w:val="both"/>
        <w:rPr>
          <w:bCs/>
          <w:i/>
        </w:rPr>
      </w:pPr>
      <w:r w:rsidRPr="00EA6840">
        <w:rPr>
          <w:bCs/>
          <w:i/>
        </w:rPr>
        <w:t>Insert a new paragraph 2.1.2.4., to read:</w:t>
      </w:r>
    </w:p>
    <w:p w:rsidR="0036339F" w:rsidRPr="00EA6840" w:rsidRDefault="0036339F" w:rsidP="00C51879">
      <w:pPr>
        <w:spacing w:after="120"/>
        <w:ind w:left="2268" w:right="1134" w:hanging="1134"/>
        <w:jc w:val="both"/>
        <w:rPr>
          <w:b/>
          <w:bCs/>
        </w:rPr>
      </w:pPr>
      <w:r w:rsidRPr="00EA6840">
        <w:rPr>
          <w:bCs/>
        </w:rPr>
        <w:t>“</w:t>
      </w:r>
      <w:r w:rsidRPr="00EA6840">
        <w:rPr>
          <w:b/>
          <w:bCs/>
        </w:rPr>
        <w:t>2.1.2.4.</w:t>
      </w:r>
      <w:r w:rsidRPr="00EA6840">
        <w:rPr>
          <w:b/>
          <w:bCs/>
        </w:rPr>
        <w:tab/>
        <w:t>The correlated* colour temperature, in so far as it concerns LED substitute light sources;</w:t>
      </w:r>
    </w:p>
    <w:p w:rsidR="0036339F" w:rsidRPr="00EA6840" w:rsidRDefault="0036339F" w:rsidP="00C51879">
      <w:pPr>
        <w:spacing w:after="120"/>
        <w:ind w:left="2268" w:right="1134"/>
        <w:jc w:val="both"/>
        <w:rPr>
          <w:b/>
          <w:bCs/>
        </w:rPr>
      </w:pPr>
      <w:r w:rsidRPr="00EA6840">
        <w:rPr>
          <w:b/>
          <w:bCs/>
        </w:rPr>
        <w:t xml:space="preserve">LED substitute light sources of the colour white with a correlated colour temperature </w:t>
      </w:r>
      <w:r w:rsidRPr="00EA6840">
        <w:rPr>
          <w:b/>
          <w:bCs/>
        </w:rPr>
        <w:tab/>
        <w:t>exceeding 3000 K or not exceeding 3000 K are considered as being of different types.</w:t>
      </w:r>
    </w:p>
    <w:p w:rsidR="0036339F" w:rsidRPr="00EA6840" w:rsidRDefault="0036339F" w:rsidP="00C51879">
      <w:pPr>
        <w:spacing w:after="120"/>
        <w:ind w:left="2694" w:right="1134" w:hanging="426"/>
        <w:jc w:val="both"/>
        <w:rPr>
          <w:bCs/>
        </w:rPr>
      </w:pPr>
      <w:r w:rsidRPr="00EA6840">
        <w:rPr>
          <w:b/>
          <w:sz w:val="16"/>
        </w:rPr>
        <w:t>*</w:t>
      </w:r>
      <w:r w:rsidR="00814D5A">
        <w:rPr>
          <w:b/>
          <w:sz w:val="16"/>
        </w:rPr>
        <w:t xml:space="preserve"> </w:t>
      </w:r>
      <w:r w:rsidRPr="00EA6840">
        <w:rPr>
          <w:b/>
          <w:sz w:val="16"/>
        </w:rPr>
        <w:t xml:space="preserve">CIE S 017/E: 2011: ILV: International Lighting Vocabulary, or </w:t>
      </w:r>
      <w:hyperlink r:id="rId13" w:history="1">
        <w:proofErr w:type="spellStart"/>
        <w:r w:rsidRPr="00EA6840">
          <w:rPr>
            <w:b/>
            <w:sz w:val="16"/>
            <w:u w:val="single"/>
          </w:rPr>
          <w:t>eILV</w:t>
        </w:r>
        <w:proofErr w:type="spellEnd"/>
      </w:hyperlink>
      <w:r w:rsidRPr="00EA6840">
        <w:rPr>
          <w:b/>
          <w:sz w:val="16"/>
        </w:rPr>
        <w:t>; term 17-258</w:t>
      </w:r>
      <w:proofErr w:type="gramStart"/>
      <w:r w:rsidR="00814D5A">
        <w:rPr>
          <w:b/>
          <w:sz w:val="16"/>
        </w:rPr>
        <w:t>.</w:t>
      </w:r>
      <w:r w:rsidRPr="00EA6840">
        <w:rPr>
          <w:bCs/>
        </w:rPr>
        <w:t>“</w:t>
      </w:r>
      <w:proofErr w:type="gramEnd"/>
    </w:p>
    <w:p w:rsidR="0036339F" w:rsidRPr="00EA6840" w:rsidRDefault="0036339F" w:rsidP="00C51879">
      <w:pPr>
        <w:spacing w:after="120"/>
        <w:ind w:left="2268" w:right="1134" w:hanging="1134"/>
        <w:jc w:val="both"/>
        <w:rPr>
          <w:bCs/>
        </w:rPr>
      </w:pPr>
      <w:r w:rsidRPr="00EA6840">
        <w:rPr>
          <w:bCs/>
          <w:i/>
        </w:rPr>
        <w:t>Paragraph 2.2.2.</w:t>
      </w:r>
      <w:r w:rsidR="00A17675">
        <w:rPr>
          <w:bCs/>
          <w:i/>
        </w:rPr>
        <w:t>2.</w:t>
      </w:r>
      <w:r w:rsidRPr="00EA6840">
        <w:rPr>
          <w:bCs/>
          <w:i/>
        </w:rPr>
        <w:t>,</w:t>
      </w:r>
      <w:r w:rsidRPr="00EA6840">
        <w:rPr>
          <w:bCs/>
        </w:rPr>
        <w:t xml:space="preserve"> amend</w:t>
      </w:r>
      <w:r w:rsidRPr="00EA6840">
        <w:rPr>
          <w:bCs/>
          <w:i/>
        </w:rPr>
        <w:t xml:space="preserve"> </w:t>
      </w:r>
      <w:r w:rsidRPr="00EA6840">
        <w:rPr>
          <w:bCs/>
        </w:rPr>
        <w:t>to read:</w:t>
      </w:r>
    </w:p>
    <w:p w:rsidR="0036339F" w:rsidRPr="00EA6840" w:rsidRDefault="0036339F" w:rsidP="00C51879">
      <w:pPr>
        <w:spacing w:after="120"/>
        <w:ind w:left="2268" w:right="1134" w:hanging="1134"/>
        <w:jc w:val="both"/>
      </w:pPr>
      <w:r w:rsidRPr="00EA6840">
        <w:rPr>
          <w:bCs/>
        </w:rPr>
        <w:t>“2.2.2.2.</w:t>
      </w:r>
      <w:r w:rsidRPr="00EA6840">
        <w:rPr>
          <w:bCs/>
        </w:rPr>
        <w:tab/>
        <w:t>A brief technical description</w:t>
      </w:r>
      <w:r w:rsidRPr="00EA6840">
        <w:rPr>
          <w:b/>
          <w:bCs/>
          <w:lang w:val="en-US"/>
        </w:rPr>
        <w:t xml:space="preserve"> including the correlated </w:t>
      </w:r>
      <w:r w:rsidRPr="00EA6840">
        <w:rPr>
          <w:b/>
          <w:bCs/>
        </w:rPr>
        <w:t>colour</w:t>
      </w:r>
      <w:r w:rsidRPr="00EA6840">
        <w:rPr>
          <w:b/>
          <w:bCs/>
          <w:lang w:val="en-US"/>
        </w:rPr>
        <w:t xml:space="preserve"> temperature of the light emitted in case of a LED substitute light source emitting white light</w:t>
      </w:r>
      <w:r w:rsidR="00A17675">
        <w:rPr>
          <w:b/>
          <w:bCs/>
          <w:lang w:val="en-US"/>
        </w:rPr>
        <w:t>;</w:t>
      </w:r>
      <w:r w:rsidRPr="00EA6840">
        <w:t>”</w:t>
      </w:r>
    </w:p>
    <w:p w:rsidR="0036339F" w:rsidRPr="00EA6840" w:rsidRDefault="0036339F" w:rsidP="00C51879">
      <w:pPr>
        <w:spacing w:after="120"/>
        <w:ind w:left="2268" w:right="1134" w:hanging="1134"/>
        <w:jc w:val="both"/>
        <w:rPr>
          <w:i/>
        </w:rPr>
      </w:pPr>
      <w:r w:rsidRPr="00EA6840">
        <w:rPr>
          <w:i/>
        </w:rPr>
        <w:t xml:space="preserve">Insert </w:t>
      </w:r>
      <w:r w:rsidR="00814D5A">
        <w:rPr>
          <w:i/>
        </w:rPr>
        <w:t xml:space="preserve">a </w:t>
      </w:r>
      <w:r w:rsidRPr="00EA6840">
        <w:rPr>
          <w:i/>
        </w:rPr>
        <w:t>new paragraph 2.3.1.5</w:t>
      </w:r>
      <w:r w:rsidRPr="00EA6840">
        <w:t>., to read:</w:t>
      </w:r>
    </w:p>
    <w:p w:rsidR="0036339F" w:rsidRPr="00EA6840" w:rsidRDefault="0036339F" w:rsidP="00C51879">
      <w:pPr>
        <w:spacing w:after="120"/>
        <w:ind w:left="2268" w:right="1134" w:hanging="1134"/>
        <w:jc w:val="both"/>
        <w:rPr>
          <w:b/>
        </w:rPr>
      </w:pPr>
      <w:r w:rsidRPr="00EA6840">
        <w:rPr>
          <w:b/>
        </w:rPr>
        <w:t>“2.3.1.5.</w:t>
      </w:r>
      <w:r w:rsidRPr="00EA6840">
        <w:rPr>
          <w:b/>
        </w:rPr>
        <w:tab/>
        <w:t>The marking as indicated in paragraph 2.3.3</w:t>
      </w:r>
      <w:r w:rsidR="00814D5A">
        <w:rPr>
          <w:b/>
        </w:rPr>
        <w:t>.</w:t>
      </w:r>
      <w:r w:rsidRPr="00EA6840">
        <w:rPr>
          <w:b/>
        </w:rPr>
        <w:t>, if applicable. “</w:t>
      </w:r>
    </w:p>
    <w:p w:rsidR="0036339F" w:rsidRPr="00EA6840" w:rsidRDefault="0036339F" w:rsidP="00C51879">
      <w:pPr>
        <w:spacing w:after="120"/>
        <w:ind w:left="2268" w:right="1134" w:hanging="1134"/>
        <w:jc w:val="both"/>
      </w:pPr>
      <w:r w:rsidRPr="00EA6840">
        <w:rPr>
          <w:i/>
        </w:rPr>
        <w:t>Insert a new paragraph 2.3.</w:t>
      </w:r>
      <w:r w:rsidR="00814D5A">
        <w:rPr>
          <w:i/>
        </w:rPr>
        <w:t xml:space="preserve">3. </w:t>
      </w:r>
      <w:proofErr w:type="gramStart"/>
      <w:r w:rsidRPr="00EA6840">
        <w:rPr>
          <w:i/>
        </w:rPr>
        <w:t>and</w:t>
      </w:r>
      <w:proofErr w:type="gramEnd"/>
      <w:r w:rsidRPr="00EA6840">
        <w:rPr>
          <w:i/>
        </w:rPr>
        <w:t xml:space="preserve"> renumber the </w:t>
      </w:r>
      <w:r w:rsidR="00814D5A">
        <w:rPr>
          <w:i/>
        </w:rPr>
        <w:t xml:space="preserve">former </w:t>
      </w:r>
      <w:r w:rsidRPr="00EA6840">
        <w:rPr>
          <w:i/>
        </w:rPr>
        <w:t xml:space="preserve">paragraph 2.3.3., </w:t>
      </w:r>
      <w:r w:rsidRPr="00EA6840">
        <w:t>to read:</w:t>
      </w:r>
    </w:p>
    <w:p w:rsidR="0036339F" w:rsidRPr="00EA6840" w:rsidRDefault="0036339F" w:rsidP="00C51879">
      <w:pPr>
        <w:spacing w:after="120"/>
        <w:ind w:left="2268" w:right="1134" w:hanging="1134"/>
        <w:jc w:val="both"/>
        <w:rPr>
          <w:bCs/>
        </w:rPr>
      </w:pPr>
      <w:r w:rsidRPr="00EA6840">
        <w:rPr>
          <w:bCs/>
        </w:rPr>
        <w:t>“2.3.3.</w:t>
      </w:r>
      <w:r w:rsidRPr="00EA6840">
        <w:rPr>
          <w:bCs/>
        </w:rPr>
        <w:tab/>
      </w:r>
      <w:r w:rsidRPr="00EA6840">
        <w:rPr>
          <w:b/>
          <w:bCs/>
        </w:rPr>
        <w:t xml:space="preserve">LED substitute light sources of the colour white with a correlated colour temperature </w:t>
      </w:r>
      <w:r w:rsidRPr="00EA6840">
        <w:rPr>
          <w:b/>
          <w:bCs/>
        </w:rPr>
        <w:tab/>
        <w:t xml:space="preserve">not exceeding 3000 K shall be marked by a “G”, placed after the LED substitute light source category marking separated by a space.  </w:t>
      </w:r>
    </w:p>
    <w:p w:rsidR="0036339F" w:rsidRPr="00EA6840" w:rsidRDefault="0036339F" w:rsidP="00C51879">
      <w:pPr>
        <w:spacing w:after="120"/>
        <w:ind w:left="2268" w:right="1134" w:hanging="1134"/>
        <w:jc w:val="both"/>
        <w:rPr>
          <w:bCs/>
        </w:rPr>
      </w:pPr>
      <w:r w:rsidRPr="00EA6840">
        <w:rPr>
          <w:b/>
          <w:bCs/>
        </w:rPr>
        <w:t>2.3.4.</w:t>
      </w:r>
      <w:r w:rsidRPr="00EA6840">
        <w:rPr>
          <w:bCs/>
        </w:rPr>
        <w:tab/>
        <w:t>Inscriptions other than those covered by paragraphs 2.3.1.</w:t>
      </w:r>
      <w:r w:rsidRPr="00EA6840">
        <w:rPr>
          <w:b/>
          <w:bCs/>
        </w:rPr>
        <w:t>, 2.3.3.</w:t>
      </w:r>
      <w:r w:rsidRPr="00EA6840">
        <w:rPr>
          <w:bCs/>
        </w:rPr>
        <w:t xml:space="preserve"> </w:t>
      </w:r>
      <w:proofErr w:type="gramStart"/>
      <w:r w:rsidRPr="00EA6840">
        <w:rPr>
          <w:bCs/>
        </w:rPr>
        <w:t>and</w:t>
      </w:r>
      <w:proofErr w:type="gramEnd"/>
      <w:r w:rsidRPr="00EA6840">
        <w:rPr>
          <w:bCs/>
        </w:rPr>
        <w:t xml:space="preserve"> 2.4.4. </w:t>
      </w:r>
      <w:proofErr w:type="gramStart"/>
      <w:r w:rsidRPr="00EA6840">
        <w:rPr>
          <w:bCs/>
        </w:rPr>
        <w:t>may</w:t>
      </w:r>
      <w:proofErr w:type="gramEnd"/>
      <w:r w:rsidRPr="00EA6840">
        <w:rPr>
          <w:bCs/>
        </w:rPr>
        <w:t xml:space="preserve"> be affixed, on the condition that they do not adversely affect the luminous characteristics.”</w:t>
      </w:r>
    </w:p>
    <w:p w:rsidR="0036339F" w:rsidRPr="00EA6840" w:rsidRDefault="0036339F" w:rsidP="00C51879">
      <w:pPr>
        <w:spacing w:after="120"/>
        <w:ind w:left="2268" w:right="1134" w:hanging="1134"/>
        <w:jc w:val="both"/>
      </w:pPr>
      <w:r w:rsidRPr="00EA6840">
        <w:rPr>
          <w:i/>
        </w:rPr>
        <w:t>Insert a new paragraph 3.1</w:t>
      </w:r>
      <w:r w:rsidR="00BE305A">
        <w:rPr>
          <w:i/>
        </w:rPr>
        <w:t>0</w:t>
      </w:r>
      <w:r w:rsidRPr="00EA6840">
        <w:rPr>
          <w:i/>
        </w:rPr>
        <w:t xml:space="preserve">., </w:t>
      </w:r>
      <w:r w:rsidRPr="00EA6840">
        <w:t>to read:</w:t>
      </w:r>
    </w:p>
    <w:p w:rsidR="0036339F" w:rsidRPr="00EA6840" w:rsidRDefault="0036339F" w:rsidP="00C51879">
      <w:pPr>
        <w:spacing w:after="120"/>
        <w:ind w:left="2268" w:right="1134" w:hanging="1134"/>
        <w:jc w:val="both"/>
        <w:rPr>
          <w:b/>
          <w:bCs/>
        </w:rPr>
      </w:pPr>
      <w:r w:rsidRPr="00EA6840">
        <w:rPr>
          <w:b/>
          <w:bCs/>
        </w:rPr>
        <w:t>“3.1</w:t>
      </w:r>
      <w:r w:rsidR="00BE305A">
        <w:rPr>
          <w:b/>
          <w:bCs/>
        </w:rPr>
        <w:t>0</w:t>
      </w:r>
      <w:r w:rsidRPr="00EA6840">
        <w:rPr>
          <w:b/>
          <w:bCs/>
        </w:rPr>
        <w:t>.</w:t>
      </w:r>
      <w:r w:rsidRPr="00EA6840">
        <w:rPr>
          <w:b/>
          <w:bCs/>
        </w:rPr>
        <w:tab/>
        <w:t>LED substitute light sources - additional requirements</w:t>
      </w:r>
    </w:p>
    <w:p w:rsidR="0036339F" w:rsidRPr="00EA6840" w:rsidRDefault="0036339F" w:rsidP="00C51879">
      <w:pPr>
        <w:spacing w:after="120"/>
        <w:ind w:left="2268" w:right="1134" w:hanging="1134"/>
        <w:jc w:val="both"/>
        <w:rPr>
          <w:b/>
          <w:bCs/>
        </w:rPr>
      </w:pPr>
      <w:r w:rsidRPr="00EA6840">
        <w:rPr>
          <w:b/>
          <w:bCs/>
        </w:rPr>
        <w:t>3.1</w:t>
      </w:r>
      <w:r w:rsidR="00BE305A">
        <w:rPr>
          <w:b/>
          <w:bCs/>
        </w:rPr>
        <w:t>0</w:t>
      </w:r>
      <w:r w:rsidRPr="00EA6840">
        <w:rPr>
          <w:b/>
          <w:bCs/>
        </w:rPr>
        <w:t>.1.</w:t>
      </w:r>
      <w:r w:rsidRPr="00EA6840">
        <w:rPr>
          <w:b/>
          <w:bCs/>
        </w:rPr>
        <w:tab/>
        <w:t xml:space="preserve">The electrical current of the LED substitute light source shall be measured at ambient temperature of (23 ± 2) °C in still air after 1 minute and after 30 minutes of operation at test voltage.   </w:t>
      </w:r>
    </w:p>
    <w:p w:rsidR="0036339F" w:rsidRPr="00EA6840" w:rsidRDefault="0036339F" w:rsidP="00C51879">
      <w:pPr>
        <w:spacing w:after="120"/>
        <w:ind w:left="2268" w:right="1134"/>
        <w:jc w:val="both"/>
        <w:rPr>
          <w:b/>
          <w:bCs/>
        </w:rPr>
      </w:pPr>
      <w:r w:rsidRPr="00EA6840">
        <w:rPr>
          <w:b/>
          <w:bCs/>
        </w:rPr>
        <w:t xml:space="preserve">Measured values of the electrical current shall be within the limits as specified in the relevant data sheet of Annex 1.  </w:t>
      </w:r>
    </w:p>
    <w:p w:rsidR="0036339F" w:rsidRPr="00EA6840" w:rsidRDefault="0036339F" w:rsidP="00C51879">
      <w:pPr>
        <w:spacing w:after="120"/>
        <w:ind w:left="2268" w:right="1134" w:hanging="1134"/>
        <w:jc w:val="both"/>
        <w:rPr>
          <w:b/>
        </w:rPr>
      </w:pPr>
      <w:r w:rsidRPr="00EA6840">
        <w:rPr>
          <w:b/>
          <w:bCs/>
        </w:rPr>
        <w:t>3.1</w:t>
      </w:r>
      <w:r w:rsidR="00BE305A">
        <w:rPr>
          <w:b/>
          <w:bCs/>
        </w:rPr>
        <w:t>0</w:t>
      </w:r>
      <w:r w:rsidRPr="00EA6840">
        <w:rPr>
          <w:b/>
          <w:bCs/>
        </w:rPr>
        <w:t>.2.</w:t>
      </w:r>
      <w:r w:rsidRPr="00EA6840">
        <w:rPr>
          <w:b/>
          <w:bCs/>
        </w:rPr>
        <w:tab/>
      </w:r>
      <w:r w:rsidRPr="00EA6840">
        <w:rPr>
          <w:b/>
        </w:rPr>
        <w:t>The LED substitute light source shall comply with the technical requirements to an electrical/electronic sub-assembly (ESA) as specified by Regulation No. 10 and its series of amendments in force at the time of application for type approval.</w:t>
      </w:r>
    </w:p>
    <w:p w:rsidR="0036339F" w:rsidRPr="00EA6840" w:rsidRDefault="0036339F" w:rsidP="00C51879">
      <w:pPr>
        <w:spacing w:after="120"/>
        <w:ind w:left="2268" w:right="1134" w:hanging="1134"/>
        <w:jc w:val="both"/>
        <w:rPr>
          <w:b/>
        </w:rPr>
      </w:pPr>
      <w:r w:rsidRPr="00EA6840">
        <w:rPr>
          <w:b/>
        </w:rPr>
        <w:t>3.1</w:t>
      </w:r>
      <w:r w:rsidR="00BE305A">
        <w:rPr>
          <w:b/>
        </w:rPr>
        <w:t>0</w:t>
      </w:r>
      <w:r w:rsidRPr="00EA6840">
        <w:rPr>
          <w:b/>
        </w:rPr>
        <w:t>.3.</w:t>
      </w:r>
      <w:r w:rsidRPr="00EA6840">
        <w:rPr>
          <w:b/>
        </w:rPr>
        <w:tab/>
        <w:t>The LED substitute light source shall not emit light when activated for 2 milliseconds or shorter.”</w:t>
      </w:r>
    </w:p>
    <w:p w:rsidR="0036339F" w:rsidRPr="00EA6840" w:rsidRDefault="0036339F" w:rsidP="00C51879">
      <w:pPr>
        <w:spacing w:after="120"/>
        <w:ind w:left="2268" w:right="1134" w:hanging="1134"/>
        <w:jc w:val="both"/>
        <w:rPr>
          <w:i/>
        </w:rPr>
      </w:pPr>
      <w:r w:rsidRPr="00EA6840">
        <w:rPr>
          <w:i/>
        </w:rPr>
        <w:t>Annex 4,</w:t>
      </w:r>
      <w:r w:rsidR="00BE305A">
        <w:rPr>
          <w:i/>
        </w:rPr>
        <w:t xml:space="preserve"> </w:t>
      </w:r>
      <w:proofErr w:type="spellStart"/>
      <w:r w:rsidR="00BE305A">
        <w:rPr>
          <w:i/>
        </w:rPr>
        <w:t>indroductory</w:t>
      </w:r>
      <w:proofErr w:type="spellEnd"/>
      <w:r w:rsidR="00BE305A">
        <w:rPr>
          <w:i/>
        </w:rPr>
        <w:t xml:space="preserve"> part, </w:t>
      </w:r>
      <w:r w:rsidRPr="00EA6840">
        <w:t>amend to read:</w:t>
      </w:r>
    </w:p>
    <w:p w:rsidR="0036339F" w:rsidRPr="00EA6840" w:rsidRDefault="0036339F" w:rsidP="00C51879">
      <w:pPr>
        <w:spacing w:after="120"/>
        <w:ind w:left="1134" w:right="1134"/>
        <w:jc w:val="both"/>
        <w:rPr>
          <w:bCs/>
        </w:rPr>
      </w:pPr>
      <w:r w:rsidRPr="00EA6840">
        <w:rPr>
          <w:bCs/>
          <w:lang w:val="en-US"/>
        </w:rPr>
        <w:t>“</w:t>
      </w:r>
      <w:r w:rsidRPr="00EA6840">
        <w:rPr>
          <w:bCs/>
        </w:rPr>
        <w:t xml:space="preserve">Light sources of all categories with integrated </w:t>
      </w:r>
      <w:proofErr w:type="spellStart"/>
      <w:r w:rsidRPr="00EA6840">
        <w:rPr>
          <w:bCs/>
          <w:strike/>
        </w:rPr>
        <w:t>heatsink</w:t>
      </w:r>
      <w:proofErr w:type="spellEnd"/>
      <w:r w:rsidRPr="00EA6840">
        <w:rPr>
          <w:bCs/>
        </w:rPr>
        <w:t xml:space="preserve"> </w:t>
      </w:r>
      <w:r w:rsidRPr="00EA6840">
        <w:rPr>
          <w:b/>
          <w:bCs/>
          <w:lang w:val="en-US"/>
        </w:rPr>
        <w:t xml:space="preserve">heat sink </w:t>
      </w:r>
      <w:r w:rsidRPr="00EA6840">
        <w:rPr>
          <w:bCs/>
        </w:rPr>
        <w:t xml:space="preserve">shall be measured </w:t>
      </w:r>
      <w:r w:rsidRPr="00EA6840">
        <w:rPr>
          <w:b/>
          <w:bCs/>
        </w:rPr>
        <w:t>in still air</w:t>
      </w:r>
      <w:r w:rsidRPr="00EA6840">
        <w:rPr>
          <w:bCs/>
        </w:rPr>
        <w:t xml:space="preserve"> at ambient temperature of  (23 ± 2) °C </w:t>
      </w:r>
      <w:r w:rsidRPr="00EA6840">
        <w:rPr>
          <w:bCs/>
          <w:strike/>
        </w:rPr>
        <w:t>in still air</w:t>
      </w:r>
      <w:r w:rsidRPr="00EA6840">
        <w:rPr>
          <w:b/>
          <w:bCs/>
          <w:lang w:val="en-US"/>
        </w:rPr>
        <w:t>,</w:t>
      </w:r>
      <w:r w:rsidRPr="00EA6840">
        <w:rPr>
          <w:bCs/>
          <w:lang w:val="en-US"/>
        </w:rPr>
        <w:t xml:space="preserve"> </w:t>
      </w:r>
      <w:r w:rsidRPr="00EA6840">
        <w:rPr>
          <w:bCs/>
        </w:rPr>
        <w:t xml:space="preserve"> </w:t>
      </w:r>
      <w:r w:rsidRPr="00EA6840">
        <w:rPr>
          <w:b/>
          <w:bCs/>
          <w:lang w:val="en-US"/>
        </w:rPr>
        <w:t>and</w:t>
      </w:r>
      <w:r w:rsidRPr="00EA6840">
        <w:rPr>
          <w:b/>
          <w:bCs/>
        </w:rPr>
        <w:t xml:space="preserve"> </w:t>
      </w:r>
      <w:r w:rsidRPr="00EA6840">
        <w:rPr>
          <w:b/>
          <w:bCs/>
          <w:lang w:val="en-US"/>
        </w:rPr>
        <w:t>at an additional ambient temperature if indicated in the relevant light source sheet.</w:t>
      </w:r>
      <w:r w:rsidRPr="00EA6840">
        <w:rPr>
          <w:bCs/>
          <w:lang w:val="en-US"/>
        </w:rPr>
        <w:t xml:space="preserve">  </w:t>
      </w:r>
      <w:r w:rsidRPr="00EA6840">
        <w:rPr>
          <w:bCs/>
        </w:rPr>
        <w:t>For these measurements the minimum free space as defined in the data sheets shall be maintained.</w:t>
      </w:r>
    </w:p>
    <w:p w:rsidR="0036339F" w:rsidRPr="00EA6840" w:rsidRDefault="0036339F" w:rsidP="00C51879">
      <w:pPr>
        <w:spacing w:after="120"/>
        <w:ind w:left="1134" w:right="1134"/>
        <w:jc w:val="both"/>
        <w:rPr>
          <w:lang w:val="en-US"/>
        </w:rPr>
      </w:pPr>
      <w:r w:rsidRPr="00EA6840">
        <w:rPr>
          <w:bCs/>
        </w:rPr>
        <w:lastRenderedPageBreak/>
        <w:t>Light sources of all categories with definition of a temperature T</w:t>
      </w:r>
      <w:r w:rsidRPr="00EA6840">
        <w:rPr>
          <w:bCs/>
          <w:vertAlign w:val="subscript"/>
        </w:rPr>
        <w:t>b</w:t>
      </w:r>
      <w:r w:rsidRPr="00EA6840">
        <w:rPr>
          <w:bCs/>
        </w:rPr>
        <w:t xml:space="preserve"> shall be measured by stabilising the T</w:t>
      </w:r>
      <w:r w:rsidRPr="00EA6840">
        <w:rPr>
          <w:bCs/>
          <w:vertAlign w:val="subscript"/>
        </w:rPr>
        <w:t>b</w:t>
      </w:r>
      <w:r w:rsidRPr="00EA6840">
        <w:rPr>
          <w:bCs/>
        </w:rPr>
        <w:t>-point at the specific temperature defined on the category data sheet</w:t>
      </w:r>
      <w:r>
        <w:rPr>
          <w:lang w:val="en-US"/>
        </w:rPr>
        <w:t>...”</w:t>
      </w:r>
    </w:p>
    <w:p w:rsidR="0036339F" w:rsidRPr="00EA6840" w:rsidRDefault="0036339F" w:rsidP="00C51879">
      <w:pPr>
        <w:spacing w:after="120"/>
        <w:ind w:left="2268" w:right="1134" w:hanging="1134"/>
        <w:jc w:val="both"/>
        <w:rPr>
          <w:i/>
        </w:rPr>
      </w:pPr>
      <w:r w:rsidRPr="00EA6840">
        <w:rPr>
          <w:i/>
        </w:rPr>
        <w:t xml:space="preserve">Annex 5, </w:t>
      </w:r>
      <w:r w:rsidR="00BE305A">
        <w:rPr>
          <w:i/>
        </w:rPr>
        <w:t xml:space="preserve">paragraph </w:t>
      </w:r>
      <w:proofErr w:type="gramStart"/>
      <w:r w:rsidR="00BE305A">
        <w:rPr>
          <w:i/>
        </w:rPr>
        <w:t>1.,</w:t>
      </w:r>
      <w:proofErr w:type="gramEnd"/>
      <w:r w:rsidR="00BE305A">
        <w:rPr>
          <w:i/>
        </w:rPr>
        <w:t xml:space="preserve"> </w:t>
      </w:r>
      <w:r w:rsidRPr="00EA6840">
        <w:t>amend to read:</w:t>
      </w:r>
    </w:p>
    <w:p w:rsidR="0036339F" w:rsidRPr="00EA6840" w:rsidRDefault="0036339F" w:rsidP="00C51879">
      <w:pPr>
        <w:spacing w:after="120"/>
        <w:ind w:left="2268" w:right="1134" w:hanging="1134"/>
        <w:jc w:val="both"/>
        <w:rPr>
          <w:bCs/>
          <w:snapToGrid w:val="0"/>
        </w:rPr>
      </w:pPr>
      <w:r w:rsidRPr="00EA6840">
        <w:rPr>
          <w:bCs/>
          <w:snapToGrid w:val="0"/>
        </w:rPr>
        <w:t>“1.</w:t>
      </w:r>
      <w:r w:rsidRPr="00EA6840">
        <w:rPr>
          <w:bCs/>
          <w:snapToGrid w:val="0"/>
        </w:rPr>
        <w:tab/>
        <w:t>General</w:t>
      </w:r>
    </w:p>
    <w:p w:rsidR="0036339F" w:rsidRPr="00EA6840" w:rsidRDefault="0036339F" w:rsidP="00C51879">
      <w:pPr>
        <w:spacing w:after="120"/>
        <w:ind w:left="2268" w:right="1134" w:hanging="1134"/>
        <w:jc w:val="both"/>
        <w:rPr>
          <w:bCs/>
          <w:snapToGrid w:val="0"/>
        </w:rPr>
      </w:pPr>
      <w:r w:rsidRPr="00EA6840">
        <w:rPr>
          <w:bCs/>
          <w:snapToGrid w:val="0"/>
        </w:rPr>
        <w:tab/>
        <w:t>The conformity requirements shall be considered satisfied from a photometric, geometrical, visual and electrical standpoint if the specified tolerances for production LED light sources in the relevant data sheet of Annex 1</w:t>
      </w:r>
      <w:r w:rsidRPr="00EA6840">
        <w:rPr>
          <w:b/>
          <w:bCs/>
          <w:snapToGrid w:val="0"/>
        </w:rPr>
        <w:t>,</w:t>
      </w:r>
      <w:r w:rsidRPr="00EA6840">
        <w:rPr>
          <w:bCs/>
          <w:snapToGrid w:val="0"/>
        </w:rPr>
        <w:t xml:space="preserve"> </w:t>
      </w:r>
      <w:r w:rsidRPr="00EA6840">
        <w:rPr>
          <w:bCs/>
          <w:strike/>
          <w:snapToGrid w:val="0"/>
        </w:rPr>
        <w:t>and</w:t>
      </w:r>
      <w:r w:rsidRPr="00EA6840">
        <w:rPr>
          <w:bCs/>
          <w:snapToGrid w:val="0"/>
        </w:rPr>
        <w:t xml:space="preserve"> the relevant data sheet for the caps</w:t>
      </w:r>
      <w:r w:rsidRPr="00EA6840">
        <w:rPr>
          <w:b/>
          <w:bCs/>
          <w:snapToGrid w:val="0"/>
        </w:rPr>
        <w:t xml:space="preserve"> and in the case of LED substitute light sources the additional requirements to LED substitute light sources in paragraph 3.1</w:t>
      </w:r>
      <w:r w:rsidR="00AD2305">
        <w:rPr>
          <w:b/>
          <w:bCs/>
          <w:snapToGrid w:val="0"/>
        </w:rPr>
        <w:t>0</w:t>
      </w:r>
      <w:r w:rsidR="008254B2">
        <w:rPr>
          <w:b/>
          <w:bCs/>
          <w:snapToGrid w:val="0"/>
        </w:rPr>
        <w:t>.</w:t>
      </w:r>
      <w:r w:rsidRPr="00EA6840">
        <w:rPr>
          <w:b/>
          <w:bCs/>
          <w:snapToGrid w:val="0"/>
        </w:rPr>
        <w:t xml:space="preserve"> </w:t>
      </w:r>
      <w:proofErr w:type="gramStart"/>
      <w:r w:rsidRPr="00EA6840">
        <w:rPr>
          <w:bCs/>
          <w:snapToGrid w:val="0"/>
        </w:rPr>
        <w:t>are</w:t>
      </w:r>
      <w:proofErr w:type="gramEnd"/>
      <w:r w:rsidRPr="00EA6840">
        <w:rPr>
          <w:bCs/>
          <w:snapToGrid w:val="0"/>
        </w:rPr>
        <w:t xml:space="preserve"> met.</w:t>
      </w:r>
      <w:r w:rsidR="008254B2">
        <w:rPr>
          <w:bCs/>
          <w:snapToGrid w:val="0"/>
        </w:rPr>
        <w:t>"</w:t>
      </w:r>
      <w:r w:rsidRPr="00EA6840">
        <w:rPr>
          <w:bCs/>
          <w:snapToGrid w:val="0"/>
        </w:rPr>
        <w:t xml:space="preserve">  </w:t>
      </w:r>
    </w:p>
    <w:p w:rsidR="0036339F" w:rsidRPr="00EA6840" w:rsidRDefault="0036339F" w:rsidP="00C51879">
      <w:pPr>
        <w:spacing w:after="120"/>
        <w:ind w:left="2268" w:right="1134" w:hanging="1134"/>
        <w:rPr>
          <w:i/>
        </w:rPr>
      </w:pPr>
      <w:r w:rsidRPr="00EA6840">
        <w:rPr>
          <w:i/>
        </w:rPr>
        <w:t xml:space="preserve">Annex 6, table 1, </w:t>
      </w:r>
      <w:proofErr w:type="gramStart"/>
      <w:r w:rsidRPr="00EA6840">
        <w:t>insert</w:t>
      </w:r>
      <w:proofErr w:type="gramEnd"/>
      <w:r w:rsidRPr="00EA6840">
        <w:t xml:space="preserve"> an additional row at the bottom, to read:</w:t>
      </w:r>
    </w:p>
    <w:p w:rsidR="0036339F" w:rsidRPr="00EA6840" w:rsidRDefault="0036339F" w:rsidP="00C51879">
      <w:pPr>
        <w:spacing w:after="120"/>
        <w:ind w:left="1134" w:right="1134"/>
        <w:outlineLvl w:val="0"/>
        <w:rPr>
          <w:snapToGrid w:val="0"/>
        </w:rPr>
      </w:pPr>
      <w:r w:rsidRPr="00EA6840">
        <w:rPr>
          <w:snapToGrid w:val="0"/>
        </w:rPr>
        <w:t>“Table 1</w:t>
      </w:r>
    </w:p>
    <w:p w:rsidR="0036339F" w:rsidRPr="00EA6840" w:rsidRDefault="0036339F" w:rsidP="00C51879">
      <w:pPr>
        <w:spacing w:after="120"/>
        <w:ind w:left="1134" w:right="1134"/>
        <w:outlineLvl w:val="0"/>
        <w:rPr>
          <w:b/>
          <w:snapToGrid w:val="0"/>
        </w:rPr>
      </w:pPr>
      <w:r w:rsidRPr="00EA6840">
        <w:rPr>
          <w:b/>
          <w:snapToGrid w:val="0"/>
        </w:rPr>
        <w:t>Characteristics</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2217"/>
        <w:gridCol w:w="1701"/>
        <w:gridCol w:w="1779"/>
      </w:tblGrid>
      <w:tr w:rsidR="0036339F" w:rsidRPr="008254B2" w:rsidTr="0062604B">
        <w:trPr>
          <w:cantSplit/>
          <w:jc w:val="center"/>
        </w:trPr>
        <w:tc>
          <w:tcPr>
            <w:tcW w:w="2114" w:type="dxa"/>
            <w:tcBorders>
              <w:bottom w:val="single" w:sz="12" w:space="0" w:color="auto"/>
            </w:tcBorders>
            <w:vAlign w:val="center"/>
          </w:tcPr>
          <w:p w:rsidR="0036339F" w:rsidRPr="008254B2" w:rsidRDefault="0036339F" w:rsidP="008254B2">
            <w:pPr>
              <w:rPr>
                <w:bCs/>
                <w:i/>
                <w:snapToGrid w:val="0"/>
                <w:sz w:val="16"/>
                <w:szCs w:val="16"/>
              </w:rPr>
            </w:pPr>
            <w:r w:rsidRPr="008254B2">
              <w:rPr>
                <w:bCs/>
                <w:i/>
                <w:snapToGrid w:val="0"/>
                <w:sz w:val="16"/>
                <w:szCs w:val="16"/>
              </w:rPr>
              <w:t>Grouping of characteristics</w:t>
            </w:r>
          </w:p>
        </w:tc>
        <w:tc>
          <w:tcPr>
            <w:tcW w:w="2217" w:type="dxa"/>
            <w:tcBorders>
              <w:bottom w:val="single" w:sz="12" w:space="0" w:color="auto"/>
            </w:tcBorders>
            <w:vAlign w:val="center"/>
          </w:tcPr>
          <w:p w:rsidR="0036339F" w:rsidRPr="008254B2" w:rsidRDefault="0036339F" w:rsidP="0062604B">
            <w:pPr>
              <w:jc w:val="center"/>
              <w:rPr>
                <w:bCs/>
                <w:i/>
                <w:snapToGrid w:val="0"/>
                <w:sz w:val="16"/>
                <w:szCs w:val="16"/>
              </w:rPr>
            </w:pPr>
            <w:r w:rsidRPr="008254B2">
              <w:rPr>
                <w:bCs/>
                <w:i/>
                <w:snapToGrid w:val="0"/>
                <w:sz w:val="16"/>
                <w:szCs w:val="16"/>
              </w:rPr>
              <w:t>Grouping* of test records between</w:t>
            </w:r>
            <w:r w:rsidR="0062604B">
              <w:rPr>
                <w:bCs/>
                <w:i/>
                <w:snapToGrid w:val="0"/>
                <w:sz w:val="16"/>
                <w:szCs w:val="16"/>
              </w:rPr>
              <w:t xml:space="preserve"> </w:t>
            </w:r>
            <w:r w:rsidRPr="008254B2">
              <w:rPr>
                <w:bCs/>
                <w:i/>
                <w:snapToGrid w:val="0"/>
                <w:sz w:val="16"/>
                <w:szCs w:val="16"/>
              </w:rPr>
              <w:t>LED light source types</w:t>
            </w:r>
          </w:p>
        </w:tc>
        <w:tc>
          <w:tcPr>
            <w:tcW w:w="1701" w:type="dxa"/>
            <w:tcBorders>
              <w:bottom w:val="single" w:sz="12" w:space="0" w:color="auto"/>
            </w:tcBorders>
            <w:vAlign w:val="center"/>
          </w:tcPr>
          <w:p w:rsidR="0036339F" w:rsidRPr="008254B2" w:rsidRDefault="0036339F" w:rsidP="008254B2">
            <w:pPr>
              <w:jc w:val="center"/>
              <w:rPr>
                <w:bCs/>
                <w:i/>
                <w:snapToGrid w:val="0"/>
                <w:sz w:val="16"/>
                <w:szCs w:val="16"/>
              </w:rPr>
            </w:pPr>
            <w:r w:rsidRPr="008254B2">
              <w:rPr>
                <w:bCs/>
                <w:i/>
                <w:snapToGrid w:val="0"/>
                <w:sz w:val="16"/>
                <w:szCs w:val="16"/>
              </w:rPr>
              <w:t>Minimum 12 monthly sample per grouping*</w:t>
            </w:r>
          </w:p>
        </w:tc>
        <w:tc>
          <w:tcPr>
            <w:tcW w:w="1779" w:type="dxa"/>
            <w:tcBorders>
              <w:bottom w:val="single" w:sz="12" w:space="0" w:color="auto"/>
            </w:tcBorders>
            <w:vAlign w:val="center"/>
          </w:tcPr>
          <w:p w:rsidR="0036339F" w:rsidRPr="008254B2" w:rsidRDefault="0036339F" w:rsidP="008254B2">
            <w:pPr>
              <w:jc w:val="center"/>
              <w:rPr>
                <w:bCs/>
                <w:i/>
                <w:snapToGrid w:val="0"/>
                <w:sz w:val="16"/>
                <w:szCs w:val="16"/>
              </w:rPr>
            </w:pPr>
            <w:r w:rsidRPr="008254B2">
              <w:rPr>
                <w:bCs/>
                <w:i/>
                <w:snapToGrid w:val="0"/>
                <w:sz w:val="16"/>
                <w:szCs w:val="16"/>
              </w:rPr>
              <w:t>Acceptable level of non-compliance per grouping of characteristics (%)</w:t>
            </w:r>
          </w:p>
        </w:tc>
      </w:tr>
      <w:tr w:rsidR="0036339F" w:rsidRPr="008254B2" w:rsidTr="0062604B">
        <w:trPr>
          <w:cantSplit/>
          <w:jc w:val="center"/>
        </w:trPr>
        <w:tc>
          <w:tcPr>
            <w:tcW w:w="2114" w:type="dxa"/>
            <w:tcBorders>
              <w:top w:val="single" w:sz="12" w:space="0" w:color="auto"/>
            </w:tcBorders>
            <w:vAlign w:val="center"/>
          </w:tcPr>
          <w:p w:rsidR="0036339F" w:rsidRPr="008254B2" w:rsidRDefault="0036339F" w:rsidP="008254B2">
            <w:pPr>
              <w:spacing w:before="40" w:after="40"/>
              <w:rPr>
                <w:bCs/>
                <w:snapToGrid w:val="0"/>
                <w:sz w:val="18"/>
                <w:szCs w:val="18"/>
              </w:rPr>
            </w:pPr>
            <w:r w:rsidRPr="008254B2">
              <w:rPr>
                <w:bCs/>
                <w:snapToGrid w:val="0"/>
                <w:sz w:val="18"/>
                <w:szCs w:val="18"/>
              </w:rPr>
              <w:t>Marking, legibility and durability</w:t>
            </w:r>
          </w:p>
        </w:tc>
        <w:tc>
          <w:tcPr>
            <w:tcW w:w="2217" w:type="dxa"/>
            <w:tcBorders>
              <w:top w:val="single" w:sz="12" w:space="0" w:color="auto"/>
            </w:tcBorders>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with the same external dimensions</w:t>
            </w:r>
          </w:p>
        </w:tc>
        <w:tc>
          <w:tcPr>
            <w:tcW w:w="1701" w:type="dxa"/>
            <w:tcBorders>
              <w:top w:val="single" w:sz="12" w:space="0" w:color="auto"/>
            </w:tcBorders>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315</w:t>
            </w:r>
          </w:p>
        </w:tc>
        <w:tc>
          <w:tcPr>
            <w:tcW w:w="1779" w:type="dxa"/>
            <w:tcBorders>
              <w:top w:val="single" w:sz="12" w:space="0" w:color="auto"/>
            </w:tcBorders>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1</w:t>
            </w:r>
          </w:p>
        </w:tc>
      </w:tr>
      <w:tr w:rsidR="0036339F" w:rsidRPr="008254B2" w:rsidTr="0062604B">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External LED light source</w:t>
            </w:r>
            <w:r w:rsidRPr="008254B2">
              <w:rPr>
                <w:bCs/>
                <w:i/>
                <w:snapToGrid w:val="0"/>
                <w:sz w:val="18"/>
                <w:szCs w:val="18"/>
              </w:rPr>
              <w:t xml:space="preserve"> </w:t>
            </w:r>
            <w:r w:rsidRPr="008254B2">
              <w:rPr>
                <w:bCs/>
                <w:snapToGrid w:val="0"/>
                <w:sz w:val="18"/>
                <w:szCs w:val="18"/>
              </w:rPr>
              <w:t>dimensions (excluding cap/base)</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701"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200</w:t>
            </w:r>
          </w:p>
        </w:tc>
        <w:tc>
          <w:tcPr>
            <w:tcW w:w="1779"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1</w:t>
            </w:r>
          </w:p>
        </w:tc>
      </w:tr>
      <w:tr w:rsidR="0036339F" w:rsidRPr="008254B2" w:rsidTr="0062604B">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Dimensions of caps and bases</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701"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200</w:t>
            </w:r>
          </w:p>
        </w:tc>
        <w:tc>
          <w:tcPr>
            <w:tcW w:w="1779"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6.5</w:t>
            </w:r>
          </w:p>
        </w:tc>
      </w:tr>
      <w:tr w:rsidR="0036339F" w:rsidRPr="008254B2" w:rsidTr="0062604B">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Dimensions related to light emitting surface and internal elements**</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701"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200</w:t>
            </w:r>
          </w:p>
        </w:tc>
        <w:tc>
          <w:tcPr>
            <w:tcW w:w="1779"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6.5</w:t>
            </w:r>
          </w:p>
        </w:tc>
      </w:tr>
      <w:tr w:rsidR="0036339F" w:rsidRPr="008254B2" w:rsidTr="0062604B">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Initial readings, power, colour and luminous flux**</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701"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200</w:t>
            </w:r>
          </w:p>
        </w:tc>
        <w:tc>
          <w:tcPr>
            <w:tcW w:w="1779" w:type="dxa"/>
            <w:vAlign w:val="center"/>
          </w:tcPr>
          <w:p w:rsidR="0036339F" w:rsidRPr="008254B2" w:rsidRDefault="0036339F" w:rsidP="008254B2">
            <w:pPr>
              <w:spacing w:before="40" w:after="40"/>
              <w:jc w:val="center"/>
              <w:rPr>
                <w:bCs/>
                <w:snapToGrid w:val="0"/>
                <w:sz w:val="18"/>
                <w:szCs w:val="18"/>
              </w:rPr>
            </w:pPr>
            <w:r w:rsidRPr="008254B2">
              <w:rPr>
                <w:bCs/>
                <w:snapToGrid w:val="0"/>
                <w:sz w:val="18"/>
                <w:szCs w:val="18"/>
              </w:rPr>
              <w:t>1</w:t>
            </w:r>
          </w:p>
        </w:tc>
      </w:tr>
      <w:tr w:rsidR="0036339F" w:rsidRPr="008254B2" w:rsidTr="0062604B">
        <w:trPr>
          <w:cantSplit/>
          <w:jc w:val="center"/>
        </w:trPr>
        <w:tc>
          <w:tcPr>
            <w:tcW w:w="2114" w:type="dxa"/>
            <w:tcBorders>
              <w:bottom w:val="single" w:sz="4" w:space="0" w:color="auto"/>
            </w:tcBorders>
            <w:vAlign w:val="center"/>
          </w:tcPr>
          <w:p w:rsidR="0036339F" w:rsidRPr="008254B2" w:rsidRDefault="0036339F" w:rsidP="008254B2">
            <w:pPr>
              <w:rPr>
                <w:bCs/>
                <w:sz w:val="18"/>
                <w:szCs w:val="18"/>
                <w:lang w:val="en-US"/>
              </w:rPr>
            </w:pPr>
            <w:r w:rsidRPr="008254B2">
              <w:rPr>
                <w:bCs/>
                <w:sz w:val="18"/>
                <w:szCs w:val="18"/>
              </w:rPr>
              <w:t>Normalised</w:t>
            </w:r>
            <w:r w:rsidRPr="008254B2">
              <w:rPr>
                <w:bCs/>
                <w:sz w:val="18"/>
                <w:szCs w:val="18"/>
                <w:lang w:val="en-US"/>
              </w:rPr>
              <w:t xml:space="preserve"> luminous intensity or cumulative luminous flux distribution</w:t>
            </w:r>
          </w:p>
        </w:tc>
        <w:tc>
          <w:tcPr>
            <w:tcW w:w="2217" w:type="dxa"/>
            <w:tcBorders>
              <w:bottom w:val="single" w:sz="4" w:space="0" w:color="auto"/>
            </w:tcBorders>
            <w:vAlign w:val="center"/>
          </w:tcPr>
          <w:p w:rsidR="0036339F" w:rsidRPr="008254B2" w:rsidRDefault="0036339F" w:rsidP="008254B2">
            <w:pPr>
              <w:rPr>
                <w:bCs/>
                <w:sz w:val="18"/>
                <w:szCs w:val="18"/>
              </w:rPr>
            </w:pPr>
            <w:r w:rsidRPr="008254B2">
              <w:rPr>
                <w:bCs/>
                <w:sz w:val="18"/>
                <w:szCs w:val="18"/>
              </w:rPr>
              <w:t xml:space="preserve">All </w:t>
            </w:r>
            <w:r w:rsidRPr="008254B2">
              <w:rPr>
                <w:bCs/>
                <w:snapToGrid w:val="0"/>
                <w:sz w:val="18"/>
                <w:szCs w:val="18"/>
              </w:rPr>
              <w:t xml:space="preserve">LED light sources </w:t>
            </w:r>
            <w:r w:rsidRPr="008254B2">
              <w:rPr>
                <w:bCs/>
                <w:sz w:val="18"/>
                <w:szCs w:val="18"/>
              </w:rPr>
              <w:t>of one type</w:t>
            </w:r>
          </w:p>
        </w:tc>
        <w:tc>
          <w:tcPr>
            <w:tcW w:w="1701" w:type="dxa"/>
            <w:tcBorders>
              <w:bottom w:val="single" w:sz="4" w:space="0" w:color="auto"/>
            </w:tcBorders>
            <w:vAlign w:val="center"/>
          </w:tcPr>
          <w:p w:rsidR="0036339F" w:rsidRPr="008254B2" w:rsidRDefault="0036339F" w:rsidP="008254B2">
            <w:pPr>
              <w:jc w:val="center"/>
              <w:rPr>
                <w:bCs/>
                <w:sz w:val="18"/>
                <w:szCs w:val="18"/>
              </w:rPr>
            </w:pPr>
            <w:r w:rsidRPr="008254B2">
              <w:rPr>
                <w:bCs/>
                <w:sz w:val="18"/>
                <w:szCs w:val="18"/>
              </w:rPr>
              <w:t>20</w:t>
            </w:r>
          </w:p>
        </w:tc>
        <w:tc>
          <w:tcPr>
            <w:tcW w:w="1779" w:type="dxa"/>
            <w:tcBorders>
              <w:bottom w:val="single" w:sz="4" w:space="0" w:color="auto"/>
            </w:tcBorders>
            <w:vAlign w:val="center"/>
          </w:tcPr>
          <w:p w:rsidR="0036339F" w:rsidRPr="008254B2" w:rsidRDefault="0036339F" w:rsidP="008254B2">
            <w:pPr>
              <w:jc w:val="center"/>
              <w:rPr>
                <w:bCs/>
                <w:sz w:val="18"/>
                <w:szCs w:val="18"/>
              </w:rPr>
            </w:pPr>
            <w:r w:rsidRPr="008254B2">
              <w:rPr>
                <w:bCs/>
                <w:sz w:val="18"/>
                <w:szCs w:val="18"/>
              </w:rPr>
              <w:t>6.5</w:t>
            </w:r>
          </w:p>
        </w:tc>
      </w:tr>
      <w:tr w:rsidR="0036339F" w:rsidRPr="008254B2" w:rsidTr="0062604B">
        <w:trPr>
          <w:cantSplit/>
          <w:jc w:val="center"/>
        </w:trPr>
        <w:tc>
          <w:tcPr>
            <w:tcW w:w="2114" w:type="dxa"/>
            <w:tcBorders>
              <w:bottom w:val="single" w:sz="12" w:space="0" w:color="auto"/>
            </w:tcBorders>
            <w:vAlign w:val="center"/>
          </w:tcPr>
          <w:p w:rsidR="0036339F" w:rsidRPr="008254B2" w:rsidRDefault="0036339F" w:rsidP="008254B2">
            <w:pPr>
              <w:rPr>
                <w:b/>
                <w:bCs/>
                <w:sz w:val="18"/>
                <w:szCs w:val="18"/>
                <w:lang w:val="en-US"/>
              </w:rPr>
            </w:pPr>
            <w:r w:rsidRPr="008254B2">
              <w:rPr>
                <w:b/>
                <w:bCs/>
                <w:sz w:val="18"/>
                <w:szCs w:val="18"/>
                <w:lang w:val="en-US"/>
              </w:rPr>
              <w:t>Electrical current</w:t>
            </w:r>
            <w:r w:rsidRPr="008254B2">
              <w:rPr>
                <w:b/>
                <w:sz w:val="18"/>
                <w:szCs w:val="18"/>
              </w:rPr>
              <w:t xml:space="preserve"> </w:t>
            </w:r>
            <w:r w:rsidRPr="008254B2">
              <w:rPr>
                <w:b/>
                <w:bCs/>
                <w:sz w:val="18"/>
                <w:szCs w:val="18"/>
                <w:lang w:val="en-US"/>
              </w:rPr>
              <w:t>***</w:t>
            </w:r>
          </w:p>
        </w:tc>
        <w:tc>
          <w:tcPr>
            <w:tcW w:w="2217" w:type="dxa"/>
            <w:tcBorders>
              <w:bottom w:val="single" w:sz="12" w:space="0" w:color="auto"/>
            </w:tcBorders>
            <w:vAlign w:val="center"/>
          </w:tcPr>
          <w:p w:rsidR="0036339F" w:rsidRPr="008254B2" w:rsidRDefault="0036339F" w:rsidP="008254B2">
            <w:pPr>
              <w:rPr>
                <w:b/>
                <w:bCs/>
                <w:sz w:val="18"/>
                <w:szCs w:val="18"/>
              </w:rPr>
            </w:pPr>
            <w:r w:rsidRPr="008254B2">
              <w:rPr>
                <w:b/>
                <w:bCs/>
                <w:snapToGrid w:val="0"/>
                <w:sz w:val="18"/>
                <w:szCs w:val="18"/>
              </w:rPr>
              <w:t>All LED light sources of one type</w:t>
            </w:r>
          </w:p>
        </w:tc>
        <w:tc>
          <w:tcPr>
            <w:tcW w:w="1701" w:type="dxa"/>
            <w:tcBorders>
              <w:bottom w:val="single" w:sz="12" w:space="0" w:color="auto"/>
            </w:tcBorders>
            <w:vAlign w:val="center"/>
          </w:tcPr>
          <w:p w:rsidR="0036339F" w:rsidRPr="008254B2" w:rsidRDefault="0036339F" w:rsidP="008254B2">
            <w:pPr>
              <w:jc w:val="center"/>
              <w:rPr>
                <w:b/>
                <w:bCs/>
                <w:sz w:val="18"/>
                <w:szCs w:val="18"/>
              </w:rPr>
            </w:pPr>
            <w:r w:rsidRPr="008254B2">
              <w:rPr>
                <w:b/>
                <w:bCs/>
                <w:sz w:val="18"/>
                <w:szCs w:val="18"/>
              </w:rPr>
              <w:t>20</w:t>
            </w:r>
          </w:p>
        </w:tc>
        <w:tc>
          <w:tcPr>
            <w:tcW w:w="1779" w:type="dxa"/>
            <w:tcBorders>
              <w:bottom w:val="single" w:sz="12" w:space="0" w:color="auto"/>
            </w:tcBorders>
            <w:vAlign w:val="center"/>
          </w:tcPr>
          <w:p w:rsidR="0036339F" w:rsidRPr="008254B2" w:rsidRDefault="0036339F" w:rsidP="008254B2">
            <w:pPr>
              <w:jc w:val="center"/>
              <w:rPr>
                <w:b/>
                <w:bCs/>
                <w:sz w:val="18"/>
                <w:szCs w:val="18"/>
              </w:rPr>
            </w:pPr>
            <w:r w:rsidRPr="008254B2">
              <w:rPr>
                <w:b/>
                <w:bCs/>
                <w:sz w:val="18"/>
                <w:szCs w:val="18"/>
              </w:rPr>
              <w:t>1</w:t>
            </w:r>
          </w:p>
        </w:tc>
      </w:tr>
    </w:tbl>
    <w:p w:rsidR="0036339F" w:rsidRPr="00EA6840" w:rsidRDefault="0036339F" w:rsidP="0062604B">
      <w:pPr>
        <w:spacing w:before="120" w:after="120"/>
        <w:ind w:left="1134" w:right="1134"/>
        <w:jc w:val="both"/>
        <w:rPr>
          <w:snapToGrid w:val="0"/>
          <w:sz w:val="18"/>
          <w:szCs w:val="18"/>
        </w:rPr>
      </w:pPr>
      <w:r w:rsidRPr="00EA6840">
        <w:rPr>
          <w:snapToGrid w:val="0"/>
          <w:sz w:val="18"/>
          <w:szCs w:val="18"/>
        </w:rPr>
        <w:t>*</w:t>
      </w:r>
      <w:r w:rsidRPr="00EA684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rsidR="0036339F" w:rsidRPr="00EA6840" w:rsidRDefault="0036339F" w:rsidP="0062604B">
      <w:pPr>
        <w:spacing w:after="120"/>
        <w:ind w:left="1134" w:right="1134"/>
        <w:jc w:val="both"/>
        <w:rPr>
          <w:snapToGrid w:val="0"/>
          <w:sz w:val="18"/>
          <w:szCs w:val="18"/>
        </w:rPr>
      </w:pPr>
      <w:r w:rsidRPr="00EA6840">
        <w:rPr>
          <w:snapToGrid w:val="0"/>
          <w:sz w:val="18"/>
          <w:szCs w:val="18"/>
        </w:rPr>
        <w:t>**</w:t>
      </w:r>
      <w:r w:rsidRPr="00EA6840">
        <w:rPr>
          <w:snapToGrid w:val="0"/>
          <w:sz w:val="18"/>
          <w:szCs w:val="18"/>
        </w:rPr>
        <w:tab/>
        <w:t>In case a LED light source has more than one light output function the grouping of characteristics (dimensions, power, colour and luminous flux) applies to each element separately.</w:t>
      </w:r>
    </w:p>
    <w:p w:rsidR="0036339F" w:rsidRDefault="0036339F" w:rsidP="0062604B">
      <w:pPr>
        <w:pStyle w:val="para0"/>
        <w:ind w:left="1134" w:firstLine="0"/>
        <w:rPr>
          <w:i/>
          <w:lang w:val="en-US"/>
        </w:rPr>
      </w:pPr>
      <w:r w:rsidRPr="00EA6840">
        <w:rPr>
          <w:b/>
          <w:sz w:val="18"/>
          <w:szCs w:val="18"/>
          <w:lang w:val="en-GB"/>
        </w:rPr>
        <w:t>***</w:t>
      </w:r>
      <w:r w:rsidRPr="00EA6840">
        <w:rPr>
          <w:b/>
          <w:sz w:val="18"/>
          <w:szCs w:val="18"/>
          <w:lang w:val="en-GB"/>
        </w:rPr>
        <w:tab/>
        <w:t>LED substitute light sources only</w:t>
      </w:r>
      <w:r w:rsidRPr="00EA6840">
        <w:rPr>
          <w:lang w:val="en-GB"/>
        </w:rPr>
        <w:t xml:space="preserve"> “</w:t>
      </w:r>
    </w:p>
    <w:p w:rsidR="00575D2C" w:rsidRPr="00525E6C" w:rsidRDefault="00914CE3" w:rsidP="00914CE3">
      <w:pPr>
        <w:pStyle w:val="HChG"/>
      </w:pPr>
      <w:r w:rsidRPr="00525E6C">
        <w:tab/>
      </w:r>
      <w:r w:rsidR="00575D2C" w:rsidRPr="00525E6C">
        <w:t>II.</w:t>
      </w:r>
      <w:r w:rsidR="00575D2C" w:rsidRPr="00525E6C">
        <w:tab/>
        <w:t>Justification</w:t>
      </w:r>
    </w:p>
    <w:p w:rsidR="00C51879" w:rsidRPr="00C51879" w:rsidRDefault="00C51879" w:rsidP="00C51879">
      <w:pPr>
        <w:suppressAutoHyphens w:val="0"/>
        <w:spacing w:before="120" w:after="120"/>
        <w:ind w:left="1134" w:right="1134"/>
        <w:jc w:val="both"/>
        <w:rPr>
          <w:bCs/>
          <w:lang w:eastAsia="it-IT"/>
        </w:rPr>
      </w:pPr>
      <w:r w:rsidRPr="00C51879">
        <w:rPr>
          <w:bCs/>
          <w:lang w:eastAsia="it-IT"/>
        </w:rPr>
        <w:t>1.</w:t>
      </w:r>
      <w:r w:rsidRPr="00C51879">
        <w:rPr>
          <w:bCs/>
          <w:lang w:eastAsia="it-IT"/>
        </w:rPr>
        <w:tab/>
        <w:t>An increasing number of LED retrofit light sources is present in the market and sold as replacements for approved light sources.</w:t>
      </w:r>
      <w:r w:rsidR="00822F65">
        <w:rPr>
          <w:bCs/>
          <w:lang w:eastAsia="it-IT"/>
        </w:rPr>
        <w:t xml:space="preserve"> </w:t>
      </w:r>
      <w:r w:rsidRPr="00C51879">
        <w:rPr>
          <w:bCs/>
          <w:lang w:eastAsia="it-IT"/>
        </w:rPr>
        <w:t xml:space="preserve">The public is stimulated by governments to use </w:t>
      </w:r>
      <w:r w:rsidRPr="00C51879">
        <w:rPr>
          <w:bCs/>
          <w:lang w:eastAsia="it-IT"/>
        </w:rPr>
        <w:lastRenderedPageBreak/>
        <w:t xml:space="preserve">energy efficient lighting like LEDs and is already getting used to LED retrofits in general lighting applications. However, the public is not aware that automotive LED retrofits in vehicles exterior lamps may bear a safety risk.  The public is not aware </w:t>
      </w:r>
      <w:r w:rsidR="00822F65">
        <w:rPr>
          <w:bCs/>
          <w:lang w:eastAsia="it-IT"/>
        </w:rPr>
        <w:t xml:space="preserve">either </w:t>
      </w:r>
      <w:r w:rsidRPr="00C51879">
        <w:rPr>
          <w:bCs/>
          <w:lang w:eastAsia="it-IT"/>
        </w:rPr>
        <w:t xml:space="preserve">that these LED retrofits are not allowed by many jurisdictions.  </w:t>
      </w:r>
    </w:p>
    <w:p w:rsidR="00C51879" w:rsidRPr="00C51879" w:rsidRDefault="00C51879" w:rsidP="00C51879">
      <w:pPr>
        <w:suppressAutoHyphens w:val="0"/>
        <w:spacing w:before="120" w:after="120"/>
        <w:ind w:left="1134" w:right="1134"/>
        <w:jc w:val="both"/>
        <w:rPr>
          <w:bCs/>
          <w:lang w:eastAsia="it-IT"/>
        </w:rPr>
      </w:pPr>
      <w:r w:rsidRPr="00C51879">
        <w:rPr>
          <w:bCs/>
          <w:lang w:eastAsia="it-IT"/>
        </w:rPr>
        <w:t>2.</w:t>
      </w:r>
      <w:r w:rsidRPr="00C51879">
        <w:rPr>
          <w:bCs/>
          <w:lang w:eastAsia="it-IT"/>
        </w:rPr>
        <w:tab/>
        <w:t xml:space="preserve">GTB conducted a feasibility study </w:t>
      </w:r>
      <w:r w:rsidR="00822F65">
        <w:rPr>
          <w:bCs/>
          <w:lang w:eastAsia="it-IT"/>
        </w:rPr>
        <w:t xml:space="preserve">of </w:t>
      </w:r>
      <w:r w:rsidRPr="00C51879">
        <w:rPr>
          <w:bCs/>
          <w:lang w:eastAsia="it-IT"/>
        </w:rPr>
        <w:t>LED retrofit light sources. The outcome was that</w:t>
      </w:r>
      <w:r w:rsidR="00AA4B9F">
        <w:rPr>
          <w:bCs/>
          <w:lang w:eastAsia="it-IT"/>
        </w:rPr>
        <w:t>,</w:t>
      </w:r>
      <w:r w:rsidRPr="00C51879">
        <w:rPr>
          <w:bCs/>
          <w:lang w:eastAsia="it-IT"/>
        </w:rPr>
        <w:t xml:space="preserve"> while photometry aspects can be positively matched, electrical and software configurations of vehicles in use are not standardi</w:t>
      </w:r>
      <w:r w:rsidR="001600FF">
        <w:rPr>
          <w:bCs/>
          <w:lang w:eastAsia="it-IT"/>
        </w:rPr>
        <w:t>s</w:t>
      </w:r>
      <w:r w:rsidRPr="00C51879">
        <w:rPr>
          <w:bCs/>
          <w:lang w:eastAsia="it-IT"/>
        </w:rPr>
        <w:t xml:space="preserve">ed. Moreover, the installation is subject to national law. Progress on this feasibility study was reported </w:t>
      </w:r>
      <w:r w:rsidR="001600FF">
        <w:rPr>
          <w:bCs/>
          <w:lang w:eastAsia="it-IT"/>
        </w:rPr>
        <w:t xml:space="preserve">to </w:t>
      </w:r>
      <w:r w:rsidRPr="00C51879">
        <w:rPr>
          <w:bCs/>
          <w:lang w:eastAsia="it-IT"/>
        </w:rPr>
        <w:t>GRE</w:t>
      </w:r>
      <w:r w:rsidR="001600FF">
        <w:rPr>
          <w:bCs/>
          <w:lang w:eastAsia="it-IT"/>
        </w:rPr>
        <w:t xml:space="preserve"> (</w:t>
      </w:r>
      <w:r w:rsidRPr="00C51879">
        <w:rPr>
          <w:bCs/>
          <w:lang w:eastAsia="it-IT"/>
        </w:rPr>
        <w:t>GRE-69-41, GRE-70-47, GRE-72-27 and GRE-73-24</w:t>
      </w:r>
      <w:r w:rsidR="001600FF">
        <w:rPr>
          <w:bCs/>
          <w:lang w:eastAsia="it-IT"/>
        </w:rPr>
        <w:t>)</w:t>
      </w:r>
      <w:r w:rsidRPr="00C51879">
        <w:rPr>
          <w:bCs/>
          <w:lang w:eastAsia="it-IT"/>
        </w:rPr>
        <w:t>.</w:t>
      </w:r>
    </w:p>
    <w:p w:rsidR="00C51879" w:rsidRPr="00C51879" w:rsidRDefault="00C51879" w:rsidP="00C51879">
      <w:pPr>
        <w:suppressAutoHyphens w:val="0"/>
        <w:spacing w:before="120" w:after="120"/>
        <w:ind w:left="1134" w:right="1134"/>
        <w:jc w:val="both"/>
        <w:rPr>
          <w:bCs/>
          <w:lang w:eastAsia="it-IT"/>
        </w:rPr>
      </w:pPr>
      <w:r w:rsidRPr="00C51879">
        <w:rPr>
          <w:bCs/>
          <w:lang w:eastAsia="it-IT"/>
        </w:rPr>
        <w:t>3.</w:t>
      </w:r>
      <w:r w:rsidRPr="00C51879">
        <w:rPr>
          <w:bCs/>
          <w:lang w:eastAsia="it-IT"/>
        </w:rPr>
        <w:tab/>
        <w:t>As a consequence, GTB no longer pursued LED retrofit light sources intended for installation in lamps on vehicles originally not approved for these light sources. Instead</w:t>
      </w:r>
      <w:r w:rsidR="001600FF">
        <w:rPr>
          <w:bCs/>
          <w:lang w:eastAsia="it-IT"/>
        </w:rPr>
        <w:t>,</w:t>
      </w:r>
      <w:r w:rsidRPr="00C51879">
        <w:rPr>
          <w:bCs/>
          <w:lang w:eastAsia="it-IT"/>
        </w:rPr>
        <w:t xml:space="preserve"> GTB worked on LED substitute light sources, intended for use in lamps on vehicles approved for using such light sources. </w:t>
      </w:r>
    </w:p>
    <w:p w:rsidR="00C51879" w:rsidRPr="00C51879" w:rsidRDefault="001600FF" w:rsidP="00C51879">
      <w:pPr>
        <w:suppressAutoHyphens w:val="0"/>
        <w:spacing w:before="120" w:after="120"/>
        <w:ind w:left="1134" w:right="1134"/>
        <w:jc w:val="both"/>
        <w:rPr>
          <w:bCs/>
          <w:lang w:eastAsia="it-IT"/>
        </w:rPr>
      </w:pPr>
      <w:r>
        <w:rPr>
          <w:bCs/>
          <w:lang w:eastAsia="it-IT"/>
        </w:rPr>
        <w:t>4.</w:t>
      </w:r>
      <w:r>
        <w:rPr>
          <w:bCs/>
          <w:lang w:eastAsia="it-IT"/>
        </w:rPr>
        <w:tab/>
      </w:r>
      <w:r w:rsidR="00C51879" w:rsidRPr="00C51879">
        <w:rPr>
          <w:bCs/>
          <w:lang w:eastAsia="it-IT"/>
        </w:rPr>
        <w:t>A proposal was developed where lamps may be approved with a filament light source and its corresponding LED substitute light source, fitting in the same holder, and providing equivalent photometric performance.  Lamps equipped with these LED substitute light sources shall be tested with both the filament lamp and the LED substitute light source. Vehicles equipped with these lamps shall be declared ready for installation of such lamps</w:t>
      </w:r>
      <w:r>
        <w:rPr>
          <w:bCs/>
          <w:lang w:eastAsia="it-IT"/>
        </w:rPr>
        <w:t>,</w:t>
      </w:r>
      <w:r w:rsidR="00C51879" w:rsidRPr="00C51879">
        <w:rPr>
          <w:bCs/>
          <w:lang w:eastAsia="it-IT"/>
        </w:rPr>
        <w:t xml:space="preserve"> </w:t>
      </w:r>
      <w:r w:rsidRPr="00C51879">
        <w:rPr>
          <w:bCs/>
          <w:lang w:eastAsia="it-IT"/>
        </w:rPr>
        <w:t xml:space="preserve">in particular </w:t>
      </w:r>
      <w:r w:rsidR="00C51879" w:rsidRPr="00C51879">
        <w:rPr>
          <w:bCs/>
          <w:lang w:eastAsia="it-IT"/>
        </w:rPr>
        <w:t>in view of failure detection systems.</w:t>
      </w:r>
    </w:p>
    <w:p w:rsidR="00C51879" w:rsidRPr="00C51879" w:rsidRDefault="00C51879" w:rsidP="00C51879">
      <w:pPr>
        <w:suppressAutoHyphens w:val="0"/>
        <w:spacing w:before="120" w:after="120"/>
        <w:ind w:left="1134" w:right="1134"/>
        <w:jc w:val="both"/>
        <w:rPr>
          <w:bCs/>
          <w:lang w:eastAsia="it-IT"/>
        </w:rPr>
      </w:pPr>
      <w:r w:rsidRPr="00C51879">
        <w:rPr>
          <w:bCs/>
          <w:lang w:eastAsia="it-IT"/>
        </w:rPr>
        <w:t>5.</w:t>
      </w:r>
      <w:r w:rsidRPr="00C51879">
        <w:rPr>
          <w:bCs/>
          <w:lang w:eastAsia="it-IT"/>
        </w:rPr>
        <w:tab/>
        <w:t>This proposal comprises of:</w:t>
      </w:r>
    </w:p>
    <w:p w:rsidR="00C51879" w:rsidRPr="001600FF" w:rsidRDefault="00C51879" w:rsidP="001600FF">
      <w:pPr>
        <w:pStyle w:val="ListParagraph"/>
        <w:numPr>
          <w:ilvl w:val="0"/>
          <w:numId w:val="27"/>
        </w:numPr>
        <w:suppressAutoHyphens w:val="0"/>
        <w:spacing w:after="120"/>
        <w:ind w:right="1134" w:hanging="720"/>
        <w:contextualSpacing w:val="0"/>
        <w:jc w:val="both"/>
        <w:rPr>
          <w:bCs/>
          <w:lang w:eastAsia="it-IT"/>
        </w:rPr>
      </w:pPr>
      <w:r w:rsidRPr="001600FF">
        <w:rPr>
          <w:bCs/>
          <w:lang w:eastAsia="it-IT"/>
        </w:rPr>
        <w:t xml:space="preserve">A proposal to </w:t>
      </w:r>
      <w:r w:rsidR="001600FF">
        <w:rPr>
          <w:bCs/>
          <w:lang w:eastAsia="it-IT"/>
        </w:rPr>
        <w:t xml:space="preserve">introduce </w:t>
      </w:r>
      <w:r w:rsidRPr="001600FF">
        <w:rPr>
          <w:bCs/>
          <w:lang w:eastAsia="it-IT"/>
        </w:rPr>
        <w:t>provisions into Regulation No. 128;</w:t>
      </w:r>
    </w:p>
    <w:p w:rsidR="00C51879" w:rsidRPr="001600FF" w:rsidRDefault="00C51879" w:rsidP="001600FF">
      <w:pPr>
        <w:pStyle w:val="ListParagraph"/>
        <w:numPr>
          <w:ilvl w:val="0"/>
          <w:numId w:val="27"/>
        </w:numPr>
        <w:suppressAutoHyphens w:val="0"/>
        <w:spacing w:after="120"/>
        <w:ind w:right="1134" w:hanging="720"/>
        <w:contextualSpacing w:val="0"/>
        <w:jc w:val="both"/>
        <w:rPr>
          <w:bCs/>
          <w:lang w:eastAsia="it-IT"/>
        </w:rPr>
      </w:pPr>
      <w:r w:rsidRPr="001600FF">
        <w:rPr>
          <w:bCs/>
          <w:lang w:eastAsia="it-IT"/>
        </w:rPr>
        <w:t xml:space="preserve">A proposal to introduce new category sheets C5W/LED, PY21W/LED and R5W/LED based on LED technology into the </w:t>
      </w:r>
      <w:r w:rsidR="009539D6">
        <w:rPr>
          <w:bCs/>
          <w:lang w:eastAsia="it-IT"/>
        </w:rPr>
        <w:t xml:space="preserve">Consolidated </w:t>
      </w:r>
      <w:r w:rsidRPr="001600FF">
        <w:rPr>
          <w:bCs/>
          <w:lang w:eastAsia="it-IT"/>
        </w:rPr>
        <w:t>Resolution</w:t>
      </w:r>
      <w:r w:rsidR="009539D6">
        <w:rPr>
          <w:bCs/>
          <w:lang w:eastAsia="it-IT"/>
        </w:rPr>
        <w:t xml:space="preserve"> (R.E.5)</w:t>
      </w:r>
      <w:r w:rsidRPr="001600FF">
        <w:rPr>
          <w:bCs/>
          <w:lang w:eastAsia="it-IT"/>
        </w:rPr>
        <w:t>;</w:t>
      </w:r>
    </w:p>
    <w:p w:rsidR="00C51879" w:rsidRPr="001600FF" w:rsidRDefault="00C51879" w:rsidP="001600FF">
      <w:pPr>
        <w:pStyle w:val="ListParagraph"/>
        <w:numPr>
          <w:ilvl w:val="0"/>
          <w:numId w:val="27"/>
        </w:numPr>
        <w:suppressAutoHyphens w:val="0"/>
        <w:spacing w:after="120"/>
        <w:ind w:right="1134" w:hanging="720"/>
        <w:contextualSpacing w:val="0"/>
        <w:jc w:val="both"/>
        <w:rPr>
          <w:bCs/>
          <w:lang w:eastAsia="it-IT"/>
        </w:rPr>
      </w:pPr>
      <w:r w:rsidRPr="001600FF">
        <w:rPr>
          <w:bCs/>
          <w:lang w:eastAsia="it-IT"/>
        </w:rPr>
        <w:t>Equivalence criteria as guidance for specifying sheets for LED substitute light source categories. These guidelines are intended for publication, with the agreement of GRE, on the GRE website under “reference documents”, similar to criteria for new filament light sources for head lighting (GRE-77-04)</w:t>
      </w:r>
      <w:r w:rsidR="001600FF">
        <w:rPr>
          <w:bCs/>
          <w:lang w:eastAsia="it-IT"/>
        </w:rPr>
        <w:t>. I</w:t>
      </w:r>
      <w:r w:rsidRPr="001600FF">
        <w:rPr>
          <w:bCs/>
          <w:lang w:eastAsia="it-IT"/>
        </w:rPr>
        <w:t>n addition, these criteria are being prepared for insertion in publication IEC 60810;</w:t>
      </w:r>
    </w:p>
    <w:p w:rsidR="00C51879" w:rsidRPr="001600FF" w:rsidRDefault="00C51879" w:rsidP="001600FF">
      <w:pPr>
        <w:pStyle w:val="ListParagraph"/>
        <w:numPr>
          <w:ilvl w:val="0"/>
          <w:numId w:val="27"/>
        </w:numPr>
        <w:suppressAutoHyphens w:val="0"/>
        <w:spacing w:after="120"/>
        <w:ind w:right="1134" w:hanging="720"/>
        <w:contextualSpacing w:val="0"/>
        <w:jc w:val="both"/>
        <w:rPr>
          <w:bCs/>
          <w:lang w:eastAsia="it-IT"/>
        </w:rPr>
      </w:pPr>
      <w:r w:rsidRPr="001600FF">
        <w:rPr>
          <w:bCs/>
          <w:lang w:eastAsia="it-IT"/>
        </w:rPr>
        <w:t>Equivalence reports for the new categories C5W/LED, PY21W/LED and R5W/LED in LED technology (GRE-77-02).</w:t>
      </w:r>
    </w:p>
    <w:p w:rsidR="00C51879" w:rsidRPr="00C51879" w:rsidRDefault="00C51879" w:rsidP="00C51879">
      <w:pPr>
        <w:suppressAutoHyphens w:val="0"/>
        <w:spacing w:before="120" w:after="120"/>
        <w:ind w:left="1134" w:right="1134"/>
        <w:jc w:val="both"/>
        <w:rPr>
          <w:bCs/>
          <w:lang w:eastAsia="it-IT"/>
        </w:rPr>
      </w:pPr>
      <w:r w:rsidRPr="00C51879">
        <w:rPr>
          <w:bCs/>
          <w:lang w:eastAsia="it-IT"/>
        </w:rPr>
        <w:t>6.</w:t>
      </w:r>
      <w:r w:rsidRPr="00C51879">
        <w:rPr>
          <w:bCs/>
          <w:lang w:eastAsia="it-IT"/>
        </w:rPr>
        <w:tab/>
        <w:t>Technical explanations</w:t>
      </w:r>
      <w:r w:rsidR="001600FF">
        <w:rPr>
          <w:bCs/>
          <w:lang w:eastAsia="it-IT"/>
        </w:rPr>
        <w:t>:</w:t>
      </w:r>
    </w:p>
    <w:p w:rsidR="00C51879" w:rsidRPr="00C51879" w:rsidRDefault="001600FF" w:rsidP="00C51879">
      <w:pPr>
        <w:suppressAutoHyphens w:val="0"/>
        <w:spacing w:before="120" w:after="120"/>
        <w:ind w:left="1134" w:right="1134"/>
        <w:jc w:val="both"/>
        <w:rPr>
          <w:bCs/>
          <w:lang w:eastAsia="it-IT"/>
        </w:rPr>
      </w:pPr>
      <w:r>
        <w:rPr>
          <w:bCs/>
          <w:lang w:eastAsia="it-IT"/>
        </w:rPr>
        <w:t>(</w:t>
      </w:r>
      <w:r w:rsidR="00C51879" w:rsidRPr="00C51879">
        <w:rPr>
          <w:bCs/>
          <w:lang w:eastAsia="it-IT"/>
        </w:rPr>
        <w:t>a</w:t>
      </w:r>
      <w:r>
        <w:rPr>
          <w:bCs/>
          <w:lang w:eastAsia="it-IT"/>
        </w:rPr>
        <w:t>)</w:t>
      </w:r>
      <w:r w:rsidR="00C51879" w:rsidRPr="00C51879">
        <w:rPr>
          <w:bCs/>
          <w:lang w:eastAsia="it-IT"/>
        </w:rPr>
        <w:tab/>
        <w:t>A distinction is made in types of a correlated colour temperature above or below 3000</w:t>
      </w:r>
      <w:r>
        <w:rPr>
          <w:bCs/>
          <w:lang w:eastAsia="it-IT"/>
        </w:rPr>
        <w:t xml:space="preserve"> </w:t>
      </w:r>
      <w:r w:rsidR="00C51879" w:rsidRPr="00C51879">
        <w:rPr>
          <w:bCs/>
          <w:lang w:eastAsia="it-IT"/>
        </w:rPr>
        <w:t>K. The higher colour temperature light sources offer better colour matching options with front lighting light sources. The lower colour temperature light sources shall be used in lamps with colour filters, such as direction indicator lamps or stop lamps, to maintain colour quality and luminous intensity of the lamps. Both LED substitute light sources of a correlated colour temperature up to 3000</w:t>
      </w:r>
      <w:r>
        <w:rPr>
          <w:bCs/>
          <w:lang w:eastAsia="it-IT"/>
        </w:rPr>
        <w:t xml:space="preserve"> </w:t>
      </w:r>
      <w:r w:rsidR="00C51879" w:rsidRPr="00C51879">
        <w:rPr>
          <w:bCs/>
          <w:lang w:eastAsia="it-IT"/>
        </w:rPr>
        <w:t xml:space="preserve">K and lamps with colour filters shall be marked by </w:t>
      </w:r>
      <w:r w:rsidR="00345A98">
        <w:rPr>
          <w:bCs/>
          <w:lang w:eastAsia="it-IT"/>
        </w:rPr>
        <w:t xml:space="preserve">a </w:t>
      </w:r>
      <w:r w:rsidR="00C51879" w:rsidRPr="00C51879">
        <w:rPr>
          <w:bCs/>
          <w:lang w:eastAsia="it-IT"/>
        </w:rPr>
        <w:t>“G”, placed after the LED substitute light source category marking separated by a space.</w:t>
      </w:r>
    </w:p>
    <w:p w:rsidR="00C51879" w:rsidRPr="00C51879" w:rsidRDefault="001600FF" w:rsidP="00C51879">
      <w:pPr>
        <w:suppressAutoHyphens w:val="0"/>
        <w:spacing w:before="120" w:after="120"/>
        <w:ind w:left="1134" w:right="1134"/>
        <w:jc w:val="both"/>
        <w:rPr>
          <w:bCs/>
          <w:lang w:eastAsia="it-IT"/>
        </w:rPr>
      </w:pPr>
      <w:r>
        <w:rPr>
          <w:bCs/>
          <w:lang w:eastAsia="it-IT"/>
        </w:rPr>
        <w:t>(</w:t>
      </w:r>
      <w:r w:rsidR="00C51879" w:rsidRPr="00C51879">
        <w:rPr>
          <w:bCs/>
          <w:lang w:eastAsia="it-IT"/>
        </w:rPr>
        <w:t>b</w:t>
      </w:r>
      <w:r>
        <w:rPr>
          <w:bCs/>
          <w:lang w:eastAsia="it-IT"/>
        </w:rPr>
        <w:t>)</w:t>
      </w:r>
      <w:r w:rsidR="00C51879" w:rsidRPr="00C51879">
        <w:rPr>
          <w:bCs/>
          <w:lang w:eastAsia="it-IT"/>
        </w:rPr>
        <w:tab/>
        <w:t xml:space="preserve">For failure detection and </w:t>
      </w:r>
      <w:r w:rsidR="009539D6">
        <w:rPr>
          <w:bCs/>
          <w:lang w:eastAsia="it-IT"/>
        </w:rPr>
        <w:t>o</w:t>
      </w:r>
      <w:r w:rsidR="009539D6" w:rsidRPr="009539D6">
        <w:rPr>
          <w:bCs/>
          <w:lang w:eastAsia="it-IT"/>
        </w:rPr>
        <w:t xml:space="preserve">n-board diagnostics (OBD) </w:t>
      </w:r>
      <w:r w:rsidR="00C51879" w:rsidRPr="00C51879">
        <w:rPr>
          <w:bCs/>
          <w:lang w:eastAsia="it-IT"/>
        </w:rPr>
        <w:t xml:space="preserve">systems, the electrical current of filament light sources can be calculated within some margins from the applied voltage and wattage of the filament light source. For LED substitute light sources this is not the case. This is why the electrical current of LED substitute light sources is specified and also subject to </w:t>
      </w:r>
      <w:r w:rsidR="00345A98">
        <w:rPr>
          <w:bCs/>
          <w:lang w:eastAsia="it-IT"/>
        </w:rPr>
        <w:t>Conformity of Production (</w:t>
      </w:r>
      <w:r w:rsidR="00C51879" w:rsidRPr="00C51879">
        <w:rPr>
          <w:bCs/>
          <w:lang w:eastAsia="it-IT"/>
        </w:rPr>
        <w:t>COP</w:t>
      </w:r>
      <w:r w:rsidR="00345A98">
        <w:rPr>
          <w:bCs/>
          <w:lang w:eastAsia="it-IT"/>
        </w:rPr>
        <w:t>)</w:t>
      </w:r>
      <w:r w:rsidR="00C51879" w:rsidRPr="00C51879">
        <w:rPr>
          <w:bCs/>
          <w:lang w:eastAsia="it-IT"/>
        </w:rPr>
        <w:t>.</w:t>
      </w:r>
    </w:p>
    <w:p w:rsidR="00C51879" w:rsidRPr="00C51879" w:rsidRDefault="001600FF" w:rsidP="00C51879">
      <w:pPr>
        <w:suppressAutoHyphens w:val="0"/>
        <w:spacing w:before="120" w:after="120"/>
        <w:ind w:left="1134" w:right="1134"/>
        <w:jc w:val="both"/>
        <w:rPr>
          <w:bCs/>
          <w:lang w:eastAsia="it-IT"/>
        </w:rPr>
      </w:pPr>
      <w:r>
        <w:rPr>
          <w:bCs/>
          <w:lang w:eastAsia="it-IT"/>
        </w:rPr>
        <w:t>(</w:t>
      </w:r>
      <w:r w:rsidR="00C51879" w:rsidRPr="00C51879">
        <w:rPr>
          <w:bCs/>
          <w:lang w:eastAsia="it-IT"/>
        </w:rPr>
        <w:t>c</w:t>
      </w:r>
      <w:r>
        <w:rPr>
          <w:bCs/>
          <w:lang w:eastAsia="it-IT"/>
        </w:rPr>
        <w:t>)</w:t>
      </w:r>
      <w:r w:rsidR="00C51879" w:rsidRPr="00C51879">
        <w:rPr>
          <w:bCs/>
          <w:lang w:eastAsia="it-IT"/>
        </w:rPr>
        <w:tab/>
        <w:t xml:space="preserve">LED substitute light sources contain electronics and such electronics should not unintentionally influence or be influenced by the board net. </w:t>
      </w:r>
      <w:r w:rsidR="009539D6">
        <w:rPr>
          <w:bCs/>
          <w:lang w:eastAsia="it-IT"/>
        </w:rPr>
        <w:t>This is a r</w:t>
      </w:r>
      <w:r w:rsidR="00C51879" w:rsidRPr="00C51879">
        <w:rPr>
          <w:bCs/>
          <w:lang w:eastAsia="it-IT"/>
        </w:rPr>
        <w:t>eason to test LED substitute light sources as electrical/electronic sub-assembly (ESA)</w:t>
      </w:r>
      <w:r w:rsidR="009539D6">
        <w:rPr>
          <w:bCs/>
          <w:lang w:eastAsia="it-IT"/>
        </w:rPr>
        <w:t>,</w:t>
      </w:r>
      <w:r w:rsidR="00C51879" w:rsidRPr="00C51879">
        <w:rPr>
          <w:bCs/>
          <w:lang w:eastAsia="it-IT"/>
        </w:rPr>
        <w:t xml:space="preserve"> as specified by </w:t>
      </w:r>
      <w:r w:rsidR="00C51879" w:rsidRPr="00C51879">
        <w:rPr>
          <w:bCs/>
          <w:lang w:eastAsia="it-IT"/>
        </w:rPr>
        <w:lastRenderedPageBreak/>
        <w:t>Regulation No. 10. Approval according to Regulation No. 10 is not possible. This is to avoid that light sources are only tested according to Regulation No. 10 and not as a light source, which has occurred in the past.</w:t>
      </w:r>
    </w:p>
    <w:p w:rsidR="00C51879" w:rsidRPr="00C51879" w:rsidRDefault="001600FF" w:rsidP="00C51879">
      <w:pPr>
        <w:suppressAutoHyphens w:val="0"/>
        <w:spacing w:before="120" w:after="120"/>
        <w:ind w:left="1134" w:right="1134"/>
        <w:jc w:val="both"/>
        <w:rPr>
          <w:bCs/>
          <w:lang w:eastAsia="it-IT"/>
        </w:rPr>
      </w:pPr>
      <w:r>
        <w:rPr>
          <w:bCs/>
          <w:lang w:eastAsia="it-IT"/>
        </w:rPr>
        <w:t>(</w:t>
      </w:r>
      <w:r w:rsidR="00C51879" w:rsidRPr="00C51879">
        <w:rPr>
          <w:bCs/>
          <w:lang w:eastAsia="it-IT"/>
        </w:rPr>
        <w:t>d</w:t>
      </w:r>
      <w:r>
        <w:rPr>
          <w:bCs/>
          <w:lang w:eastAsia="it-IT"/>
        </w:rPr>
        <w:t>)</w:t>
      </w:r>
      <w:r w:rsidR="00C51879" w:rsidRPr="00C51879">
        <w:rPr>
          <w:bCs/>
          <w:lang w:eastAsia="it-IT"/>
        </w:rPr>
        <w:tab/>
        <w:t xml:space="preserve">LED substitute light sources shall not emit light within 2 </w:t>
      </w:r>
      <w:proofErr w:type="spellStart"/>
      <w:r w:rsidR="00C51879" w:rsidRPr="00C51879">
        <w:rPr>
          <w:bCs/>
          <w:lang w:eastAsia="it-IT"/>
        </w:rPr>
        <w:t>ms</w:t>
      </w:r>
      <w:proofErr w:type="spellEnd"/>
      <w:r w:rsidR="00C51879" w:rsidRPr="00C51879">
        <w:rPr>
          <w:bCs/>
          <w:lang w:eastAsia="it-IT"/>
        </w:rPr>
        <w:t xml:space="preserve"> after activation to avoid visible signals on vehicles doing life testing of light sources.</w:t>
      </w:r>
    </w:p>
    <w:p w:rsidR="00C51879" w:rsidRPr="00C51879" w:rsidRDefault="001600FF" w:rsidP="00C51879">
      <w:pPr>
        <w:suppressAutoHyphens w:val="0"/>
        <w:spacing w:before="120" w:after="120"/>
        <w:ind w:left="1134" w:right="1134"/>
        <w:jc w:val="both"/>
        <w:rPr>
          <w:bCs/>
          <w:lang w:eastAsia="it-IT"/>
        </w:rPr>
      </w:pPr>
      <w:r>
        <w:rPr>
          <w:bCs/>
          <w:lang w:eastAsia="it-IT"/>
        </w:rPr>
        <w:t>(</w:t>
      </w:r>
      <w:r w:rsidR="00C51879" w:rsidRPr="00C51879">
        <w:rPr>
          <w:bCs/>
          <w:lang w:eastAsia="it-IT"/>
        </w:rPr>
        <w:t>e</w:t>
      </w:r>
      <w:r>
        <w:rPr>
          <w:bCs/>
          <w:lang w:eastAsia="it-IT"/>
        </w:rPr>
        <w:t>)</w:t>
      </w:r>
      <w:r w:rsidR="00C51879" w:rsidRPr="00C51879">
        <w:rPr>
          <w:bCs/>
          <w:lang w:eastAsia="it-IT"/>
        </w:rPr>
        <w:tab/>
        <w:t xml:space="preserve">LED technology is temperature sensitive. The performance of filament light sources does not depend on the ambient temperature. Because LED substitute light sources are intended to replace filament light sources, additional higher ambient temperatures are defined for testing of LED substitutes. </w:t>
      </w:r>
    </w:p>
    <w:p w:rsidR="001600FF" w:rsidRDefault="00C51879" w:rsidP="00C51879">
      <w:pPr>
        <w:suppressAutoHyphens w:val="0"/>
        <w:spacing w:before="120" w:after="120"/>
        <w:ind w:left="1134" w:right="1134"/>
        <w:jc w:val="both"/>
        <w:rPr>
          <w:bCs/>
          <w:lang w:eastAsia="it-IT"/>
        </w:rPr>
      </w:pPr>
      <w:r w:rsidRPr="00C51879">
        <w:rPr>
          <w:bCs/>
          <w:lang w:eastAsia="it-IT"/>
        </w:rPr>
        <w:t>7.</w:t>
      </w:r>
      <w:r w:rsidRPr="00C51879">
        <w:rPr>
          <w:bCs/>
          <w:lang w:eastAsia="it-IT"/>
        </w:rPr>
        <w:tab/>
        <w:t>As is the case for other light sources, additional tests on voluntary basis are described in standards</w:t>
      </w:r>
      <w:r w:rsidR="009539D6">
        <w:rPr>
          <w:bCs/>
          <w:lang w:eastAsia="it-IT"/>
        </w:rPr>
        <w:t xml:space="preserve">, such </w:t>
      </w:r>
      <w:r w:rsidRPr="00C51879">
        <w:rPr>
          <w:bCs/>
          <w:lang w:eastAsia="it-IT"/>
        </w:rPr>
        <w:t xml:space="preserve">as </w:t>
      </w:r>
      <w:r w:rsidR="009539D6">
        <w:rPr>
          <w:bCs/>
          <w:lang w:eastAsia="it-IT"/>
        </w:rPr>
        <w:t>from the</w:t>
      </w:r>
      <w:r w:rsidRPr="00C51879">
        <w:rPr>
          <w:bCs/>
          <w:lang w:eastAsia="it-IT"/>
        </w:rPr>
        <w:t xml:space="preserve"> </w:t>
      </w:r>
      <w:r w:rsidR="001600FF" w:rsidRPr="001600FF">
        <w:rPr>
          <w:bCs/>
          <w:lang w:eastAsia="it-IT"/>
        </w:rPr>
        <w:t xml:space="preserve">International </w:t>
      </w:r>
      <w:proofErr w:type="spellStart"/>
      <w:r w:rsidR="001600FF" w:rsidRPr="001600FF">
        <w:rPr>
          <w:bCs/>
          <w:lang w:eastAsia="it-IT"/>
        </w:rPr>
        <w:t>Electrotechnical</w:t>
      </w:r>
      <w:proofErr w:type="spellEnd"/>
      <w:r w:rsidR="001600FF" w:rsidRPr="001600FF">
        <w:rPr>
          <w:bCs/>
          <w:lang w:eastAsia="it-IT"/>
        </w:rPr>
        <w:t xml:space="preserve"> Commission (IEC</w:t>
      </w:r>
      <w:r w:rsidR="001600FF">
        <w:rPr>
          <w:bCs/>
          <w:lang w:eastAsia="it-IT"/>
        </w:rPr>
        <w:t xml:space="preserve">) or </w:t>
      </w:r>
      <w:r w:rsidR="001600FF" w:rsidRPr="001600FF">
        <w:rPr>
          <w:bCs/>
          <w:lang w:eastAsia="it-IT"/>
        </w:rPr>
        <w:t>Society of Automotive Engineers (SAE).</w:t>
      </w:r>
      <w:r w:rsidR="001600FF">
        <w:rPr>
          <w:bCs/>
          <w:lang w:eastAsia="it-IT"/>
        </w:rPr>
        <w:t xml:space="preserve"> </w:t>
      </w:r>
    </w:p>
    <w:p w:rsidR="00C51879" w:rsidRDefault="00C51879" w:rsidP="00C51879">
      <w:pPr>
        <w:suppressAutoHyphens w:val="0"/>
        <w:spacing w:before="120" w:after="120"/>
        <w:ind w:left="1134" w:right="1134"/>
        <w:jc w:val="both"/>
        <w:rPr>
          <w:bCs/>
          <w:lang w:eastAsia="it-IT"/>
        </w:rPr>
      </w:pPr>
      <w:r w:rsidRPr="00C51879">
        <w:rPr>
          <w:bCs/>
          <w:lang w:eastAsia="it-IT"/>
        </w:rPr>
        <w:t>8.</w:t>
      </w:r>
      <w:r w:rsidRPr="00C51879">
        <w:rPr>
          <w:bCs/>
          <w:lang w:eastAsia="it-IT"/>
        </w:rPr>
        <w:tab/>
        <w:t>The use of LED substitute light sources in lamps and on vehicles</w:t>
      </w:r>
      <w:r w:rsidR="009539D6">
        <w:rPr>
          <w:bCs/>
          <w:lang w:eastAsia="it-IT"/>
        </w:rPr>
        <w:t>,</w:t>
      </w:r>
      <w:r w:rsidRPr="00C51879">
        <w:rPr>
          <w:bCs/>
          <w:lang w:eastAsia="it-IT"/>
        </w:rPr>
        <w:t xml:space="preserve"> for which such light sources w</w:t>
      </w:r>
      <w:r w:rsidR="009539D6">
        <w:rPr>
          <w:bCs/>
          <w:lang w:eastAsia="it-IT"/>
        </w:rPr>
        <w:t xml:space="preserve">ere </w:t>
      </w:r>
      <w:r w:rsidRPr="00C51879">
        <w:rPr>
          <w:bCs/>
          <w:lang w:eastAsia="it-IT"/>
        </w:rPr>
        <w:t>not foreseen during the original design of the lamp/vehicle</w:t>
      </w:r>
      <w:r w:rsidR="009539D6">
        <w:rPr>
          <w:bCs/>
          <w:lang w:eastAsia="it-IT"/>
        </w:rPr>
        <w:t>,</w:t>
      </w:r>
      <w:r w:rsidRPr="00C51879">
        <w:rPr>
          <w:bCs/>
          <w:lang w:eastAsia="it-IT"/>
        </w:rPr>
        <w:t xml:space="preserve"> needs to be verified to guarantee the correct operation of both the lamp and the vehicle.</w:t>
      </w:r>
    </w:p>
    <w:p w:rsidR="00C51879" w:rsidRPr="00C51879" w:rsidRDefault="009539D6" w:rsidP="00C51879">
      <w:pPr>
        <w:suppressAutoHyphens w:val="0"/>
        <w:spacing w:before="120" w:after="120"/>
        <w:ind w:left="1134" w:right="1134"/>
        <w:jc w:val="both"/>
        <w:rPr>
          <w:bCs/>
          <w:lang w:eastAsia="it-IT"/>
        </w:rPr>
      </w:pPr>
      <w:r>
        <w:rPr>
          <w:bCs/>
          <w:lang w:eastAsia="it-IT"/>
        </w:rPr>
        <w:t>9.</w:t>
      </w:r>
      <w:r>
        <w:rPr>
          <w:bCs/>
          <w:lang w:eastAsia="it-IT"/>
        </w:rPr>
        <w:tab/>
      </w:r>
      <w:r w:rsidR="00C51879" w:rsidRPr="00C51879">
        <w:rPr>
          <w:bCs/>
          <w:lang w:eastAsia="it-IT"/>
        </w:rPr>
        <w:t xml:space="preserve">For these reasons, in parallel to the introduction </w:t>
      </w:r>
      <w:r w:rsidR="00F638D5" w:rsidRPr="00C51879">
        <w:rPr>
          <w:bCs/>
          <w:lang w:eastAsia="it-IT"/>
        </w:rPr>
        <w:t xml:space="preserve">of the LED substitute light sources </w:t>
      </w:r>
      <w:r w:rsidR="00C51879" w:rsidRPr="00C51879">
        <w:rPr>
          <w:bCs/>
          <w:lang w:eastAsia="it-IT"/>
        </w:rPr>
        <w:t xml:space="preserve">in Regulation No. 128 and in </w:t>
      </w:r>
      <w:r>
        <w:rPr>
          <w:bCs/>
          <w:lang w:eastAsia="it-IT"/>
        </w:rPr>
        <w:t>the Consolidated Resolution (R.E.5)</w:t>
      </w:r>
      <w:r w:rsidR="00C51879" w:rsidRPr="00C51879">
        <w:rPr>
          <w:bCs/>
          <w:lang w:eastAsia="it-IT"/>
        </w:rPr>
        <w:t xml:space="preserve">, </w:t>
      </w:r>
      <w:r w:rsidR="00D275E8">
        <w:rPr>
          <w:bCs/>
          <w:lang w:eastAsia="it-IT"/>
        </w:rPr>
        <w:t xml:space="preserve">the following </w:t>
      </w:r>
      <w:r w:rsidR="00C51879" w:rsidRPr="00C51879">
        <w:rPr>
          <w:bCs/>
          <w:lang w:eastAsia="it-IT"/>
        </w:rPr>
        <w:t>amendments to the Regulation for the type approval of the lamps and for the type approval of vehicles for their lamp installation are necessary</w:t>
      </w:r>
      <w:r w:rsidR="00D275E8">
        <w:rPr>
          <w:bCs/>
          <w:lang w:eastAsia="it-IT"/>
        </w:rPr>
        <w:t>:</w:t>
      </w:r>
    </w:p>
    <w:p w:rsidR="00C51879" w:rsidRPr="00C51879" w:rsidRDefault="00D275E8" w:rsidP="00F638D5">
      <w:pPr>
        <w:pStyle w:val="ListParagraph"/>
        <w:numPr>
          <w:ilvl w:val="0"/>
          <w:numId w:val="27"/>
        </w:numPr>
        <w:suppressAutoHyphens w:val="0"/>
        <w:spacing w:after="120"/>
        <w:ind w:right="1134" w:hanging="720"/>
        <w:contextualSpacing w:val="0"/>
        <w:jc w:val="both"/>
        <w:rPr>
          <w:bCs/>
          <w:lang w:eastAsia="it-IT"/>
        </w:rPr>
      </w:pPr>
      <w:r>
        <w:rPr>
          <w:bCs/>
          <w:lang w:eastAsia="it-IT"/>
        </w:rPr>
        <w:t>P</w:t>
      </w:r>
      <w:r w:rsidR="00C51879" w:rsidRPr="00C51879">
        <w:rPr>
          <w:bCs/>
          <w:lang w:eastAsia="it-IT"/>
        </w:rPr>
        <w:t xml:space="preserve">rovisions in lamp </w:t>
      </w:r>
      <w:r w:rsidR="00F638D5">
        <w:rPr>
          <w:bCs/>
          <w:lang w:eastAsia="it-IT"/>
        </w:rPr>
        <w:t>R</w:t>
      </w:r>
      <w:r w:rsidR="00C51879" w:rsidRPr="00C51879">
        <w:rPr>
          <w:bCs/>
          <w:lang w:eastAsia="it-IT"/>
        </w:rPr>
        <w:t>egulations to allow type approval with both the filament light source category as the prime light source and its LED substitute, whereby for COP lamp testing only the use of a filament light source is required</w:t>
      </w:r>
      <w:r w:rsidR="00F638D5">
        <w:rPr>
          <w:bCs/>
          <w:lang w:eastAsia="it-IT"/>
        </w:rPr>
        <w:t>;</w:t>
      </w:r>
    </w:p>
    <w:p w:rsidR="00C51879" w:rsidRPr="00C51879" w:rsidRDefault="00D275E8" w:rsidP="00F638D5">
      <w:pPr>
        <w:pStyle w:val="ListParagraph"/>
        <w:numPr>
          <w:ilvl w:val="0"/>
          <w:numId w:val="27"/>
        </w:numPr>
        <w:suppressAutoHyphens w:val="0"/>
        <w:spacing w:after="120"/>
        <w:ind w:right="1134" w:hanging="720"/>
        <w:contextualSpacing w:val="0"/>
        <w:jc w:val="both"/>
        <w:rPr>
          <w:bCs/>
          <w:lang w:eastAsia="it-IT"/>
        </w:rPr>
      </w:pPr>
      <w:r>
        <w:rPr>
          <w:bCs/>
          <w:lang w:eastAsia="it-IT"/>
        </w:rPr>
        <w:t>P</w:t>
      </w:r>
      <w:r w:rsidR="00C51879" w:rsidRPr="00C51879">
        <w:rPr>
          <w:bCs/>
          <w:lang w:eastAsia="it-IT"/>
        </w:rPr>
        <w:t xml:space="preserve">rovisions in installation </w:t>
      </w:r>
      <w:r>
        <w:rPr>
          <w:bCs/>
          <w:lang w:eastAsia="it-IT"/>
        </w:rPr>
        <w:t>R</w:t>
      </w:r>
      <w:r w:rsidR="00C51879" w:rsidRPr="00C51879">
        <w:rPr>
          <w:bCs/>
          <w:lang w:eastAsia="it-IT"/>
        </w:rPr>
        <w:t>egulations to avoid that lamp(s), originally or by extension approved for LED substitute light sources</w:t>
      </w:r>
      <w:r>
        <w:rPr>
          <w:bCs/>
          <w:lang w:eastAsia="it-IT"/>
        </w:rPr>
        <w:t>,</w:t>
      </w:r>
      <w:r w:rsidR="00C51879" w:rsidRPr="00C51879">
        <w:rPr>
          <w:bCs/>
          <w:lang w:eastAsia="it-IT"/>
        </w:rPr>
        <w:t xml:space="preserve"> are installed on </w:t>
      </w:r>
      <w:r>
        <w:rPr>
          <w:bCs/>
          <w:lang w:eastAsia="it-IT"/>
        </w:rPr>
        <w:t xml:space="preserve">a </w:t>
      </w:r>
      <w:r w:rsidR="00C51879" w:rsidRPr="00C51879">
        <w:rPr>
          <w:bCs/>
          <w:lang w:eastAsia="it-IT"/>
        </w:rPr>
        <w:t>vehicle while this vehicle failure detection and on-board diagnostics systems are not prepared for LED substitute light sources</w:t>
      </w:r>
      <w:r w:rsidR="00F638D5">
        <w:rPr>
          <w:bCs/>
          <w:lang w:eastAsia="it-IT"/>
        </w:rPr>
        <w:t>;</w:t>
      </w:r>
      <w:r w:rsidR="00C51879" w:rsidRPr="00C51879">
        <w:rPr>
          <w:bCs/>
          <w:lang w:eastAsia="it-IT"/>
        </w:rPr>
        <w:t xml:space="preserve"> </w:t>
      </w:r>
    </w:p>
    <w:p w:rsidR="0036339F" w:rsidRDefault="00C51879" w:rsidP="00F638D5">
      <w:pPr>
        <w:pStyle w:val="ListParagraph"/>
        <w:numPr>
          <w:ilvl w:val="0"/>
          <w:numId w:val="27"/>
        </w:numPr>
        <w:suppressAutoHyphens w:val="0"/>
        <w:spacing w:after="120"/>
        <w:ind w:right="1134" w:hanging="720"/>
        <w:contextualSpacing w:val="0"/>
        <w:jc w:val="both"/>
        <w:rPr>
          <w:bCs/>
          <w:lang w:eastAsia="it-IT"/>
        </w:rPr>
      </w:pPr>
      <w:r w:rsidRPr="00C51879">
        <w:rPr>
          <w:bCs/>
          <w:lang w:eastAsia="it-IT"/>
        </w:rPr>
        <w:t>Proposals for amendment</w:t>
      </w:r>
      <w:r w:rsidR="00D275E8">
        <w:rPr>
          <w:bCs/>
          <w:lang w:eastAsia="it-IT"/>
        </w:rPr>
        <w:t>s</w:t>
      </w:r>
      <w:r w:rsidRPr="00C51879">
        <w:rPr>
          <w:bCs/>
          <w:lang w:eastAsia="it-IT"/>
        </w:rPr>
        <w:t xml:space="preserve"> </w:t>
      </w:r>
      <w:r w:rsidR="00F638D5">
        <w:rPr>
          <w:bCs/>
          <w:lang w:eastAsia="it-IT"/>
        </w:rPr>
        <w:t xml:space="preserve">to </w:t>
      </w:r>
      <w:r w:rsidRPr="00C51879">
        <w:rPr>
          <w:bCs/>
          <w:lang w:eastAsia="it-IT"/>
        </w:rPr>
        <w:t>Regulation No. 48 concern also 03, 04</w:t>
      </w:r>
      <w:r w:rsidR="00F638D5">
        <w:rPr>
          <w:bCs/>
          <w:lang w:eastAsia="it-IT"/>
        </w:rPr>
        <w:t xml:space="preserve"> and </w:t>
      </w:r>
      <w:r w:rsidRPr="00C51879">
        <w:rPr>
          <w:bCs/>
          <w:lang w:eastAsia="it-IT"/>
        </w:rPr>
        <w:t>05 series of amendments to offer the possibility to upgrade vehicles with lamps using LED substitute light sources by extension of approval.</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4"/>
      <w:headerReference w:type="default" r:id="rId15"/>
      <w:footerReference w:type="default" r:id="rId16"/>
      <w:head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5A" w:rsidRDefault="00BE305A"/>
  </w:endnote>
  <w:endnote w:type="continuationSeparator" w:id="0">
    <w:p w:rsidR="00BE305A" w:rsidRDefault="00BE305A"/>
  </w:endnote>
  <w:endnote w:type="continuationNotice" w:id="1">
    <w:p w:rsidR="00BE305A" w:rsidRDefault="00BE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Default="00BE305A">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565CB2">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B2" w:rsidRDefault="00565CB2" w:rsidP="00565CB2">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322AB7B9" wp14:editId="2BD6F40C">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65CB2" w:rsidRDefault="00565CB2" w:rsidP="00565CB2">
    <w:pPr>
      <w:pStyle w:val="Footer"/>
      <w:ind w:right="1134"/>
      <w:rPr>
        <w:sz w:val="20"/>
      </w:rPr>
    </w:pPr>
    <w:r>
      <w:rPr>
        <w:sz w:val="20"/>
      </w:rPr>
      <w:t>GE.17-00707(E)</w:t>
    </w:r>
  </w:p>
  <w:p w:rsidR="00565CB2" w:rsidRPr="00565CB2" w:rsidRDefault="00565CB2" w:rsidP="00565C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1065" cy="631065"/>
          <wp:effectExtent l="0" t="0" r="0" b="0"/>
          <wp:wrapNone/>
          <wp:docPr id="1" name="Picture 1" descr="http://undocs.org/m2/QRCode.ashx?DS=ECE/TRANS/WP.29/GRE/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065" cy="63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003B38" w:rsidRDefault="00BE305A"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BE305A" w:rsidRPr="002C0FEE" w:rsidTr="00732AD2">
      <w:tc>
        <w:tcPr>
          <w:tcW w:w="3346" w:type="dxa"/>
        </w:tcPr>
        <w:p w:rsidR="00BE305A" w:rsidRPr="00503D4F" w:rsidRDefault="00BE305A" w:rsidP="00732AD2">
          <w:pPr>
            <w:pStyle w:val="Footer"/>
          </w:pPr>
          <w:r>
            <w:rPr>
              <w:noProof/>
              <w:lang w:val="en-GB" w:eastAsia="zh-CN"/>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BE305A" w:rsidRPr="00503D4F" w:rsidRDefault="00BE305A"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BE305A" w:rsidRPr="004E78A5" w:rsidRDefault="00BE305A"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BE305A" w:rsidRDefault="00BE3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330CE" w:rsidRDefault="00BE305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65CB2">
      <w:rPr>
        <w:b/>
        <w:noProof/>
        <w:sz w:val="18"/>
      </w:rPr>
      <w:t>3</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5A" w:rsidRPr="000B175B" w:rsidRDefault="00BE305A" w:rsidP="000B175B">
      <w:pPr>
        <w:tabs>
          <w:tab w:val="right" w:pos="2155"/>
        </w:tabs>
        <w:spacing w:after="80"/>
        <w:ind w:left="680"/>
        <w:rPr>
          <w:u w:val="single"/>
        </w:rPr>
      </w:pPr>
      <w:r>
        <w:rPr>
          <w:u w:val="single"/>
        </w:rPr>
        <w:tab/>
      </w:r>
    </w:p>
  </w:footnote>
  <w:footnote w:type="continuationSeparator" w:id="0">
    <w:p w:rsidR="00BE305A" w:rsidRPr="00FC68B7" w:rsidRDefault="00BE305A" w:rsidP="00FC68B7">
      <w:pPr>
        <w:tabs>
          <w:tab w:val="left" w:pos="2155"/>
        </w:tabs>
        <w:spacing w:after="80"/>
        <w:ind w:left="680"/>
        <w:rPr>
          <w:u w:val="single"/>
        </w:rPr>
      </w:pPr>
      <w:r>
        <w:rPr>
          <w:u w:val="single"/>
        </w:rPr>
        <w:tab/>
      </w:r>
    </w:p>
  </w:footnote>
  <w:footnote w:type="continuationNotice" w:id="1">
    <w:p w:rsidR="00BE305A" w:rsidRDefault="00BE305A"/>
  </w:footnote>
  <w:footnote w:id="2">
    <w:p w:rsidR="00BE305A" w:rsidRPr="00706101" w:rsidRDefault="00BE305A"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C395D">
    <w:pPr>
      <w:pStyle w:val="Header"/>
    </w:pPr>
    <w:r>
      <w:t>ECE/TRANS/WP.29/GRE/2017/2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07AFA">
    <w:pPr>
      <w:pStyle w:val="Header"/>
      <w:jc w:val="right"/>
    </w:pPr>
    <w:r>
      <w:t>ECE/TRANS/WP.29/GRE/2017/2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6">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0"/>
  </w:num>
  <w:num w:numId="3">
    <w:abstractNumId w:val="14"/>
  </w:num>
  <w:num w:numId="4">
    <w:abstractNumId w:val="27"/>
  </w:num>
  <w:num w:numId="5">
    <w:abstractNumId w:val="13"/>
  </w:num>
  <w:num w:numId="6">
    <w:abstractNumId w:val="11"/>
  </w:num>
  <w:num w:numId="7">
    <w:abstractNumId w:val="8"/>
  </w:num>
  <w:num w:numId="8">
    <w:abstractNumId w:val="23"/>
  </w:num>
  <w:num w:numId="9">
    <w:abstractNumId w:val="24"/>
  </w:num>
  <w:num w:numId="10">
    <w:abstractNumId w:val="16"/>
  </w:num>
  <w:num w:numId="11">
    <w:abstractNumId w:val="10"/>
  </w:num>
  <w:num w:numId="12">
    <w:abstractNumId w:val="18"/>
  </w:num>
  <w:num w:numId="13">
    <w:abstractNumId w:val="25"/>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12"/>
  </w:num>
  <w:num w:numId="25">
    <w:abstractNumId w:val="17"/>
  </w:num>
  <w:num w:numId="26">
    <w:abstractNumId w:val="21"/>
  </w:num>
  <w:num w:numId="27">
    <w:abstractNumId w:val="22"/>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0E3A"/>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ilv.cie.co.at/term/2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263D-FE61-4EEA-BCD9-0DB4501E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5</Pages>
  <Words>1774</Words>
  <Characters>9649</Characters>
  <Application>Microsoft Office Word</Application>
  <DocSecurity>0</DocSecurity>
  <Lines>224</Lines>
  <Paragraphs>103</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11364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1700707</dc:title>
  <dc:subject>ECE/TRANS/WP.29/GRE/2017/2</dc:subject>
  <dc:creator>AFTER JUNE</dc:creator>
  <cp:keywords/>
  <dc:description/>
  <cp:lastModifiedBy>Anni Vi TIROL</cp:lastModifiedBy>
  <cp:revision>2</cp:revision>
  <cp:lastPrinted>2017-01-17T14:04:00Z</cp:lastPrinted>
  <dcterms:created xsi:type="dcterms:W3CDTF">2017-01-18T13:20:00Z</dcterms:created>
  <dcterms:modified xsi:type="dcterms:W3CDTF">2017-01-18T13:20:00Z</dcterms:modified>
</cp:coreProperties>
</file>