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514" w:rsidRPr="00E523BC" w:rsidRDefault="002B0F6B" w:rsidP="00856514">
      <w:pPr>
        <w:jc w:val="center"/>
        <w:rPr>
          <w:rFonts w:asciiTheme="majorHAnsi" w:hAnsiTheme="majorHAnsi" w:cstheme="majorHAnsi"/>
          <w:b/>
          <w:sz w:val="24"/>
          <w:szCs w:val="24"/>
        </w:rPr>
      </w:pPr>
      <w:r>
        <w:rPr>
          <w:rFonts w:asciiTheme="majorHAnsi" w:hAnsiTheme="majorHAnsi" w:cstheme="majorHAnsi"/>
          <w:b/>
          <w:sz w:val="24"/>
          <w:szCs w:val="24"/>
        </w:rPr>
        <w:t>Recommendation</w:t>
      </w:r>
      <w:r w:rsidR="00856514" w:rsidRPr="00E523BC">
        <w:rPr>
          <w:rFonts w:asciiTheme="majorHAnsi" w:hAnsiTheme="majorHAnsi" w:cstheme="majorHAnsi"/>
          <w:b/>
          <w:sz w:val="24"/>
          <w:szCs w:val="24"/>
        </w:rPr>
        <w:t xml:space="preserve"> on Article 15.3 of Revision 3 to the 1958 Agreement</w:t>
      </w:r>
    </w:p>
    <w:p w:rsidR="00856514" w:rsidRPr="00E523BC" w:rsidRDefault="00856514" w:rsidP="00010F03">
      <w:pPr>
        <w:rPr>
          <w:rFonts w:asciiTheme="majorHAnsi" w:hAnsiTheme="majorHAnsi" w:cstheme="majorHAnsi"/>
          <w:sz w:val="20"/>
          <w:szCs w:val="20"/>
        </w:rPr>
      </w:pPr>
    </w:p>
    <w:p w:rsidR="00374CAA" w:rsidRPr="00E523BC" w:rsidRDefault="00374CAA" w:rsidP="00010F03">
      <w:pPr>
        <w:rPr>
          <w:rFonts w:asciiTheme="majorHAnsi" w:hAnsiTheme="majorHAnsi" w:cstheme="majorHAnsi"/>
          <w:sz w:val="20"/>
          <w:szCs w:val="20"/>
        </w:rPr>
      </w:pPr>
      <w:r w:rsidRPr="00E523BC">
        <w:rPr>
          <w:rFonts w:asciiTheme="majorHAnsi" w:hAnsiTheme="majorHAnsi" w:cstheme="majorHAnsi" w:hint="eastAsia"/>
          <w:sz w:val="20"/>
          <w:szCs w:val="20"/>
        </w:rPr>
        <w:t xml:space="preserve">This document </w:t>
      </w:r>
      <w:r w:rsidR="00C6579E" w:rsidRPr="00E523BC">
        <w:rPr>
          <w:rFonts w:asciiTheme="majorHAnsi" w:hAnsiTheme="majorHAnsi" w:cstheme="majorHAnsi"/>
          <w:sz w:val="20"/>
          <w:szCs w:val="20"/>
        </w:rPr>
        <w:t xml:space="preserve">aims </w:t>
      </w:r>
      <w:r w:rsidR="002B0F6B">
        <w:rPr>
          <w:rFonts w:asciiTheme="majorHAnsi" w:hAnsiTheme="majorHAnsi" w:cstheme="majorHAnsi"/>
          <w:sz w:val="20"/>
          <w:szCs w:val="20"/>
        </w:rPr>
        <w:t>to</w:t>
      </w:r>
      <w:r w:rsidRPr="00E523BC">
        <w:rPr>
          <w:rFonts w:asciiTheme="majorHAnsi" w:hAnsiTheme="majorHAnsi" w:cstheme="majorHAnsi" w:hint="eastAsia"/>
          <w:sz w:val="20"/>
          <w:szCs w:val="20"/>
        </w:rPr>
        <w:t xml:space="preserve"> </w:t>
      </w:r>
      <w:r w:rsidR="00275369">
        <w:rPr>
          <w:rFonts w:asciiTheme="majorHAnsi" w:hAnsiTheme="majorHAnsi" w:cstheme="majorHAnsi"/>
          <w:sz w:val="20"/>
          <w:szCs w:val="20"/>
        </w:rPr>
        <w:t>resume</w:t>
      </w:r>
      <w:r w:rsidR="00592CB4" w:rsidRPr="00E523BC">
        <w:rPr>
          <w:rFonts w:asciiTheme="majorHAnsi" w:hAnsiTheme="majorHAnsi" w:cstheme="majorHAnsi" w:hint="eastAsia"/>
          <w:sz w:val="20"/>
          <w:szCs w:val="20"/>
        </w:rPr>
        <w:t xml:space="preserve"> </w:t>
      </w:r>
      <w:r w:rsidRPr="00E523BC">
        <w:rPr>
          <w:rFonts w:asciiTheme="majorHAnsi" w:hAnsiTheme="majorHAnsi" w:cstheme="majorHAnsi" w:hint="eastAsia"/>
          <w:sz w:val="20"/>
          <w:szCs w:val="20"/>
        </w:rPr>
        <w:t xml:space="preserve">consideration </w:t>
      </w:r>
      <w:r w:rsidR="00275369">
        <w:rPr>
          <w:rFonts w:asciiTheme="majorHAnsi" w:hAnsiTheme="majorHAnsi" w:cstheme="majorHAnsi"/>
          <w:sz w:val="20"/>
          <w:szCs w:val="20"/>
        </w:rPr>
        <w:t xml:space="preserve">of </w:t>
      </w:r>
      <w:r w:rsidR="00C6579E" w:rsidRPr="00E523BC">
        <w:rPr>
          <w:rFonts w:asciiTheme="majorHAnsi" w:hAnsiTheme="majorHAnsi" w:cstheme="majorHAnsi"/>
          <w:sz w:val="20"/>
          <w:szCs w:val="20"/>
        </w:rPr>
        <w:t xml:space="preserve">the </w:t>
      </w:r>
      <w:r w:rsidR="00C6579E" w:rsidRPr="00E523BC">
        <w:rPr>
          <w:rFonts w:asciiTheme="majorHAnsi" w:hAnsiTheme="majorHAnsi" w:cstheme="majorHAnsi" w:hint="eastAsia"/>
          <w:sz w:val="20"/>
          <w:szCs w:val="20"/>
        </w:rPr>
        <w:t xml:space="preserve">Informal </w:t>
      </w:r>
      <w:r w:rsidR="00F66F34">
        <w:rPr>
          <w:rFonts w:asciiTheme="majorHAnsi" w:hAnsiTheme="majorHAnsi" w:cstheme="majorHAnsi"/>
          <w:sz w:val="20"/>
          <w:szCs w:val="20"/>
        </w:rPr>
        <w:t xml:space="preserve">Working </w:t>
      </w:r>
      <w:r w:rsidR="00C6579E" w:rsidRPr="00E523BC">
        <w:rPr>
          <w:rFonts w:asciiTheme="majorHAnsi" w:hAnsiTheme="majorHAnsi" w:cstheme="majorHAnsi" w:hint="eastAsia"/>
          <w:sz w:val="20"/>
          <w:szCs w:val="20"/>
        </w:rPr>
        <w:t xml:space="preserve">Group </w:t>
      </w:r>
      <w:r w:rsidR="00F66F34">
        <w:rPr>
          <w:rFonts w:asciiTheme="majorHAnsi" w:hAnsiTheme="majorHAnsi" w:cstheme="majorHAnsi"/>
          <w:sz w:val="20"/>
          <w:szCs w:val="20"/>
        </w:rPr>
        <w:t>(</w:t>
      </w:r>
      <w:r w:rsidR="00AE00E0">
        <w:rPr>
          <w:rFonts w:asciiTheme="majorHAnsi" w:hAnsiTheme="majorHAnsi" w:cstheme="majorHAnsi"/>
          <w:sz w:val="20"/>
          <w:szCs w:val="20"/>
        </w:rPr>
        <w:t>IWG</w:t>
      </w:r>
      <w:r w:rsidR="00F66F34">
        <w:rPr>
          <w:rFonts w:asciiTheme="majorHAnsi" w:hAnsiTheme="majorHAnsi" w:cstheme="majorHAnsi"/>
          <w:sz w:val="20"/>
          <w:szCs w:val="20"/>
        </w:rPr>
        <w:t xml:space="preserve">) </w:t>
      </w:r>
      <w:r w:rsidR="00C6579E" w:rsidRPr="00E523BC">
        <w:rPr>
          <w:rFonts w:asciiTheme="majorHAnsi" w:hAnsiTheme="majorHAnsi" w:cstheme="majorHAnsi"/>
          <w:sz w:val="20"/>
          <w:szCs w:val="20"/>
        </w:rPr>
        <w:t>on the International Whole Vehicle Type Approval (</w:t>
      </w:r>
      <w:r w:rsidRPr="00E523BC">
        <w:rPr>
          <w:rFonts w:asciiTheme="majorHAnsi" w:hAnsiTheme="majorHAnsi" w:cstheme="majorHAnsi" w:hint="eastAsia"/>
          <w:sz w:val="20"/>
          <w:szCs w:val="20"/>
        </w:rPr>
        <w:t>IWVTA</w:t>
      </w:r>
      <w:r w:rsidR="00C6579E" w:rsidRPr="00E523BC">
        <w:rPr>
          <w:rFonts w:asciiTheme="majorHAnsi" w:hAnsiTheme="majorHAnsi" w:cstheme="majorHAnsi"/>
          <w:sz w:val="20"/>
          <w:szCs w:val="20"/>
        </w:rPr>
        <w:t>)</w:t>
      </w:r>
      <w:r w:rsidRPr="00E523BC">
        <w:rPr>
          <w:rFonts w:asciiTheme="majorHAnsi" w:hAnsiTheme="majorHAnsi" w:cstheme="majorHAnsi" w:hint="eastAsia"/>
          <w:sz w:val="20"/>
          <w:szCs w:val="20"/>
        </w:rPr>
        <w:t xml:space="preserve"> on </w:t>
      </w:r>
      <w:r w:rsidR="0020240B">
        <w:rPr>
          <w:rFonts w:asciiTheme="majorHAnsi" w:hAnsiTheme="majorHAnsi" w:cstheme="majorHAnsi"/>
          <w:sz w:val="20"/>
          <w:szCs w:val="20"/>
        </w:rPr>
        <w:t xml:space="preserve">an </w:t>
      </w:r>
      <w:r w:rsidR="00090DAF">
        <w:rPr>
          <w:rFonts w:asciiTheme="majorHAnsi" w:hAnsiTheme="majorHAnsi" w:cstheme="majorHAnsi"/>
          <w:sz w:val="20"/>
          <w:szCs w:val="20"/>
        </w:rPr>
        <w:t>interpretation of Article 15.3.</w:t>
      </w:r>
      <w:r w:rsidR="00275369">
        <w:rPr>
          <w:rFonts w:asciiTheme="majorHAnsi" w:hAnsiTheme="majorHAnsi" w:cstheme="majorHAnsi"/>
          <w:sz w:val="20"/>
          <w:szCs w:val="20"/>
        </w:rPr>
        <w:t>,</w:t>
      </w:r>
      <w:r w:rsidR="00090DAF">
        <w:rPr>
          <w:rFonts w:asciiTheme="majorHAnsi" w:hAnsiTheme="majorHAnsi" w:cstheme="majorHAnsi"/>
          <w:sz w:val="20"/>
          <w:szCs w:val="20"/>
        </w:rPr>
        <w:t xml:space="preserve"> </w:t>
      </w:r>
      <w:r w:rsidR="002B0F6B">
        <w:rPr>
          <w:rFonts w:asciiTheme="majorHAnsi" w:hAnsiTheme="majorHAnsi" w:cstheme="majorHAnsi"/>
          <w:sz w:val="20"/>
          <w:szCs w:val="20"/>
        </w:rPr>
        <w:t xml:space="preserve">as explained in document SG58-22-05. It </w:t>
      </w:r>
      <w:r w:rsidR="00090DAF">
        <w:rPr>
          <w:rFonts w:asciiTheme="majorHAnsi" w:hAnsiTheme="majorHAnsi" w:cstheme="majorHAnsi"/>
          <w:sz w:val="20"/>
          <w:szCs w:val="20"/>
        </w:rPr>
        <w:t>addresses</w:t>
      </w:r>
      <w:r w:rsidRPr="00E523BC">
        <w:rPr>
          <w:rFonts w:asciiTheme="majorHAnsi" w:hAnsiTheme="majorHAnsi" w:cstheme="majorHAnsi" w:hint="eastAsia"/>
          <w:sz w:val="20"/>
          <w:szCs w:val="20"/>
        </w:rPr>
        <w:t xml:space="preserve"> </w:t>
      </w:r>
      <w:r w:rsidRPr="00E523BC">
        <w:rPr>
          <w:rFonts w:asciiTheme="majorHAnsi" w:hAnsiTheme="majorHAnsi" w:cstheme="majorHAnsi"/>
          <w:sz w:val="20"/>
          <w:szCs w:val="20"/>
        </w:rPr>
        <w:t xml:space="preserve">whether </w:t>
      </w:r>
      <w:r w:rsidR="00592CB4" w:rsidRPr="00E523BC">
        <w:rPr>
          <w:rFonts w:asciiTheme="majorHAnsi" w:hAnsiTheme="majorHAnsi" w:cstheme="majorHAnsi" w:hint="eastAsia"/>
          <w:sz w:val="20"/>
          <w:szCs w:val="20"/>
        </w:rPr>
        <w:t xml:space="preserve">or not </w:t>
      </w:r>
      <w:r w:rsidRPr="00E523BC">
        <w:rPr>
          <w:rFonts w:asciiTheme="majorHAnsi" w:hAnsiTheme="majorHAnsi" w:cstheme="majorHAnsi"/>
          <w:sz w:val="20"/>
          <w:szCs w:val="20"/>
        </w:rPr>
        <w:t xml:space="preserve">the administrative procedures </w:t>
      </w:r>
      <w:r w:rsidR="00090DAF">
        <w:rPr>
          <w:rFonts w:asciiTheme="majorHAnsi" w:hAnsiTheme="majorHAnsi" w:cstheme="majorHAnsi"/>
          <w:sz w:val="20"/>
          <w:szCs w:val="20"/>
        </w:rPr>
        <w:t xml:space="preserve">of Revision 3 </w:t>
      </w:r>
      <w:r w:rsidR="00592CB4" w:rsidRPr="00E523BC">
        <w:rPr>
          <w:rFonts w:asciiTheme="majorHAnsi" w:hAnsiTheme="majorHAnsi" w:cstheme="majorHAnsi" w:hint="eastAsia"/>
          <w:sz w:val="20"/>
          <w:szCs w:val="20"/>
        </w:rPr>
        <w:t xml:space="preserve">should also be followed for the type approvals already granted under former </w:t>
      </w:r>
      <w:r w:rsidR="00C6579E" w:rsidRPr="00E523BC">
        <w:rPr>
          <w:rFonts w:asciiTheme="majorHAnsi" w:hAnsiTheme="majorHAnsi" w:cstheme="majorHAnsi" w:hint="eastAsia"/>
          <w:sz w:val="20"/>
          <w:szCs w:val="20"/>
        </w:rPr>
        <w:t>Revisions to the 1958 Agreement</w:t>
      </w:r>
      <w:r w:rsidR="006E0344" w:rsidRPr="00E523BC">
        <w:rPr>
          <w:rFonts w:asciiTheme="majorHAnsi" w:hAnsiTheme="majorHAnsi" w:cstheme="majorHAnsi" w:hint="eastAsia"/>
          <w:sz w:val="20"/>
          <w:szCs w:val="20"/>
        </w:rPr>
        <w:t>.</w:t>
      </w:r>
    </w:p>
    <w:p w:rsidR="00374CAA" w:rsidRPr="00E523BC" w:rsidRDefault="00374CAA" w:rsidP="00010F03">
      <w:pPr>
        <w:rPr>
          <w:rFonts w:asciiTheme="majorHAnsi" w:hAnsiTheme="majorHAnsi" w:cstheme="majorHAnsi"/>
          <w:sz w:val="20"/>
          <w:szCs w:val="20"/>
        </w:rPr>
      </w:pPr>
    </w:p>
    <w:p w:rsidR="00586E41" w:rsidRPr="00E523BC" w:rsidRDefault="00586E41" w:rsidP="00010F03">
      <w:pPr>
        <w:rPr>
          <w:rFonts w:asciiTheme="majorHAnsi" w:hAnsiTheme="majorHAnsi" w:cstheme="majorHAnsi"/>
          <w:sz w:val="20"/>
          <w:szCs w:val="20"/>
        </w:rPr>
      </w:pPr>
      <w:r w:rsidRPr="00E523BC">
        <w:rPr>
          <w:rFonts w:asciiTheme="majorHAnsi" w:hAnsiTheme="majorHAnsi" w:cstheme="majorHAnsi"/>
          <w:sz w:val="20"/>
          <w:szCs w:val="20"/>
          <w:u w:val="single"/>
        </w:rPr>
        <w:t>Introduction</w:t>
      </w:r>
      <w:r w:rsidRPr="00E523BC">
        <w:rPr>
          <w:rFonts w:asciiTheme="majorHAnsi" w:hAnsiTheme="majorHAnsi" w:cstheme="majorHAnsi"/>
          <w:sz w:val="20"/>
          <w:szCs w:val="20"/>
        </w:rPr>
        <w:t>:</w:t>
      </w:r>
    </w:p>
    <w:p w:rsidR="0008765D" w:rsidRDefault="0008765D" w:rsidP="0008765D">
      <w:pPr>
        <w:rPr>
          <w:rFonts w:asciiTheme="majorHAnsi" w:hAnsiTheme="majorHAnsi" w:cstheme="majorHAnsi"/>
          <w:sz w:val="20"/>
          <w:szCs w:val="20"/>
        </w:rPr>
      </w:pPr>
      <w:r w:rsidRPr="00E523BC">
        <w:rPr>
          <w:rFonts w:asciiTheme="majorHAnsi" w:hAnsiTheme="majorHAnsi" w:cstheme="majorHAnsi"/>
          <w:sz w:val="20"/>
          <w:szCs w:val="20"/>
        </w:rPr>
        <w:t>Article 15, paragr</w:t>
      </w:r>
      <w:r>
        <w:rPr>
          <w:rFonts w:asciiTheme="majorHAnsi" w:hAnsiTheme="majorHAnsi" w:cstheme="majorHAnsi"/>
          <w:sz w:val="20"/>
          <w:szCs w:val="20"/>
        </w:rPr>
        <w:t xml:space="preserve">aph 3 of the Agreement give </w:t>
      </w:r>
      <w:r w:rsidR="00610505">
        <w:rPr>
          <w:rFonts w:asciiTheme="majorHAnsi" w:hAnsiTheme="majorHAnsi" w:cstheme="majorHAnsi"/>
          <w:sz w:val="20"/>
          <w:szCs w:val="20"/>
        </w:rPr>
        <w:t>Contracting Parties (</w:t>
      </w:r>
      <w:r w:rsidRPr="00B46EE2">
        <w:rPr>
          <w:rFonts w:asciiTheme="majorHAnsi" w:hAnsiTheme="majorHAnsi" w:cstheme="majorHAnsi"/>
          <w:sz w:val="20"/>
          <w:szCs w:val="20"/>
        </w:rPr>
        <w:t>CP</w:t>
      </w:r>
      <w:r w:rsidR="00610505">
        <w:rPr>
          <w:rFonts w:asciiTheme="majorHAnsi" w:hAnsiTheme="majorHAnsi" w:cstheme="majorHAnsi"/>
          <w:sz w:val="20"/>
          <w:szCs w:val="20"/>
        </w:rPr>
        <w:t>)</w:t>
      </w:r>
      <w:r w:rsidRPr="00B46EE2">
        <w:rPr>
          <w:rFonts w:asciiTheme="majorHAnsi" w:hAnsiTheme="majorHAnsi" w:cstheme="majorHAnsi"/>
          <w:sz w:val="20"/>
          <w:szCs w:val="20"/>
        </w:rPr>
        <w:t xml:space="preserve"> </w:t>
      </w:r>
      <w:r w:rsidRPr="00E523BC">
        <w:rPr>
          <w:rFonts w:asciiTheme="majorHAnsi" w:hAnsiTheme="majorHAnsi" w:cstheme="majorHAnsi"/>
          <w:sz w:val="20"/>
          <w:szCs w:val="20"/>
        </w:rPr>
        <w:t>the possibility to treat any existing UN Regulations under the terms of new Revision 3 to the 1958 Agreement:</w:t>
      </w:r>
    </w:p>
    <w:p w:rsidR="0008765D" w:rsidRPr="00E523BC" w:rsidRDefault="0008765D" w:rsidP="0008765D">
      <w:pPr>
        <w:pStyle w:val="SingleTxtG"/>
        <w:tabs>
          <w:tab w:val="left" w:pos="1701"/>
        </w:tabs>
        <w:ind w:left="567"/>
        <w:rPr>
          <w:lang w:val="en-GB"/>
        </w:rPr>
      </w:pPr>
      <w:r>
        <w:rPr>
          <w:lang w:val="en-GB"/>
        </w:rPr>
        <w:t>"Art.15.</w:t>
      </w:r>
      <w:r w:rsidRPr="00E523BC">
        <w:rPr>
          <w:lang w:val="en-GB"/>
        </w:rPr>
        <w:t>3.</w:t>
      </w:r>
      <w:r w:rsidRPr="00E523BC">
        <w:rPr>
          <w:lang w:val="en-GB"/>
        </w:rPr>
        <w:tab/>
        <w:t>If all Contracting Parties to the Agreement agree, any UN Regulation adopted under the terms of the previous version of the Agreement may be treated as though it were a UN Regulation adopted under the terms of the above provisions."</w:t>
      </w:r>
    </w:p>
    <w:p w:rsidR="00586E41" w:rsidRPr="00E523BC" w:rsidRDefault="00586E41" w:rsidP="00010F03">
      <w:pPr>
        <w:rPr>
          <w:rFonts w:asciiTheme="majorHAnsi" w:hAnsiTheme="majorHAnsi" w:cstheme="majorHAnsi"/>
          <w:sz w:val="20"/>
          <w:szCs w:val="20"/>
        </w:rPr>
      </w:pPr>
    </w:p>
    <w:p w:rsidR="00010F03" w:rsidRPr="00E523BC" w:rsidRDefault="00777228" w:rsidP="00010F03">
      <w:pPr>
        <w:rPr>
          <w:rFonts w:asciiTheme="majorHAnsi" w:hAnsiTheme="majorHAnsi" w:cstheme="majorHAnsi"/>
          <w:sz w:val="20"/>
          <w:szCs w:val="20"/>
        </w:rPr>
      </w:pPr>
      <w:r w:rsidRPr="00777228">
        <w:rPr>
          <w:rFonts w:asciiTheme="majorHAnsi" w:hAnsiTheme="majorHAnsi" w:cstheme="majorHAnsi"/>
          <w:sz w:val="20"/>
          <w:szCs w:val="20"/>
        </w:rPr>
        <w:t>When taking a decision on how to proceed with UN Regulations annexed to the Agreement</w:t>
      </w:r>
      <w:r>
        <w:rPr>
          <w:rFonts w:asciiTheme="majorHAnsi" w:hAnsiTheme="majorHAnsi" w:cstheme="majorHAnsi"/>
          <w:sz w:val="20"/>
          <w:szCs w:val="20"/>
        </w:rPr>
        <w:t>,</w:t>
      </w:r>
      <w:r w:rsidRPr="00777228">
        <w:rPr>
          <w:rFonts w:asciiTheme="majorHAnsi" w:hAnsiTheme="majorHAnsi" w:cstheme="majorHAnsi"/>
          <w:sz w:val="20"/>
          <w:szCs w:val="20"/>
        </w:rPr>
        <w:t xml:space="preserve"> the following aspects have to be considered by the Contractin</w:t>
      </w:r>
      <w:r>
        <w:rPr>
          <w:rFonts w:asciiTheme="majorHAnsi" w:hAnsiTheme="majorHAnsi" w:cstheme="majorHAnsi"/>
          <w:sz w:val="20"/>
          <w:szCs w:val="20"/>
        </w:rPr>
        <w:t>g Parties to the 1958 Agreement</w:t>
      </w:r>
      <w:r w:rsidR="00010F03" w:rsidRPr="00E523BC">
        <w:rPr>
          <w:rFonts w:asciiTheme="majorHAnsi" w:hAnsiTheme="majorHAnsi" w:cstheme="majorHAnsi" w:hint="eastAsia"/>
          <w:sz w:val="20"/>
          <w:szCs w:val="20"/>
        </w:rPr>
        <w:t>:</w:t>
      </w:r>
    </w:p>
    <w:p w:rsidR="00275369" w:rsidRDefault="00010F03" w:rsidP="00856514">
      <w:pPr>
        <w:tabs>
          <w:tab w:val="left" w:pos="567"/>
        </w:tabs>
        <w:ind w:left="1134" w:hanging="1134"/>
        <w:rPr>
          <w:rFonts w:asciiTheme="majorHAnsi" w:hAnsiTheme="majorHAnsi" w:cstheme="majorHAnsi"/>
          <w:sz w:val="20"/>
          <w:szCs w:val="20"/>
        </w:rPr>
      </w:pPr>
      <w:r w:rsidRPr="00E523BC">
        <w:rPr>
          <w:rFonts w:asciiTheme="majorHAnsi" w:hAnsiTheme="majorHAnsi" w:cstheme="majorHAnsi" w:hint="eastAsia"/>
          <w:sz w:val="20"/>
          <w:szCs w:val="20"/>
        </w:rPr>
        <w:tab/>
      </w:r>
      <w:r w:rsidR="00856514" w:rsidRPr="00E523BC">
        <w:rPr>
          <w:rFonts w:asciiTheme="majorHAnsi" w:hAnsiTheme="majorHAnsi" w:cstheme="majorHAnsi" w:hint="eastAsia"/>
          <w:sz w:val="20"/>
          <w:szCs w:val="20"/>
        </w:rPr>
        <w:t>(a)</w:t>
      </w:r>
      <w:r w:rsidR="00856514" w:rsidRPr="00E523BC">
        <w:rPr>
          <w:rFonts w:asciiTheme="majorHAnsi" w:hAnsiTheme="majorHAnsi" w:cstheme="majorHAnsi"/>
          <w:sz w:val="20"/>
          <w:szCs w:val="20"/>
        </w:rPr>
        <w:tab/>
      </w:r>
      <w:r w:rsidR="00275369" w:rsidRPr="00E523BC">
        <w:rPr>
          <w:rFonts w:asciiTheme="majorHAnsi" w:hAnsiTheme="majorHAnsi" w:cstheme="majorHAnsi"/>
          <w:sz w:val="20"/>
          <w:szCs w:val="20"/>
        </w:rPr>
        <w:t>The</w:t>
      </w:r>
      <w:r w:rsidR="00275369" w:rsidRPr="00E523BC">
        <w:rPr>
          <w:rFonts w:asciiTheme="majorHAnsi" w:hAnsiTheme="majorHAnsi" w:cstheme="majorHAnsi" w:hint="eastAsia"/>
          <w:sz w:val="20"/>
          <w:szCs w:val="20"/>
        </w:rPr>
        <w:t xml:space="preserve"> provisions of the new Schedules for the administrative procedures</w:t>
      </w:r>
      <w:r w:rsidR="00275369">
        <w:rPr>
          <w:rFonts w:asciiTheme="majorHAnsi" w:hAnsiTheme="majorHAnsi" w:cstheme="majorHAnsi"/>
          <w:sz w:val="20"/>
          <w:szCs w:val="20"/>
        </w:rPr>
        <w:t xml:space="preserve"> and specifically the more stringent </w:t>
      </w:r>
      <w:r w:rsidR="00275369" w:rsidRPr="00A25D33">
        <w:rPr>
          <w:rFonts w:asciiTheme="majorHAnsi" w:hAnsiTheme="majorHAnsi" w:cstheme="majorHAnsi"/>
          <w:sz w:val="20"/>
          <w:szCs w:val="20"/>
        </w:rPr>
        <w:t>provisions for the Conformity of Production (</w:t>
      </w:r>
      <w:proofErr w:type="spellStart"/>
      <w:r w:rsidR="00275369" w:rsidRPr="00A25D33">
        <w:rPr>
          <w:rFonts w:asciiTheme="majorHAnsi" w:hAnsiTheme="majorHAnsi" w:cstheme="majorHAnsi"/>
          <w:sz w:val="20"/>
          <w:szCs w:val="20"/>
        </w:rPr>
        <w:t>CoP</w:t>
      </w:r>
      <w:proofErr w:type="spellEnd"/>
      <w:r w:rsidR="00275369" w:rsidRPr="00A25D33">
        <w:rPr>
          <w:rFonts w:asciiTheme="majorHAnsi" w:hAnsiTheme="majorHAnsi" w:cstheme="majorHAnsi"/>
          <w:sz w:val="20"/>
          <w:szCs w:val="20"/>
        </w:rPr>
        <w:t>)</w:t>
      </w:r>
      <w:r w:rsidR="00275369">
        <w:rPr>
          <w:rFonts w:asciiTheme="majorHAnsi" w:hAnsiTheme="majorHAnsi" w:cstheme="majorHAnsi"/>
          <w:sz w:val="20"/>
          <w:szCs w:val="20"/>
        </w:rPr>
        <w:t>;</w:t>
      </w:r>
      <w:r w:rsidR="00275369">
        <w:rPr>
          <w:rStyle w:val="FootnoteReference"/>
          <w:rFonts w:asciiTheme="majorHAnsi" w:hAnsiTheme="majorHAnsi" w:cstheme="majorHAnsi"/>
          <w:sz w:val="20"/>
          <w:szCs w:val="20"/>
        </w:rPr>
        <w:footnoteReference w:id="1"/>
      </w:r>
    </w:p>
    <w:p w:rsidR="00010F03" w:rsidRPr="00E523BC" w:rsidRDefault="00275369" w:rsidP="00856514">
      <w:pPr>
        <w:tabs>
          <w:tab w:val="left" w:pos="567"/>
        </w:tabs>
        <w:ind w:left="1134" w:hanging="1134"/>
        <w:rPr>
          <w:rFonts w:asciiTheme="majorHAnsi" w:hAnsiTheme="majorHAnsi" w:cstheme="majorHAnsi"/>
          <w:sz w:val="20"/>
          <w:szCs w:val="20"/>
        </w:rPr>
      </w:pPr>
      <w:r>
        <w:rPr>
          <w:rFonts w:asciiTheme="majorHAnsi" w:hAnsiTheme="majorHAnsi" w:cstheme="majorHAnsi"/>
          <w:sz w:val="20"/>
          <w:szCs w:val="20"/>
        </w:rPr>
        <w:tab/>
      </w:r>
      <w:r w:rsidRPr="00E523BC">
        <w:rPr>
          <w:rFonts w:asciiTheme="majorHAnsi" w:hAnsiTheme="majorHAnsi" w:cstheme="majorHAnsi" w:hint="eastAsia"/>
          <w:sz w:val="20"/>
          <w:szCs w:val="20"/>
        </w:rPr>
        <w:t>(b)</w:t>
      </w:r>
      <w:r>
        <w:rPr>
          <w:rFonts w:asciiTheme="majorHAnsi" w:hAnsiTheme="majorHAnsi" w:cstheme="majorHAnsi"/>
          <w:sz w:val="20"/>
          <w:szCs w:val="20"/>
        </w:rPr>
        <w:tab/>
      </w:r>
      <w:r w:rsidRPr="00E523BC">
        <w:rPr>
          <w:rFonts w:asciiTheme="majorHAnsi" w:hAnsiTheme="majorHAnsi" w:cstheme="majorHAnsi"/>
          <w:sz w:val="20"/>
          <w:szCs w:val="20"/>
        </w:rPr>
        <w:t>The</w:t>
      </w:r>
      <w:r w:rsidRPr="00E523BC">
        <w:rPr>
          <w:rFonts w:asciiTheme="majorHAnsi" w:hAnsiTheme="majorHAnsi" w:cstheme="majorHAnsi" w:hint="eastAsia"/>
          <w:sz w:val="20"/>
          <w:szCs w:val="20"/>
        </w:rPr>
        <w:t xml:space="preserve"> modified voting conditions for the adoption of amendme</w:t>
      </w:r>
      <w:r>
        <w:rPr>
          <w:rFonts w:asciiTheme="majorHAnsi" w:hAnsiTheme="majorHAnsi" w:cstheme="majorHAnsi" w:hint="eastAsia"/>
          <w:sz w:val="20"/>
          <w:szCs w:val="20"/>
        </w:rPr>
        <w:t>nts to existing UN Regulations</w:t>
      </w:r>
      <w:r w:rsidR="00010F03" w:rsidRPr="00E523BC">
        <w:rPr>
          <w:rFonts w:asciiTheme="majorHAnsi" w:hAnsiTheme="majorHAnsi" w:cstheme="majorHAnsi" w:hint="eastAsia"/>
          <w:sz w:val="20"/>
          <w:szCs w:val="20"/>
        </w:rPr>
        <w:t>;</w:t>
      </w:r>
    </w:p>
    <w:p w:rsidR="00010F03" w:rsidRPr="00E523BC" w:rsidRDefault="00010F03" w:rsidP="00856514">
      <w:pPr>
        <w:tabs>
          <w:tab w:val="left" w:pos="567"/>
        </w:tabs>
        <w:ind w:left="1134" w:hanging="1134"/>
        <w:rPr>
          <w:rFonts w:asciiTheme="majorHAnsi" w:hAnsiTheme="majorHAnsi" w:cstheme="majorHAnsi"/>
          <w:sz w:val="20"/>
          <w:szCs w:val="20"/>
        </w:rPr>
      </w:pPr>
      <w:r w:rsidRPr="00E523BC">
        <w:rPr>
          <w:rFonts w:asciiTheme="majorHAnsi" w:hAnsiTheme="majorHAnsi" w:cstheme="majorHAnsi" w:hint="eastAsia"/>
          <w:sz w:val="20"/>
          <w:szCs w:val="20"/>
        </w:rPr>
        <w:tab/>
      </w:r>
      <w:r w:rsidR="00275369" w:rsidRPr="00E523BC">
        <w:rPr>
          <w:rFonts w:asciiTheme="majorHAnsi" w:hAnsiTheme="majorHAnsi" w:cstheme="majorHAnsi" w:hint="eastAsia"/>
          <w:sz w:val="20"/>
          <w:szCs w:val="20"/>
        </w:rPr>
        <w:t>(c)</w:t>
      </w:r>
      <w:r w:rsidR="00856514" w:rsidRPr="00E523BC">
        <w:rPr>
          <w:rFonts w:asciiTheme="majorHAnsi" w:hAnsiTheme="majorHAnsi" w:cstheme="majorHAnsi"/>
          <w:sz w:val="20"/>
          <w:szCs w:val="20"/>
        </w:rPr>
        <w:tab/>
      </w:r>
      <w:r w:rsidR="00F66F34" w:rsidRPr="00E523BC">
        <w:rPr>
          <w:rFonts w:asciiTheme="majorHAnsi" w:hAnsiTheme="majorHAnsi" w:cstheme="majorHAnsi"/>
          <w:sz w:val="20"/>
          <w:szCs w:val="20"/>
        </w:rPr>
        <w:t>The</w:t>
      </w:r>
      <w:r w:rsidRPr="00E523BC">
        <w:rPr>
          <w:rFonts w:asciiTheme="majorHAnsi" w:hAnsiTheme="majorHAnsi" w:cstheme="majorHAnsi" w:hint="eastAsia"/>
          <w:sz w:val="20"/>
          <w:szCs w:val="20"/>
        </w:rPr>
        <w:t xml:space="preserve"> </w:t>
      </w:r>
      <w:r w:rsidR="00436177" w:rsidRPr="00E523BC">
        <w:rPr>
          <w:rFonts w:asciiTheme="majorHAnsi" w:hAnsiTheme="majorHAnsi" w:cstheme="majorHAnsi"/>
          <w:sz w:val="20"/>
          <w:szCs w:val="20"/>
        </w:rPr>
        <w:t>possibility</w:t>
      </w:r>
      <w:r w:rsidRPr="00E523BC">
        <w:rPr>
          <w:rFonts w:asciiTheme="majorHAnsi" w:hAnsiTheme="majorHAnsi" w:cstheme="majorHAnsi" w:hint="eastAsia"/>
          <w:sz w:val="20"/>
          <w:szCs w:val="20"/>
        </w:rPr>
        <w:t xml:space="preserve"> by </w:t>
      </w:r>
      <w:r w:rsidR="00856514" w:rsidRPr="00E523BC">
        <w:rPr>
          <w:rFonts w:asciiTheme="majorHAnsi" w:hAnsiTheme="majorHAnsi" w:cstheme="majorHAnsi"/>
          <w:sz w:val="20"/>
          <w:szCs w:val="20"/>
        </w:rPr>
        <w:t xml:space="preserve">CP </w:t>
      </w:r>
      <w:r w:rsidRPr="00E523BC">
        <w:rPr>
          <w:rFonts w:asciiTheme="majorHAnsi" w:hAnsiTheme="majorHAnsi" w:cstheme="majorHAnsi" w:hint="eastAsia"/>
          <w:sz w:val="20"/>
          <w:szCs w:val="20"/>
        </w:rPr>
        <w:t>to grant type approvals according to former versions of UN Regulations;</w:t>
      </w:r>
    </w:p>
    <w:p w:rsidR="00010F03" w:rsidRPr="00E523BC" w:rsidRDefault="00010F03" w:rsidP="00856514">
      <w:pPr>
        <w:tabs>
          <w:tab w:val="left" w:pos="567"/>
        </w:tabs>
        <w:ind w:left="1134" w:hanging="1134"/>
        <w:rPr>
          <w:rFonts w:asciiTheme="majorHAnsi" w:hAnsiTheme="majorHAnsi" w:cstheme="majorHAnsi"/>
          <w:sz w:val="20"/>
          <w:szCs w:val="20"/>
        </w:rPr>
      </w:pPr>
      <w:r w:rsidRPr="00E523BC">
        <w:rPr>
          <w:rFonts w:asciiTheme="majorHAnsi" w:hAnsiTheme="majorHAnsi" w:cstheme="majorHAnsi" w:hint="eastAsia"/>
          <w:sz w:val="20"/>
          <w:szCs w:val="20"/>
        </w:rPr>
        <w:tab/>
      </w:r>
      <w:r w:rsidR="00275369" w:rsidRPr="00E523BC">
        <w:rPr>
          <w:rFonts w:asciiTheme="majorHAnsi" w:hAnsiTheme="majorHAnsi" w:cstheme="majorHAnsi" w:hint="eastAsia"/>
          <w:sz w:val="20"/>
          <w:szCs w:val="20"/>
        </w:rPr>
        <w:t>(d)</w:t>
      </w:r>
      <w:r w:rsidR="00856514" w:rsidRPr="00E523BC">
        <w:rPr>
          <w:rFonts w:asciiTheme="majorHAnsi" w:hAnsiTheme="majorHAnsi" w:cstheme="majorHAnsi"/>
          <w:sz w:val="20"/>
          <w:szCs w:val="20"/>
        </w:rPr>
        <w:tab/>
      </w:r>
      <w:r w:rsidR="00F66F34" w:rsidRPr="00E523BC">
        <w:rPr>
          <w:rFonts w:asciiTheme="majorHAnsi" w:hAnsiTheme="majorHAnsi" w:cstheme="majorHAnsi"/>
          <w:sz w:val="20"/>
          <w:szCs w:val="20"/>
        </w:rPr>
        <w:t>The</w:t>
      </w:r>
      <w:r w:rsidRPr="00E523BC">
        <w:rPr>
          <w:rFonts w:asciiTheme="majorHAnsi" w:hAnsiTheme="majorHAnsi" w:cstheme="majorHAnsi" w:hint="eastAsia"/>
          <w:sz w:val="20"/>
          <w:szCs w:val="20"/>
        </w:rPr>
        <w:t xml:space="preserve"> use of </w:t>
      </w:r>
      <w:r w:rsidR="00275369">
        <w:rPr>
          <w:rFonts w:asciiTheme="majorHAnsi" w:hAnsiTheme="majorHAnsi" w:cstheme="majorHAnsi"/>
          <w:sz w:val="20"/>
          <w:szCs w:val="20"/>
        </w:rPr>
        <w:t xml:space="preserve">the </w:t>
      </w:r>
      <w:r w:rsidR="002707AC">
        <w:rPr>
          <w:rFonts w:asciiTheme="majorHAnsi" w:hAnsiTheme="majorHAnsi" w:cstheme="majorHAnsi"/>
          <w:sz w:val="20"/>
          <w:szCs w:val="20"/>
        </w:rPr>
        <w:t>Database for the Exchange of Type Approvals (</w:t>
      </w:r>
      <w:r w:rsidRPr="00E523BC">
        <w:rPr>
          <w:rFonts w:asciiTheme="majorHAnsi" w:hAnsiTheme="majorHAnsi" w:cstheme="majorHAnsi" w:hint="eastAsia"/>
          <w:sz w:val="20"/>
          <w:szCs w:val="20"/>
        </w:rPr>
        <w:t>DETA</w:t>
      </w:r>
      <w:r w:rsidR="002707AC">
        <w:rPr>
          <w:rFonts w:asciiTheme="majorHAnsi" w:hAnsiTheme="majorHAnsi" w:cstheme="majorHAnsi"/>
          <w:sz w:val="20"/>
          <w:szCs w:val="20"/>
        </w:rPr>
        <w:t>)</w:t>
      </w:r>
      <w:r w:rsidRPr="00E523BC">
        <w:rPr>
          <w:rFonts w:asciiTheme="majorHAnsi" w:hAnsiTheme="majorHAnsi" w:cstheme="majorHAnsi" w:hint="eastAsia"/>
          <w:sz w:val="20"/>
          <w:szCs w:val="20"/>
        </w:rPr>
        <w:t xml:space="preserve"> between all </w:t>
      </w:r>
      <w:r w:rsidR="002707AC">
        <w:rPr>
          <w:rFonts w:asciiTheme="majorHAnsi" w:hAnsiTheme="majorHAnsi" w:cstheme="majorHAnsi"/>
          <w:sz w:val="20"/>
          <w:szCs w:val="20"/>
        </w:rPr>
        <w:t>CP</w:t>
      </w:r>
      <w:r w:rsidRPr="00E523BC">
        <w:rPr>
          <w:rFonts w:asciiTheme="majorHAnsi" w:hAnsiTheme="majorHAnsi" w:cstheme="majorHAnsi" w:hint="eastAsia"/>
          <w:sz w:val="20"/>
          <w:szCs w:val="20"/>
        </w:rPr>
        <w:t>;</w:t>
      </w:r>
      <w:r w:rsidR="00275369" w:rsidRPr="00275369">
        <w:rPr>
          <w:rFonts w:asciiTheme="majorHAnsi" w:hAnsiTheme="majorHAnsi" w:cstheme="majorHAnsi" w:hint="eastAsia"/>
          <w:sz w:val="20"/>
          <w:szCs w:val="20"/>
        </w:rPr>
        <w:t xml:space="preserve"> </w:t>
      </w:r>
      <w:r w:rsidR="00275369" w:rsidRPr="00E523BC">
        <w:rPr>
          <w:rFonts w:asciiTheme="majorHAnsi" w:hAnsiTheme="majorHAnsi" w:cstheme="majorHAnsi" w:hint="eastAsia"/>
          <w:sz w:val="20"/>
          <w:szCs w:val="20"/>
        </w:rPr>
        <w:t>and</w:t>
      </w:r>
    </w:p>
    <w:p w:rsidR="00010F03" w:rsidRPr="00E523BC" w:rsidRDefault="00010F03" w:rsidP="00856514">
      <w:pPr>
        <w:tabs>
          <w:tab w:val="left" w:pos="567"/>
        </w:tabs>
        <w:ind w:left="1134" w:hanging="1134"/>
        <w:rPr>
          <w:rFonts w:asciiTheme="majorHAnsi" w:hAnsiTheme="majorHAnsi" w:cstheme="majorHAnsi"/>
          <w:sz w:val="20"/>
          <w:szCs w:val="20"/>
        </w:rPr>
      </w:pPr>
      <w:r w:rsidRPr="00E523BC">
        <w:rPr>
          <w:rFonts w:asciiTheme="majorHAnsi" w:hAnsiTheme="majorHAnsi" w:cstheme="majorHAnsi" w:hint="eastAsia"/>
          <w:sz w:val="20"/>
          <w:szCs w:val="20"/>
        </w:rPr>
        <w:tab/>
      </w:r>
      <w:r w:rsidR="00275369" w:rsidRPr="00E523BC">
        <w:rPr>
          <w:rFonts w:asciiTheme="majorHAnsi" w:hAnsiTheme="majorHAnsi" w:cstheme="majorHAnsi" w:hint="eastAsia"/>
          <w:sz w:val="20"/>
          <w:szCs w:val="20"/>
        </w:rPr>
        <w:t>(e)</w:t>
      </w:r>
      <w:r w:rsidR="00856514" w:rsidRPr="00E523BC">
        <w:rPr>
          <w:rFonts w:asciiTheme="majorHAnsi" w:hAnsiTheme="majorHAnsi" w:cstheme="majorHAnsi"/>
          <w:sz w:val="20"/>
          <w:szCs w:val="20"/>
        </w:rPr>
        <w:tab/>
      </w:r>
      <w:r w:rsidR="00275369" w:rsidRPr="00E523BC">
        <w:rPr>
          <w:rFonts w:asciiTheme="majorHAnsi" w:hAnsiTheme="majorHAnsi" w:cstheme="majorHAnsi"/>
          <w:sz w:val="20"/>
          <w:szCs w:val="20"/>
        </w:rPr>
        <w:t>The</w:t>
      </w:r>
      <w:r w:rsidR="00275369" w:rsidRPr="00E523BC">
        <w:rPr>
          <w:rFonts w:asciiTheme="majorHAnsi" w:hAnsiTheme="majorHAnsi" w:cstheme="majorHAnsi" w:hint="eastAsia"/>
          <w:sz w:val="20"/>
          <w:szCs w:val="20"/>
        </w:rPr>
        <w:t xml:space="preserve"> new provisions for the IWVTA</w:t>
      </w:r>
      <w:r w:rsidR="00275369" w:rsidRPr="00F66F34">
        <w:rPr>
          <w:rFonts w:asciiTheme="majorHAnsi" w:hAnsiTheme="majorHAnsi" w:cstheme="majorHAnsi" w:hint="eastAsia"/>
          <w:sz w:val="20"/>
          <w:szCs w:val="20"/>
        </w:rPr>
        <w:t xml:space="preserve"> </w:t>
      </w:r>
      <w:r w:rsidR="00275369" w:rsidRPr="00E523BC">
        <w:rPr>
          <w:rFonts w:asciiTheme="majorHAnsi" w:hAnsiTheme="majorHAnsi" w:cstheme="majorHAnsi" w:hint="eastAsia"/>
          <w:sz w:val="20"/>
          <w:szCs w:val="20"/>
        </w:rPr>
        <w:t>system</w:t>
      </w:r>
      <w:r w:rsidR="00275369">
        <w:rPr>
          <w:rFonts w:asciiTheme="majorHAnsi" w:hAnsiTheme="majorHAnsi" w:cstheme="majorHAnsi"/>
          <w:sz w:val="20"/>
          <w:szCs w:val="20"/>
        </w:rPr>
        <w:t>.</w:t>
      </w:r>
    </w:p>
    <w:p w:rsidR="00010F03" w:rsidRPr="00E523BC" w:rsidRDefault="00010F03" w:rsidP="00010F03">
      <w:pPr>
        <w:rPr>
          <w:rFonts w:asciiTheme="majorHAnsi" w:hAnsiTheme="majorHAnsi" w:cstheme="majorHAnsi"/>
          <w:sz w:val="20"/>
          <w:szCs w:val="20"/>
        </w:rPr>
      </w:pPr>
    </w:p>
    <w:p w:rsidR="00610505" w:rsidRDefault="0008765D" w:rsidP="00010F03">
      <w:pPr>
        <w:rPr>
          <w:rFonts w:asciiTheme="majorHAnsi" w:hAnsiTheme="majorHAnsi" w:cstheme="majorHAnsi"/>
          <w:sz w:val="20"/>
          <w:szCs w:val="20"/>
        </w:rPr>
      </w:pPr>
      <w:r>
        <w:rPr>
          <w:rFonts w:asciiTheme="majorHAnsi" w:hAnsiTheme="majorHAnsi" w:cstheme="majorHAnsi"/>
          <w:sz w:val="20"/>
          <w:szCs w:val="20"/>
        </w:rPr>
        <w:t>At its 170</w:t>
      </w:r>
      <w:r w:rsidRPr="00CC5CBA">
        <w:rPr>
          <w:rFonts w:asciiTheme="majorHAnsi" w:hAnsiTheme="majorHAnsi" w:cstheme="majorHAnsi"/>
          <w:sz w:val="20"/>
          <w:szCs w:val="20"/>
          <w:vertAlign w:val="superscript"/>
        </w:rPr>
        <w:t>th</w:t>
      </w:r>
      <w:r>
        <w:rPr>
          <w:rFonts w:asciiTheme="majorHAnsi" w:hAnsiTheme="majorHAnsi" w:cstheme="majorHAnsi"/>
          <w:sz w:val="20"/>
          <w:szCs w:val="20"/>
        </w:rPr>
        <w:t xml:space="preserve"> session in November 2016, the World Forum exchanged views on this subject </w:t>
      </w:r>
      <w:r w:rsidR="00A25D33">
        <w:rPr>
          <w:rFonts w:asciiTheme="majorHAnsi" w:hAnsiTheme="majorHAnsi" w:cstheme="majorHAnsi"/>
          <w:sz w:val="20"/>
          <w:szCs w:val="20"/>
        </w:rPr>
        <w:t xml:space="preserve">WP.29 </w:t>
      </w:r>
      <w:r>
        <w:rPr>
          <w:rFonts w:asciiTheme="majorHAnsi" w:hAnsiTheme="majorHAnsi" w:cstheme="majorHAnsi"/>
          <w:sz w:val="20"/>
          <w:szCs w:val="20"/>
        </w:rPr>
        <w:t>not</w:t>
      </w:r>
      <w:r w:rsidR="00A25D33">
        <w:rPr>
          <w:rFonts w:asciiTheme="majorHAnsi" w:hAnsiTheme="majorHAnsi" w:cstheme="majorHAnsi"/>
          <w:sz w:val="20"/>
          <w:szCs w:val="20"/>
        </w:rPr>
        <w:t>ed the recommendation of t</w:t>
      </w:r>
      <w:r w:rsidR="00F66F34">
        <w:rPr>
          <w:rFonts w:asciiTheme="majorHAnsi" w:hAnsiTheme="majorHAnsi" w:cstheme="majorHAnsi"/>
          <w:sz w:val="20"/>
          <w:szCs w:val="20"/>
        </w:rPr>
        <w:t xml:space="preserve">he </w:t>
      </w:r>
      <w:r w:rsidR="00AE00E0">
        <w:rPr>
          <w:rFonts w:asciiTheme="majorHAnsi" w:hAnsiTheme="majorHAnsi" w:cstheme="majorHAnsi"/>
          <w:sz w:val="20"/>
          <w:szCs w:val="20"/>
        </w:rPr>
        <w:t xml:space="preserve">IWG on </w:t>
      </w:r>
      <w:r w:rsidR="00010F03" w:rsidRPr="00E523BC">
        <w:rPr>
          <w:rFonts w:asciiTheme="majorHAnsi" w:hAnsiTheme="majorHAnsi" w:cstheme="majorHAnsi" w:hint="eastAsia"/>
          <w:sz w:val="20"/>
          <w:szCs w:val="20"/>
        </w:rPr>
        <w:t xml:space="preserve">IWVTA </w:t>
      </w:r>
      <w:r w:rsidRPr="0008765D">
        <w:rPr>
          <w:rFonts w:asciiTheme="majorHAnsi" w:hAnsiTheme="majorHAnsi" w:cstheme="majorHAnsi"/>
          <w:sz w:val="20"/>
          <w:szCs w:val="20"/>
        </w:rPr>
        <w:t xml:space="preserve">to </w:t>
      </w:r>
      <w:r w:rsidRPr="00275369">
        <w:rPr>
          <w:rFonts w:asciiTheme="majorHAnsi" w:hAnsiTheme="majorHAnsi" w:cstheme="majorHAnsi"/>
          <w:b/>
          <w:sz w:val="20"/>
          <w:szCs w:val="20"/>
        </w:rPr>
        <w:t>treat any existing UN Regulation adopted in the past under the terms of new Revision 3 to the 1958 Agreement</w:t>
      </w:r>
      <w:r>
        <w:rPr>
          <w:rFonts w:asciiTheme="majorHAnsi" w:hAnsiTheme="majorHAnsi" w:cstheme="majorHAnsi"/>
          <w:sz w:val="20"/>
          <w:szCs w:val="20"/>
        </w:rPr>
        <w:t xml:space="preserve">, once it enters into force by mid of September 2017. </w:t>
      </w:r>
      <w:r w:rsidR="00610505">
        <w:rPr>
          <w:rFonts w:asciiTheme="majorHAnsi" w:hAnsiTheme="majorHAnsi" w:cstheme="majorHAnsi"/>
          <w:sz w:val="20"/>
          <w:szCs w:val="20"/>
        </w:rPr>
        <w:t xml:space="preserve">A similar decision has been taken by the CP after the entry into force of Revision 2 in 1995/96 </w:t>
      </w:r>
      <w:r w:rsidR="00610505" w:rsidRPr="00B279AE">
        <w:rPr>
          <w:rFonts w:asciiTheme="majorHAnsi" w:hAnsiTheme="majorHAnsi" w:cstheme="majorHAnsi"/>
          <w:sz w:val="20"/>
          <w:szCs w:val="20"/>
        </w:rPr>
        <w:t>(see WP.29 report TRANS/WP.29/487, paras. 19, 20 and 101)</w:t>
      </w:r>
      <w:r w:rsidR="00610505">
        <w:rPr>
          <w:rFonts w:asciiTheme="majorHAnsi" w:hAnsiTheme="majorHAnsi" w:cstheme="majorHAnsi"/>
          <w:sz w:val="20"/>
          <w:szCs w:val="20"/>
        </w:rPr>
        <w:t>.</w:t>
      </w:r>
    </w:p>
    <w:p w:rsidR="00610505" w:rsidRDefault="00610505" w:rsidP="00010F03">
      <w:pPr>
        <w:rPr>
          <w:rFonts w:asciiTheme="majorHAnsi" w:hAnsiTheme="majorHAnsi" w:cstheme="majorHAnsi"/>
          <w:sz w:val="20"/>
          <w:szCs w:val="20"/>
        </w:rPr>
      </w:pPr>
    </w:p>
    <w:p w:rsidR="00A25D33" w:rsidRDefault="0008765D" w:rsidP="00010F03">
      <w:pPr>
        <w:rPr>
          <w:rFonts w:asciiTheme="majorHAnsi" w:hAnsiTheme="majorHAnsi" w:cstheme="majorHAnsi"/>
          <w:sz w:val="20"/>
          <w:szCs w:val="20"/>
        </w:rPr>
      </w:pPr>
      <w:r>
        <w:rPr>
          <w:rFonts w:asciiTheme="majorHAnsi" w:hAnsiTheme="majorHAnsi" w:cstheme="majorHAnsi"/>
          <w:sz w:val="20"/>
          <w:szCs w:val="20"/>
        </w:rPr>
        <w:t xml:space="preserve">WP.29 invited all </w:t>
      </w:r>
      <w:r w:rsidR="00610505">
        <w:rPr>
          <w:rFonts w:asciiTheme="majorHAnsi" w:hAnsiTheme="majorHAnsi" w:cstheme="majorHAnsi"/>
          <w:sz w:val="20"/>
          <w:szCs w:val="20"/>
        </w:rPr>
        <w:t>CP</w:t>
      </w:r>
      <w:r w:rsidRPr="0008765D">
        <w:rPr>
          <w:rFonts w:asciiTheme="majorHAnsi" w:hAnsiTheme="majorHAnsi" w:cstheme="majorHAnsi"/>
          <w:sz w:val="20"/>
          <w:szCs w:val="20"/>
        </w:rPr>
        <w:t xml:space="preserve"> </w:t>
      </w:r>
      <w:r>
        <w:rPr>
          <w:rFonts w:asciiTheme="majorHAnsi" w:hAnsiTheme="majorHAnsi" w:cstheme="majorHAnsi"/>
          <w:sz w:val="20"/>
          <w:szCs w:val="20"/>
        </w:rPr>
        <w:t xml:space="preserve">to send their </w:t>
      </w:r>
      <w:r w:rsidRPr="0008765D">
        <w:rPr>
          <w:rFonts w:asciiTheme="majorHAnsi" w:hAnsiTheme="majorHAnsi" w:cstheme="majorHAnsi"/>
          <w:sz w:val="20"/>
          <w:szCs w:val="20"/>
        </w:rPr>
        <w:t xml:space="preserve">concerns </w:t>
      </w:r>
      <w:r>
        <w:rPr>
          <w:rFonts w:asciiTheme="majorHAnsi" w:hAnsiTheme="majorHAnsi" w:cstheme="majorHAnsi"/>
          <w:sz w:val="20"/>
          <w:szCs w:val="20"/>
        </w:rPr>
        <w:t>about</w:t>
      </w:r>
      <w:r w:rsidRPr="0008765D">
        <w:rPr>
          <w:rFonts w:asciiTheme="majorHAnsi" w:hAnsiTheme="majorHAnsi" w:cstheme="majorHAnsi"/>
          <w:sz w:val="20"/>
          <w:szCs w:val="20"/>
        </w:rPr>
        <w:t xml:space="preserve"> this approach</w:t>
      </w:r>
      <w:r>
        <w:rPr>
          <w:rFonts w:asciiTheme="majorHAnsi" w:hAnsiTheme="majorHAnsi" w:cstheme="majorHAnsi"/>
          <w:sz w:val="20"/>
          <w:szCs w:val="20"/>
        </w:rPr>
        <w:t>, if any,</w:t>
      </w:r>
      <w:r w:rsidRPr="0008765D">
        <w:rPr>
          <w:rFonts w:asciiTheme="majorHAnsi" w:hAnsiTheme="majorHAnsi" w:cstheme="majorHAnsi"/>
          <w:sz w:val="20"/>
          <w:szCs w:val="20"/>
        </w:rPr>
        <w:t xml:space="preserve"> to the secretariat</w:t>
      </w:r>
      <w:r>
        <w:rPr>
          <w:rFonts w:asciiTheme="majorHAnsi" w:hAnsiTheme="majorHAnsi" w:cstheme="majorHAnsi"/>
          <w:sz w:val="20"/>
          <w:szCs w:val="20"/>
        </w:rPr>
        <w:t xml:space="preserve"> (see excerpt of para. 63 of the WP.29 report ECE/TRANS/WP.29/1126).</w:t>
      </w:r>
    </w:p>
    <w:p w:rsidR="0008765D" w:rsidRPr="00A725D4" w:rsidRDefault="0008765D" w:rsidP="00A725D4">
      <w:pPr>
        <w:pStyle w:val="SingleTxtG"/>
        <w:tabs>
          <w:tab w:val="left" w:pos="1418"/>
        </w:tabs>
        <w:ind w:left="1418" w:hanging="851"/>
        <w:rPr>
          <w:lang w:val="en-GB"/>
        </w:rPr>
      </w:pPr>
      <w:r w:rsidRPr="00A725D4">
        <w:rPr>
          <w:lang w:val="en-GB"/>
        </w:rPr>
        <w:t>"63.</w:t>
      </w:r>
      <w:r w:rsidRPr="00A725D4">
        <w:rPr>
          <w:lang w:val="en-GB"/>
        </w:rPr>
        <w:tab/>
        <w:t>WP.29 noted the request by the IWG for a common position by the Contracting Parties (according to Article 15.3 of the 1958 Agreement) on the follow-up of administrative procedures (SG58-22-05). Thus, the IWG on IWVTA had recommended also for existing UN Regulations to follow the new procedures (in particular the conformity of production) of Revision 3, once it entered into force. Contracting Parties with concerns about this approach were invited to send their comments to the secretariat."</w:t>
      </w:r>
    </w:p>
    <w:p w:rsidR="00B75220" w:rsidRDefault="0008765D" w:rsidP="00010F03">
      <w:pPr>
        <w:rPr>
          <w:rFonts w:asciiTheme="majorHAnsi" w:hAnsiTheme="majorHAnsi" w:cstheme="majorHAnsi"/>
          <w:sz w:val="20"/>
          <w:szCs w:val="20"/>
        </w:rPr>
      </w:pPr>
      <w:r>
        <w:rPr>
          <w:rFonts w:asciiTheme="majorHAnsi" w:hAnsiTheme="majorHAnsi" w:cstheme="majorHAnsi"/>
          <w:sz w:val="20"/>
          <w:szCs w:val="20"/>
        </w:rPr>
        <w:t xml:space="preserve">Up to date, no concerns have been received </w:t>
      </w:r>
      <w:r w:rsidR="00B75220">
        <w:rPr>
          <w:rFonts w:asciiTheme="majorHAnsi" w:hAnsiTheme="majorHAnsi" w:cstheme="majorHAnsi"/>
          <w:sz w:val="20"/>
          <w:szCs w:val="20"/>
        </w:rPr>
        <w:t xml:space="preserve">by the secretariat </w:t>
      </w:r>
      <w:r>
        <w:rPr>
          <w:rFonts w:asciiTheme="majorHAnsi" w:hAnsiTheme="majorHAnsi" w:cstheme="majorHAnsi"/>
          <w:sz w:val="20"/>
          <w:szCs w:val="20"/>
        </w:rPr>
        <w:t>on this subject.</w:t>
      </w:r>
      <w:r w:rsidR="00E761CD">
        <w:rPr>
          <w:rFonts w:asciiTheme="majorHAnsi" w:hAnsiTheme="majorHAnsi" w:cstheme="majorHAnsi"/>
          <w:sz w:val="20"/>
          <w:szCs w:val="20"/>
        </w:rPr>
        <w:t xml:space="preserve"> </w:t>
      </w:r>
      <w:r w:rsidR="00610505">
        <w:rPr>
          <w:rFonts w:asciiTheme="majorHAnsi" w:hAnsiTheme="majorHAnsi" w:cstheme="majorHAnsi"/>
          <w:sz w:val="20"/>
          <w:szCs w:val="20"/>
        </w:rPr>
        <w:t>Thus,</w:t>
      </w:r>
      <w:r w:rsidR="00B75220">
        <w:rPr>
          <w:rFonts w:asciiTheme="majorHAnsi" w:hAnsiTheme="majorHAnsi" w:cstheme="majorHAnsi"/>
          <w:sz w:val="20"/>
          <w:szCs w:val="20"/>
        </w:rPr>
        <w:t xml:space="preserve"> the UNECE secretariat proposes to reflect, in the report of </w:t>
      </w:r>
      <w:r w:rsidR="00777228">
        <w:rPr>
          <w:rFonts w:asciiTheme="majorHAnsi" w:hAnsiTheme="majorHAnsi" w:cstheme="majorHAnsi"/>
          <w:sz w:val="20"/>
          <w:szCs w:val="20"/>
        </w:rPr>
        <w:t xml:space="preserve">the </w:t>
      </w:r>
      <w:r w:rsidR="00610505">
        <w:rPr>
          <w:rFonts w:asciiTheme="majorHAnsi" w:hAnsiTheme="majorHAnsi" w:cstheme="majorHAnsi"/>
          <w:sz w:val="20"/>
          <w:szCs w:val="20"/>
        </w:rPr>
        <w:t>November</w:t>
      </w:r>
      <w:r w:rsidR="00B75220">
        <w:rPr>
          <w:rFonts w:asciiTheme="majorHAnsi" w:hAnsiTheme="majorHAnsi" w:cstheme="majorHAnsi"/>
          <w:sz w:val="20"/>
          <w:szCs w:val="20"/>
        </w:rPr>
        <w:t xml:space="preserve"> 2017 session of WP.29 the following statement</w:t>
      </w:r>
      <w:r w:rsidR="00610505">
        <w:rPr>
          <w:rFonts w:asciiTheme="majorHAnsi" w:hAnsiTheme="majorHAnsi" w:cstheme="majorHAnsi"/>
          <w:sz w:val="20"/>
          <w:szCs w:val="20"/>
        </w:rPr>
        <w:t>s</w:t>
      </w:r>
      <w:r w:rsidR="00B75220">
        <w:rPr>
          <w:rFonts w:asciiTheme="majorHAnsi" w:hAnsiTheme="majorHAnsi" w:cstheme="majorHAnsi"/>
          <w:sz w:val="20"/>
          <w:szCs w:val="20"/>
        </w:rPr>
        <w:t>:</w:t>
      </w:r>
    </w:p>
    <w:p w:rsidR="00E761CD" w:rsidRDefault="00E761CD" w:rsidP="00010F03">
      <w:pPr>
        <w:rPr>
          <w:rFonts w:asciiTheme="majorHAnsi" w:hAnsiTheme="majorHAnsi" w:cstheme="majorHAnsi"/>
          <w:sz w:val="20"/>
          <w:szCs w:val="20"/>
        </w:rPr>
      </w:pPr>
    </w:p>
    <w:p w:rsidR="00B279AE" w:rsidRDefault="00B75220" w:rsidP="00A725D4">
      <w:pPr>
        <w:pStyle w:val="SingleTxtG"/>
        <w:tabs>
          <w:tab w:val="left" w:pos="1418"/>
        </w:tabs>
        <w:ind w:left="1418" w:hanging="851"/>
        <w:rPr>
          <w:lang w:val="en-GB"/>
        </w:rPr>
      </w:pPr>
      <w:r>
        <w:rPr>
          <w:lang w:val="en-GB"/>
        </w:rPr>
        <w:t>xx</w:t>
      </w:r>
      <w:r w:rsidR="00B279AE" w:rsidRPr="00BF4722">
        <w:rPr>
          <w:lang w:val="en-GB"/>
        </w:rPr>
        <w:t>.</w:t>
      </w:r>
      <w:r w:rsidR="00E10DB9">
        <w:rPr>
          <w:lang w:val="en-GB"/>
        </w:rPr>
        <w:t>AC2</w:t>
      </w:r>
      <w:r>
        <w:rPr>
          <w:lang w:val="en-GB"/>
        </w:rPr>
        <w:tab/>
      </w:r>
      <w:r w:rsidR="00691BEC" w:rsidRPr="00BF4722">
        <w:rPr>
          <w:lang w:val="en-GB"/>
        </w:rPr>
        <w:t xml:space="preserve">The Administrative Committee </w:t>
      </w:r>
      <w:r w:rsidR="0003135C" w:rsidRPr="0003135C">
        <w:rPr>
          <w:lang w:val="en-GB"/>
        </w:rPr>
        <w:t xml:space="preserve">WP.29/AC.2 </w:t>
      </w:r>
      <w:r w:rsidR="0003135C">
        <w:rPr>
          <w:lang w:val="en-GB"/>
        </w:rPr>
        <w:t>considered</w:t>
      </w:r>
      <w:r w:rsidR="00B279AE" w:rsidRPr="00BF4722">
        <w:rPr>
          <w:lang w:val="en-GB"/>
        </w:rPr>
        <w:t xml:space="preserve"> </w:t>
      </w:r>
      <w:r w:rsidR="0003135C">
        <w:rPr>
          <w:lang w:val="en-GB"/>
        </w:rPr>
        <w:t xml:space="preserve">the </w:t>
      </w:r>
      <w:r w:rsidR="00B279AE" w:rsidRPr="00BF4722">
        <w:rPr>
          <w:lang w:val="en-GB"/>
        </w:rPr>
        <w:t>legal</w:t>
      </w:r>
      <w:r w:rsidR="00BF4722">
        <w:rPr>
          <w:lang w:val="en-GB"/>
        </w:rPr>
        <w:t xml:space="preserve"> </w:t>
      </w:r>
      <w:r w:rsidR="00B279AE" w:rsidRPr="00BF4722">
        <w:rPr>
          <w:lang w:val="en-GB"/>
        </w:rPr>
        <w:t xml:space="preserve">processing of </w:t>
      </w:r>
      <w:r>
        <w:rPr>
          <w:lang w:val="en-GB"/>
        </w:rPr>
        <w:t>new UN Regulations and amendments to existing UN</w:t>
      </w:r>
      <w:r w:rsidR="00B279AE" w:rsidRPr="00BF4722">
        <w:rPr>
          <w:lang w:val="en-GB"/>
        </w:rPr>
        <w:t xml:space="preserve"> Regulations which were adopted before the entry into force of the</w:t>
      </w:r>
      <w:r>
        <w:rPr>
          <w:lang w:val="en-GB"/>
        </w:rPr>
        <w:t xml:space="preserve"> </w:t>
      </w:r>
      <w:r w:rsidR="00B279AE" w:rsidRPr="00BF4722">
        <w:rPr>
          <w:lang w:val="en-GB"/>
        </w:rPr>
        <w:t xml:space="preserve">amended </w:t>
      </w:r>
      <w:r w:rsidR="00610505">
        <w:rPr>
          <w:lang w:val="en-GB"/>
        </w:rPr>
        <w:t xml:space="preserve">1958 </w:t>
      </w:r>
      <w:r w:rsidR="00B279AE" w:rsidRPr="00BF4722">
        <w:rPr>
          <w:lang w:val="en-GB"/>
        </w:rPr>
        <w:t xml:space="preserve">Agreement </w:t>
      </w:r>
      <w:r>
        <w:rPr>
          <w:lang w:val="en-GB"/>
        </w:rPr>
        <w:t>(Revision 3)</w:t>
      </w:r>
      <w:r w:rsidR="00B279AE" w:rsidRPr="00BF4722">
        <w:rPr>
          <w:lang w:val="en-GB"/>
        </w:rPr>
        <w:t xml:space="preserve">. </w:t>
      </w:r>
      <w:r>
        <w:rPr>
          <w:lang w:val="en-GB"/>
        </w:rPr>
        <w:t xml:space="preserve">WP.29/AC.2 </w:t>
      </w:r>
      <w:r w:rsidR="00691BEC">
        <w:rPr>
          <w:lang w:val="en-GB"/>
        </w:rPr>
        <w:t xml:space="preserve">noted that </w:t>
      </w:r>
      <w:r w:rsidR="00C25599">
        <w:rPr>
          <w:lang w:val="en-GB"/>
        </w:rPr>
        <w:t>no</w:t>
      </w:r>
      <w:bookmarkStart w:id="0" w:name="_GoBack"/>
      <w:bookmarkEnd w:id="0"/>
      <w:r w:rsidR="00691BEC">
        <w:rPr>
          <w:lang w:val="en-GB"/>
        </w:rPr>
        <w:t xml:space="preserve"> CP has raised concern on this subject and </w:t>
      </w:r>
      <w:r w:rsidR="00B279AE" w:rsidRPr="00BF4722">
        <w:rPr>
          <w:lang w:val="en-GB"/>
        </w:rPr>
        <w:t xml:space="preserve">recommended that WP.29 </w:t>
      </w:r>
      <w:r w:rsidR="00777228">
        <w:rPr>
          <w:lang w:val="en-GB"/>
        </w:rPr>
        <w:t>makes a decision</w:t>
      </w:r>
      <w:r w:rsidR="00B279AE" w:rsidRPr="00BF4722">
        <w:rPr>
          <w:lang w:val="en-GB"/>
        </w:rPr>
        <w:t xml:space="preserve"> </w:t>
      </w:r>
      <w:r w:rsidR="00777228">
        <w:rPr>
          <w:lang w:val="en-GB"/>
        </w:rPr>
        <w:t>on</w:t>
      </w:r>
      <w:r w:rsidR="00B279AE" w:rsidRPr="00BF4722">
        <w:rPr>
          <w:lang w:val="en-GB"/>
        </w:rPr>
        <w:t xml:space="preserve"> applying the procedures of </w:t>
      </w:r>
      <w:r w:rsidR="00691BEC">
        <w:rPr>
          <w:lang w:val="en-GB"/>
        </w:rPr>
        <w:t xml:space="preserve">Revision 3 </w:t>
      </w:r>
      <w:r w:rsidR="00777228">
        <w:rPr>
          <w:lang w:val="en-GB"/>
        </w:rPr>
        <w:t xml:space="preserve">for existing UN Regulations </w:t>
      </w:r>
      <w:r w:rsidR="00B279AE" w:rsidRPr="00BF4722">
        <w:rPr>
          <w:lang w:val="en-GB"/>
        </w:rPr>
        <w:t>a</w:t>
      </w:r>
      <w:r>
        <w:rPr>
          <w:lang w:val="en-GB"/>
        </w:rPr>
        <w:t>s</w:t>
      </w:r>
      <w:r w:rsidR="00B279AE" w:rsidRPr="00BF4722">
        <w:rPr>
          <w:lang w:val="en-GB"/>
        </w:rPr>
        <w:t xml:space="preserve"> </w:t>
      </w:r>
      <w:r w:rsidR="00691BEC">
        <w:rPr>
          <w:lang w:val="en-GB"/>
        </w:rPr>
        <w:t>discussed</w:t>
      </w:r>
      <w:r w:rsidR="00B279AE" w:rsidRPr="00BF4722">
        <w:rPr>
          <w:lang w:val="en-GB"/>
        </w:rPr>
        <w:t xml:space="preserve"> during </w:t>
      </w:r>
      <w:r w:rsidR="00777228">
        <w:rPr>
          <w:lang w:val="en-GB"/>
        </w:rPr>
        <w:t>its</w:t>
      </w:r>
      <w:r w:rsidR="00B279AE" w:rsidRPr="00BF4722">
        <w:rPr>
          <w:lang w:val="en-GB"/>
        </w:rPr>
        <w:t xml:space="preserve"> </w:t>
      </w:r>
      <w:r w:rsidR="00777228">
        <w:rPr>
          <w:lang w:val="en-GB"/>
        </w:rPr>
        <w:t>170th</w:t>
      </w:r>
      <w:r w:rsidR="00B279AE" w:rsidRPr="00BF4722">
        <w:rPr>
          <w:lang w:val="en-GB"/>
        </w:rPr>
        <w:t xml:space="preserve"> session</w:t>
      </w:r>
      <w:r w:rsidR="0003135C" w:rsidRPr="0003135C">
        <w:rPr>
          <w:lang w:val="en-GB"/>
        </w:rPr>
        <w:t xml:space="preserve"> </w:t>
      </w:r>
      <w:r w:rsidR="00691BEC">
        <w:rPr>
          <w:lang w:val="en-GB"/>
        </w:rPr>
        <w:t>(</w:t>
      </w:r>
      <w:r w:rsidR="0003135C" w:rsidRPr="00B75220">
        <w:rPr>
          <w:lang w:val="en-GB"/>
        </w:rPr>
        <w:t>ECE/TRANS/WP.29/1126</w:t>
      </w:r>
      <w:r w:rsidR="0003135C">
        <w:rPr>
          <w:lang w:val="en-GB"/>
        </w:rPr>
        <w:t>, para. 63</w:t>
      </w:r>
      <w:r w:rsidR="00691BEC">
        <w:rPr>
          <w:lang w:val="en-GB"/>
        </w:rPr>
        <w:t>)</w:t>
      </w:r>
      <w:r>
        <w:rPr>
          <w:lang w:val="en-GB"/>
        </w:rPr>
        <w:t>.</w:t>
      </w:r>
    </w:p>
    <w:p w:rsidR="00B75220" w:rsidRDefault="00B75220" w:rsidP="00A725D4">
      <w:pPr>
        <w:pStyle w:val="SingleTxtG"/>
        <w:tabs>
          <w:tab w:val="left" w:pos="1418"/>
        </w:tabs>
        <w:ind w:left="1418" w:hanging="851"/>
        <w:rPr>
          <w:lang w:val="en-GB"/>
        </w:rPr>
      </w:pPr>
      <w:r>
        <w:rPr>
          <w:lang w:val="en-GB"/>
        </w:rPr>
        <w:t>xx.</w:t>
      </w:r>
      <w:r w:rsidR="00E10DB9">
        <w:rPr>
          <w:lang w:val="en-GB"/>
        </w:rPr>
        <w:t>WP29</w:t>
      </w:r>
      <w:r>
        <w:rPr>
          <w:lang w:val="en-GB"/>
        </w:rPr>
        <w:tab/>
      </w:r>
      <w:r w:rsidR="00777228">
        <w:rPr>
          <w:lang w:val="en-GB"/>
        </w:rPr>
        <w:t>The World Forum considered the issue of implement</w:t>
      </w:r>
      <w:r w:rsidR="00E761CD">
        <w:rPr>
          <w:lang w:val="en-GB"/>
        </w:rPr>
        <w:t>ing</w:t>
      </w:r>
      <w:r w:rsidR="00777228">
        <w:rPr>
          <w:lang w:val="en-GB"/>
        </w:rPr>
        <w:t xml:space="preserve"> Article 15.3 of the </w:t>
      </w:r>
      <w:r w:rsidR="00777228" w:rsidRPr="00610505">
        <w:rPr>
          <w:lang w:val="en-GB"/>
        </w:rPr>
        <w:t>amended 1958 Agreement (Revision 3)</w:t>
      </w:r>
      <w:r w:rsidR="00777228">
        <w:rPr>
          <w:lang w:val="en-GB"/>
        </w:rPr>
        <w:t xml:space="preserve"> </w:t>
      </w:r>
      <w:r w:rsidR="00E761CD">
        <w:rPr>
          <w:lang w:val="en-GB"/>
        </w:rPr>
        <w:t>on</w:t>
      </w:r>
      <w:r w:rsidR="00777228">
        <w:rPr>
          <w:lang w:val="en-GB"/>
        </w:rPr>
        <w:t xml:space="preserve"> </w:t>
      </w:r>
      <w:r w:rsidR="00610505" w:rsidRPr="00610505">
        <w:rPr>
          <w:lang w:val="en-GB"/>
        </w:rPr>
        <w:t xml:space="preserve">the legal processing of new UN Regulations and amendments to existing UN Regulations which were adopted before the entry into force of the amended 1958 Agreement (Revision 3). </w:t>
      </w:r>
      <w:r w:rsidR="00D70B9D">
        <w:rPr>
          <w:lang w:val="en-GB"/>
        </w:rPr>
        <w:t>Following an exchange of views</w:t>
      </w:r>
      <w:r w:rsidR="00777228">
        <w:rPr>
          <w:lang w:val="en-GB"/>
        </w:rPr>
        <w:t xml:space="preserve"> and</w:t>
      </w:r>
      <w:r w:rsidR="00777228" w:rsidRPr="00166B6F">
        <w:rPr>
          <w:lang w:val="en-US"/>
        </w:rPr>
        <w:t xml:space="preserve"> </w:t>
      </w:r>
      <w:r w:rsidR="00777228">
        <w:rPr>
          <w:lang w:val="en-US"/>
        </w:rPr>
        <w:t xml:space="preserve">taking into account that no </w:t>
      </w:r>
      <w:r w:rsidR="00777228">
        <w:rPr>
          <w:lang w:val="en-GB"/>
        </w:rPr>
        <w:t xml:space="preserve">Contracting Party had raised concern on this subject, </w:t>
      </w:r>
      <w:r w:rsidR="00D70B9D">
        <w:rPr>
          <w:lang w:val="en-GB"/>
        </w:rPr>
        <w:t xml:space="preserve">WP.29 </w:t>
      </w:r>
      <w:r w:rsidR="00691BEC">
        <w:rPr>
          <w:lang w:val="en-GB"/>
        </w:rPr>
        <w:t>endorsed the recommendation by WP.29/AC.2</w:t>
      </w:r>
      <w:r w:rsidR="00E761CD">
        <w:rPr>
          <w:lang w:val="en-GB"/>
        </w:rPr>
        <w:t xml:space="preserve"> that f</w:t>
      </w:r>
      <w:r w:rsidR="00E10DB9">
        <w:rPr>
          <w:lang w:val="en-GB"/>
        </w:rPr>
        <w:t xml:space="preserve">or </w:t>
      </w:r>
      <w:r w:rsidR="00E10DB9" w:rsidRPr="00E10DB9">
        <w:rPr>
          <w:lang w:val="en-GB"/>
        </w:rPr>
        <w:t xml:space="preserve">the legal processing of new UN Regulations and amendments to existing UN Regulations which were adopted before the entry into force of </w:t>
      </w:r>
      <w:r w:rsidR="00E761CD">
        <w:rPr>
          <w:lang w:val="en-GB"/>
        </w:rPr>
        <w:t xml:space="preserve">the </w:t>
      </w:r>
      <w:r w:rsidR="00E10DB9" w:rsidRPr="00E10DB9">
        <w:rPr>
          <w:lang w:val="en-GB"/>
        </w:rPr>
        <w:t>amended 1958 Agreement</w:t>
      </w:r>
      <w:r w:rsidR="00E10DB9">
        <w:rPr>
          <w:lang w:val="en-GB"/>
        </w:rPr>
        <w:t>,</w:t>
      </w:r>
      <w:r w:rsidR="00E10DB9" w:rsidRPr="00E10DB9">
        <w:rPr>
          <w:lang w:val="en-GB"/>
        </w:rPr>
        <w:t xml:space="preserve"> </w:t>
      </w:r>
      <w:r w:rsidR="00E10DB9" w:rsidRPr="00A725D4">
        <w:rPr>
          <w:lang w:val="en-GB"/>
        </w:rPr>
        <w:t xml:space="preserve">all Contracting Parties shall follow the </w:t>
      </w:r>
      <w:r w:rsidR="00E10DB9">
        <w:rPr>
          <w:lang w:val="en-GB"/>
        </w:rPr>
        <w:t xml:space="preserve">procedures of </w:t>
      </w:r>
      <w:r w:rsidR="00777228">
        <w:rPr>
          <w:lang w:val="en-GB"/>
        </w:rPr>
        <w:t xml:space="preserve">its </w:t>
      </w:r>
      <w:r w:rsidR="00E10DB9">
        <w:rPr>
          <w:lang w:val="en-GB"/>
        </w:rPr>
        <w:t>Revision 3.</w:t>
      </w:r>
    </w:p>
    <w:p w:rsidR="00B279AE" w:rsidRPr="00BF4722" w:rsidRDefault="00CD5944" w:rsidP="00CD5944">
      <w:pPr>
        <w:jc w:val="center"/>
        <w:rPr>
          <w:rFonts w:ascii="Times New Roman" w:hAnsi="Times New Roman" w:cs="Times New Roman"/>
          <w:sz w:val="20"/>
          <w:szCs w:val="20"/>
        </w:rPr>
      </w:pPr>
      <w:r>
        <w:rPr>
          <w:rFonts w:ascii="Times New Roman" w:hAnsi="Times New Roman" w:cs="Times New Roman"/>
          <w:sz w:val="20"/>
          <w:szCs w:val="20"/>
        </w:rPr>
        <w:t>__________________</w:t>
      </w:r>
    </w:p>
    <w:sectPr w:rsidR="00B279AE" w:rsidRPr="00BF4722" w:rsidSect="00C25599">
      <w:headerReference w:type="even" r:id="rId8"/>
      <w:headerReference w:type="first" r:id="rId9"/>
      <w:pgSz w:w="11907" w:h="16840" w:code="9"/>
      <w:pgMar w:top="1418" w:right="851" w:bottom="426" w:left="1418" w:header="851" w:footer="567" w:gutter="0"/>
      <w:cols w:space="425"/>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F03" w:rsidRDefault="00010F03" w:rsidP="00010F03">
      <w:r>
        <w:separator/>
      </w:r>
    </w:p>
  </w:endnote>
  <w:endnote w:type="continuationSeparator" w:id="0">
    <w:p w:rsidR="00010F03" w:rsidRDefault="00010F03" w:rsidP="00010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F03" w:rsidRDefault="00010F03" w:rsidP="00010F03">
      <w:r>
        <w:separator/>
      </w:r>
    </w:p>
  </w:footnote>
  <w:footnote w:type="continuationSeparator" w:id="0">
    <w:p w:rsidR="00010F03" w:rsidRDefault="00010F03" w:rsidP="00010F03">
      <w:r>
        <w:continuationSeparator/>
      </w:r>
    </w:p>
  </w:footnote>
  <w:footnote w:id="1">
    <w:p w:rsidR="00275369" w:rsidRPr="002707AC" w:rsidRDefault="00275369" w:rsidP="00275369">
      <w:pPr>
        <w:pStyle w:val="FootnoteText"/>
        <w:tabs>
          <w:tab w:val="left" w:pos="567"/>
        </w:tabs>
        <w:rPr>
          <w:rFonts w:asciiTheme="majorHAnsi" w:hAnsiTheme="majorHAnsi" w:cstheme="majorHAnsi"/>
          <w:sz w:val="16"/>
          <w:szCs w:val="16"/>
        </w:rPr>
      </w:pPr>
      <w:r>
        <w:rPr>
          <w:rStyle w:val="FootnoteReference"/>
        </w:rPr>
        <w:footnoteRef/>
      </w:r>
      <w:r>
        <w:tab/>
      </w:r>
      <w:r>
        <w:rPr>
          <w:rFonts w:asciiTheme="majorHAnsi" w:hAnsiTheme="majorHAnsi" w:cstheme="majorHAnsi"/>
          <w:sz w:val="16"/>
          <w:szCs w:val="16"/>
        </w:rPr>
        <w:t>including</w:t>
      </w:r>
      <w:r w:rsidRPr="002707AC">
        <w:rPr>
          <w:rFonts w:asciiTheme="majorHAnsi" w:hAnsiTheme="majorHAnsi" w:cstheme="majorHAnsi" w:hint="eastAsia"/>
          <w:sz w:val="16"/>
          <w:szCs w:val="16"/>
        </w:rPr>
        <w:t xml:space="preserve"> </w:t>
      </w:r>
      <w:r>
        <w:rPr>
          <w:rFonts w:asciiTheme="majorHAnsi" w:hAnsiTheme="majorHAnsi" w:cstheme="majorHAnsi"/>
          <w:sz w:val="16"/>
          <w:szCs w:val="16"/>
        </w:rPr>
        <w:t>the</w:t>
      </w:r>
      <w:r w:rsidRPr="002707AC">
        <w:rPr>
          <w:rFonts w:asciiTheme="majorHAnsi" w:hAnsiTheme="majorHAnsi" w:cstheme="majorHAnsi" w:hint="eastAsia"/>
          <w:sz w:val="16"/>
          <w:szCs w:val="16"/>
        </w:rPr>
        <w:t xml:space="preserve"> quality assurance assessment, certification and conformity of production procedures, the tasks, responsibilities and competences of involved parties and aspects related to the enforcement </w:t>
      </w:r>
      <w:r>
        <w:rPr>
          <w:rFonts w:asciiTheme="majorHAnsi" w:hAnsiTheme="majorHAnsi" w:cstheme="majorHAnsi"/>
          <w:sz w:val="16"/>
          <w:szCs w:val="16"/>
        </w:rPr>
        <w:t>(</w:t>
      </w:r>
      <w:r w:rsidRPr="002707AC">
        <w:rPr>
          <w:rFonts w:asciiTheme="majorHAnsi" w:hAnsiTheme="majorHAnsi" w:cstheme="majorHAnsi" w:hint="eastAsia"/>
          <w:sz w:val="16"/>
          <w:szCs w:val="16"/>
        </w:rPr>
        <w:t>market surveillance and safeguard measures</w:t>
      </w:r>
      <w:r>
        <w:rPr>
          <w:rFonts w:asciiTheme="majorHAnsi" w:hAnsiTheme="majorHAnsi" w:cstheme="majorHAnsi"/>
          <w:sz w:val="16"/>
          <w:szCs w:val="16"/>
        </w:rPr>
        <w:t>,</w:t>
      </w:r>
      <w:r w:rsidRPr="002707AC">
        <w:rPr>
          <w:rFonts w:asciiTheme="majorHAnsi" w:hAnsiTheme="majorHAnsi" w:cstheme="majorHAnsi" w:hint="eastAsia"/>
          <w:sz w:val="16"/>
          <w:szCs w:val="16"/>
        </w:rPr>
        <w:t xml:space="preserve"> etc.</w:t>
      </w:r>
      <w:r>
        <w:rPr>
          <w:rFonts w:asciiTheme="majorHAnsi" w:hAnsiTheme="majorHAnsi" w:cstheme="majorHAnsi"/>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F03" w:rsidRDefault="00010F03">
    <w:pPr>
      <w:pStyle w:val="Header"/>
    </w:pPr>
    <w:r>
      <w:rPr>
        <w:rFonts w:hint="eastAsia"/>
      </w:rPr>
      <w:t>Transmitted by UN Secretariat                                        document SG58-22-05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EEA" w:rsidRDefault="00861C48" w:rsidP="00C25599">
    <w:pPr>
      <w:widowControl/>
      <w:pBdr>
        <w:bottom w:val="single" w:sz="4" w:space="4" w:color="auto"/>
      </w:pBdr>
      <w:tabs>
        <w:tab w:val="left" w:pos="5529"/>
      </w:tabs>
      <w:suppressAutoHyphens/>
      <w:jc w:val="left"/>
      <w:rPr>
        <w:rFonts w:ascii="Times New Roman" w:eastAsia="MS Mincho" w:hAnsi="Times New Roman" w:cs="Times New Roman"/>
        <w:b/>
        <w:kern w:val="0"/>
        <w:sz w:val="18"/>
        <w:szCs w:val="20"/>
        <w:lang w:val="en-GB"/>
      </w:rPr>
    </w:pPr>
    <w:r w:rsidRPr="00C25599">
      <w:rPr>
        <w:rFonts w:ascii="Times New Roman" w:eastAsia="MS Mincho" w:hAnsi="Times New Roman" w:cs="Times New Roman"/>
        <w:kern w:val="0"/>
        <w:sz w:val="18"/>
        <w:szCs w:val="20"/>
        <w:lang w:val="en-GB"/>
      </w:rPr>
      <w:t>Note</w:t>
    </w:r>
    <w:r w:rsidR="004C0EEA" w:rsidRPr="00C25599">
      <w:rPr>
        <w:rFonts w:ascii="Times New Roman" w:eastAsia="MS Mincho" w:hAnsi="Times New Roman" w:cs="Times New Roman" w:hint="eastAsia"/>
        <w:kern w:val="0"/>
        <w:sz w:val="18"/>
        <w:szCs w:val="20"/>
        <w:lang w:val="en-GB"/>
      </w:rPr>
      <w:t xml:space="preserve"> by </w:t>
    </w:r>
    <w:r w:rsidRPr="00C25599">
      <w:rPr>
        <w:rFonts w:ascii="Times New Roman" w:eastAsia="MS Mincho" w:hAnsi="Times New Roman" w:cs="Times New Roman"/>
        <w:kern w:val="0"/>
        <w:sz w:val="18"/>
        <w:szCs w:val="20"/>
        <w:lang w:val="en-GB"/>
      </w:rPr>
      <w:t xml:space="preserve">the </w:t>
    </w:r>
    <w:r w:rsidR="004C0EEA" w:rsidRPr="00C25599">
      <w:rPr>
        <w:rFonts w:ascii="Times New Roman" w:eastAsia="MS Mincho" w:hAnsi="Times New Roman" w:cs="Times New Roman" w:hint="eastAsia"/>
        <w:kern w:val="0"/>
        <w:sz w:val="18"/>
        <w:szCs w:val="20"/>
        <w:lang w:val="en-GB"/>
      </w:rPr>
      <w:t>Secretariat</w:t>
    </w:r>
    <w:r w:rsidRPr="00C25599">
      <w:rPr>
        <w:rFonts w:ascii="Times New Roman" w:eastAsia="MS Mincho" w:hAnsi="Times New Roman" w:cs="Times New Roman"/>
        <w:kern w:val="0"/>
        <w:sz w:val="18"/>
        <w:szCs w:val="20"/>
        <w:lang w:val="en-GB"/>
      </w:rPr>
      <w:t xml:space="preserve"> (based on IWVTA-24-09)</w:t>
    </w:r>
    <w:r w:rsidR="004C0EEA" w:rsidRPr="004C0EEA">
      <w:rPr>
        <w:rFonts w:ascii="Times New Roman" w:eastAsia="MS Mincho" w:hAnsi="Times New Roman" w:cs="Times New Roman"/>
        <w:b/>
        <w:kern w:val="0"/>
        <w:sz w:val="18"/>
        <w:szCs w:val="20"/>
        <w:lang w:val="en-GB"/>
      </w:rPr>
      <w:tab/>
    </w:r>
    <w:r w:rsidR="00C25599" w:rsidRPr="00C25599">
      <w:rPr>
        <w:rFonts w:ascii="Times New Roman" w:eastAsia="MS Mincho" w:hAnsi="Times New Roman" w:cs="Times New Roman"/>
        <w:kern w:val="0"/>
        <w:sz w:val="18"/>
        <w:szCs w:val="20"/>
        <w:u w:val="single"/>
        <w:lang w:val="en-GB"/>
      </w:rPr>
      <w:t xml:space="preserve">Informal </w:t>
    </w:r>
    <w:r w:rsidR="004C0EEA" w:rsidRPr="00C25599">
      <w:rPr>
        <w:rFonts w:ascii="Times New Roman" w:eastAsia="MS Mincho" w:hAnsi="Times New Roman" w:cs="Times New Roman"/>
        <w:kern w:val="0"/>
        <w:sz w:val="18"/>
        <w:szCs w:val="20"/>
        <w:u w:val="single"/>
        <w:lang w:val="en-GB"/>
      </w:rPr>
      <w:t>D</w:t>
    </w:r>
    <w:r w:rsidR="004C0EEA" w:rsidRPr="00C25599">
      <w:rPr>
        <w:rFonts w:ascii="Times New Roman" w:eastAsia="MS Mincho" w:hAnsi="Times New Roman" w:cs="Times New Roman" w:hint="eastAsia"/>
        <w:kern w:val="0"/>
        <w:sz w:val="18"/>
        <w:szCs w:val="20"/>
        <w:u w:val="single"/>
        <w:lang w:val="en-GB"/>
      </w:rPr>
      <w:t xml:space="preserve">ocument </w:t>
    </w:r>
    <w:r w:rsidR="00C25599">
      <w:rPr>
        <w:rFonts w:ascii="Times New Roman" w:eastAsia="MS Mincho" w:hAnsi="Times New Roman" w:cs="Times New Roman"/>
        <w:b/>
        <w:kern w:val="0"/>
        <w:sz w:val="18"/>
        <w:szCs w:val="20"/>
        <w:lang w:val="en-GB"/>
      </w:rPr>
      <w:t>WP.29-172-27</w:t>
    </w:r>
  </w:p>
  <w:p w:rsidR="00C25599" w:rsidRDefault="00C25599" w:rsidP="00C25599">
    <w:pPr>
      <w:widowControl/>
      <w:pBdr>
        <w:bottom w:val="single" w:sz="4" w:space="4" w:color="auto"/>
      </w:pBdr>
      <w:tabs>
        <w:tab w:val="left" w:pos="5529"/>
      </w:tabs>
      <w:suppressAutoHyphens/>
      <w:jc w:val="left"/>
      <w:rPr>
        <w:rFonts w:ascii="Times New Roman" w:eastAsia="MS Mincho" w:hAnsi="Times New Roman" w:cs="Times New Roman"/>
        <w:kern w:val="0"/>
        <w:sz w:val="18"/>
        <w:szCs w:val="20"/>
        <w:lang w:val="en-GB"/>
      </w:rPr>
    </w:pPr>
    <w:r>
      <w:rPr>
        <w:rFonts w:ascii="Times New Roman" w:eastAsia="MS Mincho" w:hAnsi="Times New Roman" w:cs="Times New Roman"/>
        <w:b/>
        <w:kern w:val="0"/>
        <w:sz w:val="18"/>
        <w:szCs w:val="20"/>
        <w:lang w:val="en-GB"/>
      </w:rPr>
      <w:tab/>
    </w:r>
    <w:r w:rsidRPr="00C25599">
      <w:rPr>
        <w:rFonts w:ascii="Times New Roman" w:eastAsia="MS Mincho" w:hAnsi="Times New Roman" w:cs="Times New Roman"/>
        <w:kern w:val="0"/>
        <w:sz w:val="18"/>
        <w:szCs w:val="20"/>
        <w:lang w:val="en-GB"/>
      </w:rPr>
      <w:t>172</w:t>
    </w:r>
    <w:r w:rsidRPr="00C25599">
      <w:rPr>
        <w:rFonts w:ascii="Times New Roman" w:eastAsia="MS Mincho" w:hAnsi="Times New Roman" w:cs="Times New Roman"/>
        <w:kern w:val="0"/>
        <w:sz w:val="18"/>
        <w:szCs w:val="20"/>
        <w:vertAlign w:val="superscript"/>
        <w:lang w:val="en-GB"/>
      </w:rPr>
      <w:t>nd</w:t>
    </w:r>
    <w:r w:rsidRPr="00C25599">
      <w:rPr>
        <w:rFonts w:ascii="Times New Roman" w:eastAsia="MS Mincho" w:hAnsi="Times New Roman" w:cs="Times New Roman"/>
        <w:kern w:val="0"/>
        <w:sz w:val="18"/>
        <w:szCs w:val="20"/>
        <w:lang w:val="en-GB"/>
      </w:rPr>
      <w:t xml:space="preserve"> WP.29</w:t>
    </w:r>
    <w:r>
      <w:rPr>
        <w:rFonts w:ascii="Times New Roman" w:eastAsia="MS Mincho" w:hAnsi="Times New Roman" w:cs="Times New Roman"/>
        <w:kern w:val="0"/>
        <w:sz w:val="18"/>
        <w:szCs w:val="20"/>
        <w:lang w:val="en-GB"/>
      </w:rPr>
      <w:t>, 20-23 June 2017</w:t>
    </w:r>
  </w:p>
  <w:p w:rsidR="00C25599" w:rsidRPr="00C25599" w:rsidRDefault="00C25599" w:rsidP="00C25599">
    <w:pPr>
      <w:widowControl/>
      <w:pBdr>
        <w:bottom w:val="single" w:sz="4" w:space="4" w:color="auto"/>
      </w:pBdr>
      <w:tabs>
        <w:tab w:val="left" w:pos="5529"/>
      </w:tabs>
      <w:suppressAutoHyphens/>
      <w:jc w:val="left"/>
      <w:rPr>
        <w:rFonts w:ascii="Times New Roman" w:eastAsia="MS Mincho" w:hAnsi="Times New Roman" w:cs="Times New Roman"/>
        <w:kern w:val="0"/>
        <w:sz w:val="18"/>
        <w:szCs w:val="20"/>
        <w:lang w:val="en-GB"/>
      </w:rPr>
    </w:pPr>
    <w:r>
      <w:rPr>
        <w:rFonts w:ascii="Times New Roman" w:eastAsia="MS Mincho" w:hAnsi="Times New Roman" w:cs="Times New Roman"/>
        <w:kern w:val="0"/>
        <w:sz w:val="18"/>
        <w:szCs w:val="20"/>
        <w:lang w:val="en-GB"/>
      </w:rPr>
      <w:tab/>
      <w:t>Agenda item 4.4</w:t>
    </w:r>
  </w:p>
  <w:p w:rsidR="006E0344" w:rsidRPr="004C0EEA" w:rsidRDefault="006E0344" w:rsidP="004C0EEA">
    <w:pPr>
      <w:pStyle w:val="Header"/>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hyphenationZone w:val="425"/>
  <w:drawingGridHorizontalSpacing w:val="105"/>
  <w:drawingGridVerticalSpacing w:val="163"/>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F03"/>
    <w:rsid w:val="00002EE2"/>
    <w:rsid w:val="00004E6D"/>
    <w:rsid w:val="00005CC0"/>
    <w:rsid w:val="00010F03"/>
    <w:rsid w:val="0003135C"/>
    <w:rsid w:val="0003300C"/>
    <w:rsid w:val="00044D09"/>
    <w:rsid w:val="0006245A"/>
    <w:rsid w:val="0007718C"/>
    <w:rsid w:val="00085FC6"/>
    <w:rsid w:val="0008765D"/>
    <w:rsid w:val="00087D18"/>
    <w:rsid w:val="00090DAF"/>
    <w:rsid w:val="000947C9"/>
    <w:rsid w:val="000A0486"/>
    <w:rsid w:val="000A07C7"/>
    <w:rsid w:val="000A2B2E"/>
    <w:rsid w:val="000B01FB"/>
    <w:rsid w:val="000B30A9"/>
    <w:rsid w:val="000C357A"/>
    <w:rsid w:val="000D709A"/>
    <w:rsid w:val="000E195D"/>
    <w:rsid w:val="000E1964"/>
    <w:rsid w:val="000E3453"/>
    <w:rsid w:val="000F0FC4"/>
    <w:rsid w:val="000F2FDD"/>
    <w:rsid w:val="000F3AD0"/>
    <w:rsid w:val="000F4B51"/>
    <w:rsid w:val="00115111"/>
    <w:rsid w:val="00122F08"/>
    <w:rsid w:val="00134378"/>
    <w:rsid w:val="00143DAA"/>
    <w:rsid w:val="00173ED8"/>
    <w:rsid w:val="001842A9"/>
    <w:rsid w:val="00195ECE"/>
    <w:rsid w:val="001A0464"/>
    <w:rsid w:val="001A206F"/>
    <w:rsid w:val="001A293E"/>
    <w:rsid w:val="001B4E92"/>
    <w:rsid w:val="001C2373"/>
    <w:rsid w:val="001E2B18"/>
    <w:rsid w:val="001F0ED9"/>
    <w:rsid w:val="00200188"/>
    <w:rsid w:val="0020240B"/>
    <w:rsid w:val="00205533"/>
    <w:rsid w:val="0023618C"/>
    <w:rsid w:val="0025086E"/>
    <w:rsid w:val="00253EE1"/>
    <w:rsid w:val="002552D2"/>
    <w:rsid w:val="002703D0"/>
    <w:rsid w:val="002707AC"/>
    <w:rsid w:val="00275369"/>
    <w:rsid w:val="002A0A34"/>
    <w:rsid w:val="002A65C6"/>
    <w:rsid w:val="002B0F6B"/>
    <w:rsid w:val="002C275B"/>
    <w:rsid w:val="002C4A25"/>
    <w:rsid w:val="002D6F27"/>
    <w:rsid w:val="002E12BD"/>
    <w:rsid w:val="002E4FAD"/>
    <w:rsid w:val="002F4023"/>
    <w:rsid w:val="002F5033"/>
    <w:rsid w:val="002F6058"/>
    <w:rsid w:val="00306E0B"/>
    <w:rsid w:val="00340D25"/>
    <w:rsid w:val="0035676B"/>
    <w:rsid w:val="00365C88"/>
    <w:rsid w:val="00372913"/>
    <w:rsid w:val="00373A6F"/>
    <w:rsid w:val="00374CAA"/>
    <w:rsid w:val="00393B17"/>
    <w:rsid w:val="003979D4"/>
    <w:rsid w:val="003A0D4A"/>
    <w:rsid w:val="003D1EA5"/>
    <w:rsid w:val="003D3E0C"/>
    <w:rsid w:val="003D44D7"/>
    <w:rsid w:val="003E0CC4"/>
    <w:rsid w:val="003E3F63"/>
    <w:rsid w:val="003F3051"/>
    <w:rsid w:val="003F44F6"/>
    <w:rsid w:val="00411CDC"/>
    <w:rsid w:val="00417D48"/>
    <w:rsid w:val="00436177"/>
    <w:rsid w:val="0043753B"/>
    <w:rsid w:val="00441492"/>
    <w:rsid w:val="00444125"/>
    <w:rsid w:val="00447256"/>
    <w:rsid w:val="00455964"/>
    <w:rsid w:val="00473EAD"/>
    <w:rsid w:val="00473FBB"/>
    <w:rsid w:val="004768BC"/>
    <w:rsid w:val="004A4D6B"/>
    <w:rsid w:val="004B5317"/>
    <w:rsid w:val="004B649E"/>
    <w:rsid w:val="004B6861"/>
    <w:rsid w:val="004B7172"/>
    <w:rsid w:val="004C0EEA"/>
    <w:rsid w:val="004C71BD"/>
    <w:rsid w:val="004E22FE"/>
    <w:rsid w:val="004E3A50"/>
    <w:rsid w:val="00510B12"/>
    <w:rsid w:val="0051792E"/>
    <w:rsid w:val="00522F28"/>
    <w:rsid w:val="005238A4"/>
    <w:rsid w:val="00526E05"/>
    <w:rsid w:val="00530F53"/>
    <w:rsid w:val="00532DC4"/>
    <w:rsid w:val="00534522"/>
    <w:rsid w:val="005360E6"/>
    <w:rsid w:val="005365EF"/>
    <w:rsid w:val="0054101C"/>
    <w:rsid w:val="005469E7"/>
    <w:rsid w:val="00547F16"/>
    <w:rsid w:val="00552C65"/>
    <w:rsid w:val="005542D7"/>
    <w:rsid w:val="00557607"/>
    <w:rsid w:val="00570CDA"/>
    <w:rsid w:val="00580A9F"/>
    <w:rsid w:val="00581154"/>
    <w:rsid w:val="00586E41"/>
    <w:rsid w:val="005910CE"/>
    <w:rsid w:val="00592CB4"/>
    <w:rsid w:val="005A0FE4"/>
    <w:rsid w:val="005B1952"/>
    <w:rsid w:val="005B48A6"/>
    <w:rsid w:val="005C3BA2"/>
    <w:rsid w:val="005C3F4E"/>
    <w:rsid w:val="005E154C"/>
    <w:rsid w:val="005F27FF"/>
    <w:rsid w:val="00602AD2"/>
    <w:rsid w:val="00610505"/>
    <w:rsid w:val="00612A89"/>
    <w:rsid w:val="0062015F"/>
    <w:rsid w:val="0062020B"/>
    <w:rsid w:val="00621269"/>
    <w:rsid w:val="00630208"/>
    <w:rsid w:val="00631D8A"/>
    <w:rsid w:val="00636279"/>
    <w:rsid w:val="0064768D"/>
    <w:rsid w:val="00650ECA"/>
    <w:rsid w:val="0065124C"/>
    <w:rsid w:val="00652FAB"/>
    <w:rsid w:val="00664106"/>
    <w:rsid w:val="00665564"/>
    <w:rsid w:val="00671EC2"/>
    <w:rsid w:val="0067603F"/>
    <w:rsid w:val="00677F32"/>
    <w:rsid w:val="00683BEE"/>
    <w:rsid w:val="00691BEC"/>
    <w:rsid w:val="006A5EF9"/>
    <w:rsid w:val="006C0F7D"/>
    <w:rsid w:val="006C7469"/>
    <w:rsid w:val="006D6026"/>
    <w:rsid w:val="006E0344"/>
    <w:rsid w:val="006E0484"/>
    <w:rsid w:val="006E28E6"/>
    <w:rsid w:val="006E3FC6"/>
    <w:rsid w:val="006E4E3E"/>
    <w:rsid w:val="006F79B1"/>
    <w:rsid w:val="00702356"/>
    <w:rsid w:val="00703FC1"/>
    <w:rsid w:val="00711D6F"/>
    <w:rsid w:val="00717397"/>
    <w:rsid w:val="0072689B"/>
    <w:rsid w:val="007320F9"/>
    <w:rsid w:val="00772752"/>
    <w:rsid w:val="00777228"/>
    <w:rsid w:val="00783569"/>
    <w:rsid w:val="007977C4"/>
    <w:rsid w:val="007A07E5"/>
    <w:rsid w:val="007B1E78"/>
    <w:rsid w:val="007C2C26"/>
    <w:rsid w:val="007D3DB9"/>
    <w:rsid w:val="007E33EB"/>
    <w:rsid w:val="007F3D24"/>
    <w:rsid w:val="0081078B"/>
    <w:rsid w:val="008108B3"/>
    <w:rsid w:val="008122B9"/>
    <w:rsid w:val="0082531D"/>
    <w:rsid w:val="00825A63"/>
    <w:rsid w:val="00831AEB"/>
    <w:rsid w:val="0083380C"/>
    <w:rsid w:val="00836BF7"/>
    <w:rsid w:val="00840C48"/>
    <w:rsid w:val="00855118"/>
    <w:rsid w:val="00856514"/>
    <w:rsid w:val="00861C48"/>
    <w:rsid w:val="00862C6A"/>
    <w:rsid w:val="00865C9E"/>
    <w:rsid w:val="008754AB"/>
    <w:rsid w:val="00882D3E"/>
    <w:rsid w:val="00883519"/>
    <w:rsid w:val="00892EED"/>
    <w:rsid w:val="00893A8A"/>
    <w:rsid w:val="0089630E"/>
    <w:rsid w:val="008A79A7"/>
    <w:rsid w:val="008C722F"/>
    <w:rsid w:val="008E1281"/>
    <w:rsid w:val="008E650D"/>
    <w:rsid w:val="008F3588"/>
    <w:rsid w:val="008F4D5C"/>
    <w:rsid w:val="008F7F6D"/>
    <w:rsid w:val="00902776"/>
    <w:rsid w:val="0092419D"/>
    <w:rsid w:val="009248C1"/>
    <w:rsid w:val="009311A6"/>
    <w:rsid w:val="0093157C"/>
    <w:rsid w:val="0093467C"/>
    <w:rsid w:val="0095306C"/>
    <w:rsid w:val="009609B6"/>
    <w:rsid w:val="0096336D"/>
    <w:rsid w:val="009678C9"/>
    <w:rsid w:val="00972E76"/>
    <w:rsid w:val="0097566B"/>
    <w:rsid w:val="00994899"/>
    <w:rsid w:val="009A0DA7"/>
    <w:rsid w:val="009A102D"/>
    <w:rsid w:val="009A49F0"/>
    <w:rsid w:val="009C2827"/>
    <w:rsid w:val="009D71EA"/>
    <w:rsid w:val="009E0D5B"/>
    <w:rsid w:val="009E3E72"/>
    <w:rsid w:val="009E4FDB"/>
    <w:rsid w:val="009E5832"/>
    <w:rsid w:val="009F3382"/>
    <w:rsid w:val="009F47E1"/>
    <w:rsid w:val="00A009C7"/>
    <w:rsid w:val="00A12F62"/>
    <w:rsid w:val="00A12FE2"/>
    <w:rsid w:val="00A153D9"/>
    <w:rsid w:val="00A24FAE"/>
    <w:rsid w:val="00A25D33"/>
    <w:rsid w:val="00A31623"/>
    <w:rsid w:val="00A346AA"/>
    <w:rsid w:val="00A36AD7"/>
    <w:rsid w:val="00A53760"/>
    <w:rsid w:val="00A725D4"/>
    <w:rsid w:val="00A8520A"/>
    <w:rsid w:val="00A87782"/>
    <w:rsid w:val="00A90ADE"/>
    <w:rsid w:val="00A93771"/>
    <w:rsid w:val="00A95382"/>
    <w:rsid w:val="00A96FE0"/>
    <w:rsid w:val="00AA47A3"/>
    <w:rsid w:val="00AA4CBD"/>
    <w:rsid w:val="00AC0889"/>
    <w:rsid w:val="00AC2188"/>
    <w:rsid w:val="00AC3ACC"/>
    <w:rsid w:val="00AD458D"/>
    <w:rsid w:val="00AE00E0"/>
    <w:rsid w:val="00AE4B09"/>
    <w:rsid w:val="00AE72CD"/>
    <w:rsid w:val="00B073F1"/>
    <w:rsid w:val="00B279AE"/>
    <w:rsid w:val="00B464B2"/>
    <w:rsid w:val="00B46EE2"/>
    <w:rsid w:val="00B518EB"/>
    <w:rsid w:val="00B5329B"/>
    <w:rsid w:val="00B60C60"/>
    <w:rsid w:val="00B64653"/>
    <w:rsid w:val="00B75220"/>
    <w:rsid w:val="00B84C8D"/>
    <w:rsid w:val="00B87F1B"/>
    <w:rsid w:val="00B961B6"/>
    <w:rsid w:val="00BB20C8"/>
    <w:rsid w:val="00BB3A68"/>
    <w:rsid w:val="00BB7913"/>
    <w:rsid w:val="00BC01D1"/>
    <w:rsid w:val="00BC207B"/>
    <w:rsid w:val="00BC2928"/>
    <w:rsid w:val="00BE264C"/>
    <w:rsid w:val="00BF0437"/>
    <w:rsid w:val="00BF4722"/>
    <w:rsid w:val="00BF55A9"/>
    <w:rsid w:val="00C0074E"/>
    <w:rsid w:val="00C04FAC"/>
    <w:rsid w:val="00C0644D"/>
    <w:rsid w:val="00C12C8D"/>
    <w:rsid w:val="00C14F49"/>
    <w:rsid w:val="00C211D2"/>
    <w:rsid w:val="00C24626"/>
    <w:rsid w:val="00C25599"/>
    <w:rsid w:val="00C31CB8"/>
    <w:rsid w:val="00C3247B"/>
    <w:rsid w:val="00C35EAC"/>
    <w:rsid w:val="00C36EAF"/>
    <w:rsid w:val="00C41C5D"/>
    <w:rsid w:val="00C44F06"/>
    <w:rsid w:val="00C50A4D"/>
    <w:rsid w:val="00C55C08"/>
    <w:rsid w:val="00C574E3"/>
    <w:rsid w:val="00C57FF6"/>
    <w:rsid w:val="00C6403A"/>
    <w:rsid w:val="00C6579E"/>
    <w:rsid w:val="00C657B6"/>
    <w:rsid w:val="00C66AB9"/>
    <w:rsid w:val="00C711F9"/>
    <w:rsid w:val="00C829B3"/>
    <w:rsid w:val="00C85C7A"/>
    <w:rsid w:val="00C8607E"/>
    <w:rsid w:val="00C90070"/>
    <w:rsid w:val="00C912EA"/>
    <w:rsid w:val="00CA2381"/>
    <w:rsid w:val="00CA6CF4"/>
    <w:rsid w:val="00CB25E3"/>
    <w:rsid w:val="00CC391F"/>
    <w:rsid w:val="00CC3C65"/>
    <w:rsid w:val="00CC5CBA"/>
    <w:rsid w:val="00CD3730"/>
    <w:rsid w:val="00CD5944"/>
    <w:rsid w:val="00CE31F7"/>
    <w:rsid w:val="00CF6FB6"/>
    <w:rsid w:val="00D153C0"/>
    <w:rsid w:val="00D33F49"/>
    <w:rsid w:val="00D37AE9"/>
    <w:rsid w:val="00D44C02"/>
    <w:rsid w:val="00D569AE"/>
    <w:rsid w:val="00D6283F"/>
    <w:rsid w:val="00D65DFF"/>
    <w:rsid w:val="00D70B9D"/>
    <w:rsid w:val="00D730CC"/>
    <w:rsid w:val="00D87E19"/>
    <w:rsid w:val="00DA3846"/>
    <w:rsid w:val="00DA5DB2"/>
    <w:rsid w:val="00DA74B8"/>
    <w:rsid w:val="00DB27FD"/>
    <w:rsid w:val="00DB75E7"/>
    <w:rsid w:val="00DC21B3"/>
    <w:rsid w:val="00DC3E36"/>
    <w:rsid w:val="00DC7D54"/>
    <w:rsid w:val="00DE04BA"/>
    <w:rsid w:val="00DF0569"/>
    <w:rsid w:val="00DF6BF7"/>
    <w:rsid w:val="00E02B7A"/>
    <w:rsid w:val="00E10A42"/>
    <w:rsid w:val="00E10DB9"/>
    <w:rsid w:val="00E31E49"/>
    <w:rsid w:val="00E37C39"/>
    <w:rsid w:val="00E523BC"/>
    <w:rsid w:val="00E57F5A"/>
    <w:rsid w:val="00E71556"/>
    <w:rsid w:val="00E7439C"/>
    <w:rsid w:val="00E7543C"/>
    <w:rsid w:val="00E761CD"/>
    <w:rsid w:val="00EB0F93"/>
    <w:rsid w:val="00EB4501"/>
    <w:rsid w:val="00EB4515"/>
    <w:rsid w:val="00EB4A35"/>
    <w:rsid w:val="00EB5376"/>
    <w:rsid w:val="00EC58C9"/>
    <w:rsid w:val="00ED275A"/>
    <w:rsid w:val="00ED3A98"/>
    <w:rsid w:val="00ED6554"/>
    <w:rsid w:val="00EE0BC0"/>
    <w:rsid w:val="00F07149"/>
    <w:rsid w:val="00F14CE0"/>
    <w:rsid w:val="00F35E14"/>
    <w:rsid w:val="00F4063A"/>
    <w:rsid w:val="00F40F17"/>
    <w:rsid w:val="00F42270"/>
    <w:rsid w:val="00F61EA2"/>
    <w:rsid w:val="00F66F34"/>
    <w:rsid w:val="00F75EC1"/>
    <w:rsid w:val="00FA1065"/>
    <w:rsid w:val="00FB2817"/>
    <w:rsid w:val="00FC0523"/>
    <w:rsid w:val="00FC2195"/>
    <w:rsid w:val="00FC2903"/>
    <w:rsid w:val="00FD2FEF"/>
    <w:rsid w:val="00FD4D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0F03"/>
    <w:rPr>
      <w:color w:val="0000FF" w:themeColor="hyperlink"/>
      <w:u w:val="single"/>
    </w:rPr>
  </w:style>
  <w:style w:type="paragraph" w:styleId="Header">
    <w:name w:val="header"/>
    <w:basedOn w:val="Normal"/>
    <w:link w:val="HeaderChar"/>
    <w:uiPriority w:val="99"/>
    <w:unhideWhenUsed/>
    <w:rsid w:val="00010F03"/>
    <w:pPr>
      <w:tabs>
        <w:tab w:val="center" w:pos="4252"/>
        <w:tab w:val="right" w:pos="8504"/>
      </w:tabs>
      <w:snapToGrid w:val="0"/>
    </w:pPr>
  </w:style>
  <w:style w:type="character" w:customStyle="1" w:styleId="HeaderChar">
    <w:name w:val="Header Char"/>
    <w:basedOn w:val="DefaultParagraphFont"/>
    <w:link w:val="Header"/>
    <w:uiPriority w:val="99"/>
    <w:rsid w:val="00010F03"/>
  </w:style>
  <w:style w:type="paragraph" w:styleId="Footer">
    <w:name w:val="footer"/>
    <w:basedOn w:val="Normal"/>
    <w:link w:val="FooterChar"/>
    <w:uiPriority w:val="99"/>
    <w:unhideWhenUsed/>
    <w:rsid w:val="00010F03"/>
    <w:pPr>
      <w:tabs>
        <w:tab w:val="center" w:pos="4252"/>
        <w:tab w:val="right" w:pos="8504"/>
      </w:tabs>
      <w:snapToGrid w:val="0"/>
    </w:pPr>
  </w:style>
  <w:style w:type="character" w:customStyle="1" w:styleId="FooterChar">
    <w:name w:val="Footer Char"/>
    <w:basedOn w:val="DefaultParagraphFont"/>
    <w:link w:val="Footer"/>
    <w:uiPriority w:val="99"/>
    <w:rsid w:val="00010F03"/>
  </w:style>
  <w:style w:type="paragraph" w:styleId="BalloonText">
    <w:name w:val="Balloon Text"/>
    <w:basedOn w:val="Normal"/>
    <w:link w:val="BalloonTextChar"/>
    <w:uiPriority w:val="99"/>
    <w:semiHidden/>
    <w:unhideWhenUsed/>
    <w:rsid w:val="00087D18"/>
    <w:rPr>
      <w:rFonts w:ascii="Tahoma" w:hAnsi="Tahoma" w:cs="Tahoma"/>
      <w:sz w:val="16"/>
      <w:szCs w:val="16"/>
    </w:rPr>
  </w:style>
  <w:style w:type="character" w:customStyle="1" w:styleId="BalloonTextChar">
    <w:name w:val="Balloon Text Char"/>
    <w:basedOn w:val="DefaultParagraphFont"/>
    <w:link w:val="BalloonText"/>
    <w:uiPriority w:val="99"/>
    <w:semiHidden/>
    <w:rsid w:val="00087D18"/>
    <w:rPr>
      <w:rFonts w:ascii="Tahoma" w:hAnsi="Tahoma" w:cs="Tahoma"/>
      <w:sz w:val="16"/>
      <w:szCs w:val="16"/>
    </w:rPr>
  </w:style>
  <w:style w:type="paragraph" w:customStyle="1" w:styleId="SingleTxtG">
    <w:name w:val="_ Single Txt_G"/>
    <w:basedOn w:val="Normal"/>
    <w:link w:val="SingleTxtGChar"/>
    <w:rsid w:val="000947C9"/>
    <w:pPr>
      <w:widowControl/>
      <w:suppressAutoHyphens/>
      <w:spacing w:after="120" w:line="240" w:lineRule="atLeast"/>
      <w:ind w:left="1134" w:right="1134"/>
    </w:pPr>
    <w:rPr>
      <w:rFonts w:ascii="Times New Roman" w:hAnsi="Times New Roman" w:cs="Times New Roman"/>
      <w:kern w:val="0"/>
      <w:sz w:val="20"/>
      <w:szCs w:val="20"/>
      <w:lang w:val="fr-CH" w:eastAsia="en-US"/>
    </w:rPr>
  </w:style>
  <w:style w:type="character" w:customStyle="1" w:styleId="SingleTxtGChar">
    <w:name w:val="_ Single Txt_G Char"/>
    <w:link w:val="SingleTxtG"/>
    <w:rsid w:val="000947C9"/>
    <w:rPr>
      <w:rFonts w:ascii="Times New Roman" w:hAnsi="Times New Roman" w:cs="Times New Roman"/>
      <w:kern w:val="0"/>
      <w:sz w:val="20"/>
      <w:szCs w:val="20"/>
      <w:lang w:val="fr-CH" w:eastAsia="en-US"/>
    </w:rPr>
  </w:style>
  <w:style w:type="paragraph" w:styleId="FootnoteText">
    <w:name w:val="footnote text"/>
    <w:basedOn w:val="Normal"/>
    <w:link w:val="FootnoteTextChar"/>
    <w:uiPriority w:val="99"/>
    <w:semiHidden/>
    <w:unhideWhenUsed/>
    <w:rsid w:val="00090DAF"/>
    <w:rPr>
      <w:sz w:val="20"/>
      <w:szCs w:val="20"/>
    </w:rPr>
  </w:style>
  <w:style w:type="character" w:customStyle="1" w:styleId="FootnoteTextChar">
    <w:name w:val="Footnote Text Char"/>
    <w:basedOn w:val="DefaultParagraphFont"/>
    <w:link w:val="FootnoteText"/>
    <w:uiPriority w:val="99"/>
    <w:semiHidden/>
    <w:rsid w:val="00090DAF"/>
    <w:rPr>
      <w:sz w:val="20"/>
      <w:szCs w:val="20"/>
    </w:rPr>
  </w:style>
  <w:style w:type="character" w:styleId="FootnoteReference">
    <w:name w:val="footnote reference"/>
    <w:basedOn w:val="DefaultParagraphFont"/>
    <w:uiPriority w:val="99"/>
    <w:semiHidden/>
    <w:unhideWhenUsed/>
    <w:rsid w:val="00090DA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0F03"/>
    <w:rPr>
      <w:color w:val="0000FF" w:themeColor="hyperlink"/>
      <w:u w:val="single"/>
    </w:rPr>
  </w:style>
  <w:style w:type="paragraph" w:styleId="Header">
    <w:name w:val="header"/>
    <w:basedOn w:val="Normal"/>
    <w:link w:val="HeaderChar"/>
    <w:uiPriority w:val="99"/>
    <w:unhideWhenUsed/>
    <w:rsid w:val="00010F03"/>
    <w:pPr>
      <w:tabs>
        <w:tab w:val="center" w:pos="4252"/>
        <w:tab w:val="right" w:pos="8504"/>
      </w:tabs>
      <w:snapToGrid w:val="0"/>
    </w:pPr>
  </w:style>
  <w:style w:type="character" w:customStyle="1" w:styleId="HeaderChar">
    <w:name w:val="Header Char"/>
    <w:basedOn w:val="DefaultParagraphFont"/>
    <w:link w:val="Header"/>
    <w:uiPriority w:val="99"/>
    <w:rsid w:val="00010F03"/>
  </w:style>
  <w:style w:type="paragraph" w:styleId="Footer">
    <w:name w:val="footer"/>
    <w:basedOn w:val="Normal"/>
    <w:link w:val="FooterChar"/>
    <w:uiPriority w:val="99"/>
    <w:unhideWhenUsed/>
    <w:rsid w:val="00010F03"/>
    <w:pPr>
      <w:tabs>
        <w:tab w:val="center" w:pos="4252"/>
        <w:tab w:val="right" w:pos="8504"/>
      </w:tabs>
      <w:snapToGrid w:val="0"/>
    </w:pPr>
  </w:style>
  <w:style w:type="character" w:customStyle="1" w:styleId="FooterChar">
    <w:name w:val="Footer Char"/>
    <w:basedOn w:val="DefaultParagraphFont"/>
    <w:link w:val="Footer"/>
    <w:uiPriority w:val="99"/>
    <w:rsid w:val="00010F03"/>
  </w:style>
  <w:style w:type="paragraph" w:styleId="BalloonText">
    <w:name w:val="Balloon Text"/>
    <w:basedOn w:val="Normal"/>
    <w:link w:val="BalloonTextChar"/>
    <w:uiPriority w:val="99"/>
    <w:semiHidden/>
    <w:unhideWhenUsed/>
    <w:rsid w:val="00087D18"/>
    <w:rPr>
      <w:rFonts w:ascii="Tahoma" w:hAnsi="Tahoma" w:cs="Tahoma"/>
      <w:sz w:val="16"/>
      <w:szCs w:val="16"/>
    </w:rPr>
  </w:style>
  <w:style w:type="character" w:customStyle="1" w:styleId="BalloonTextChar">
    <w:name w:val="Balloon Text Char"/>
    <w:basedOn w:val="DefaultParagraphFont"/>
    <w:link w:val="BalloonText"/>
    <w:uiPriority w:val="99"/>
    <w:semiHidden/>
    <w:rsid w:val="00087D18"/>
    <w:rPr>
      <w:rFonts w:ascii="Tahoma" w:hAnsi="Tahoma" w:cs="Tahoma"/>
      <w:sz w:val="16"/>
      <w:szCs w:val="16"/>
    </w:rPr>
  </w:style>
  <w:style w:type="paragraph" w:customStyle="1" w:styleId="SingleTxtG">
    <w:name w:val="_ Single Txt_G"/>
    <w:basedOn w:val="Normal"/>
    <w:link w:val="SingleTxtGChar"/>
    <w:rsid w:val="000947C9"/>
    <w:pPr>
      <w:widowControl/>
      <w:suppressAutoHyphens/>
      <w:spacing w:after="120" w:line="240" w:lineRule="atLeast"/>
      <w:ind w:left="1134" w:right="1134"/>
    </w:pPr>
    <w:rPr>
      <w:rFonts w:ascii="Times New Roman" w:hAnsi="Times New Roman" w:cs="Times New Roman"/>
      <w:kern w:val="0"/>
      <w:sz w:val="20"/>
      <w:szCs w:val="20"/>
      <w:lang w:val="fr-CH" w:eastAsia="en-US"/>
    </w:rPr>
  </w:style>
  <w:style w:type="character" w:customStyle="1" w:styleId="SingleTxtGChar">
    <w:name w:val="_ Single Txt_G Char"/>
    <w:link w:val="SingleTxtG"/>
    <w:rsid w:val="000947C9"/>
    <w:rPr>
      <w:rFonts w:ascii="Times New Roman" w:hAnsi="Times New Roman" w:cs="Times New Roman"/>
      <w:kern w:val="0"/>
      <w:sz w:val="20"/>
      <w:szCs w:val="20"/>
      <w:lang w:val="fr-CH" w:eastAsia="en-US"/>
    </w:rPr>
  </w:style>
  <w:style w:type="paragraph" w:styleId="FootnoteText">
    <w:name w:val="footnote text"/>
    <w:basedOn w:val="Normal"/>
    <w:link w:val="FootnoteTextChar"/>
    <w:uiPriority w:val="99"/>
    <w:semiHidden/>
    <w:unhideWhenUsed/>
    <w:rsid w:val="00090DAF"/>
    <w:rPr>
      <w:sz w:val="20"/>
      <w:szCs w:val="20"/>
    </w:rPr>
  </w:style>
  <w:style w:type="character" w:customStyle="1" w:styleId="FootnoteTextChar">
    <w:name w:val="Footnote Text Char"/>
    <w:basedOn w:val="DefaultParagraphFont"/>
    <w:link w:val="FootnoteText"/>
    <w:uiPriority w:val="99"/>
    <w:semiHidden/>
    <w:rsid w:val="00090DAF"/>
    <w:rPr>
      <w:sz w:val="20"/>
      <w:szCs w:val="20"/>
    </w:rPr>
  </w:style>
  <w:style w:type="character" w:styleId="FootnoteReference">
    <w:name w:val="footnote reference"/>
    <w:basedOn w:val="DefaultParagraphFont"/>
    <w:uiPriority w:val="99"/>
    <w:semiHidden/>
    <w:unhideWhenUsed/>
    <w:rsid w:val="00090DA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4414">
      <w:bodyDiv w:val="1"/>
      <w:marLeft w:val="0"/>
      <w:marRight w:val="0"/>
      <w:marTop w:val="0"/>
      <w:marBottom w:val="0"/>
      <w:divBdr>
        <w:top w:val="none" w:sz="0" w:space="0" w:color="auto"/>
        <w:left w:val="none" w:sz="0" w:space="0" w:color="auto"/>
        <w:bottom w:val="none" w:sz="0" w:space="0" w:color="auto"/>
        <w:right w:val="none" w:sz="0" w:space="0" w:color="auto"/>
      </w:divBdr>
      <w:divsChild>
        <w:div w:id="2072725826">
          <w:marLeft w:val="0"/>
          <w:marRight w:val="0"/>
          <w:marTop w:val="0"/>
          <w:marBottom w:val="0"/>
          <w:divBdr>
            <w:top w:val="none" w:sz="0" w:space="0" w:color="auto"/>
            <w:left w:val="none" w:sz="0" w:space="0" w:color="auto"/>
            <w:bottom w:val="none" w:sz="0" w:space="0" w:color="auto"/>
            <w:right w:val="none" w:sz="0" w:space="0" w:color="auto"/>
          </w:divBdr>
        </w:div>
        <w:div w:id="322511048">
          <w:marLeft w:val="0"/>
          <w:marRight w:val="0"/>
          <w:marTop w:val="0"/>
          <w:marBottom w:val="0"/>
          <w:divBdr>
            <w:top w:val="none" w:sz="0" w:space="0" w:color="auto"/>
            <w:left w:val="none" w:sz="0" w:space="0" w:color="auto"/>
            <w:bottom w:val="none" w:sz="0" w:space="0" w:color="auto"/>
            <w:right w:val="none" w:sz="0" w:space="0" w:color="auto"/>
          </w:divBdr>
        </w:div>
        <w:div w:id="925502635">
          <w:marLeft w:val="0"/>
          <w:marRight w:val="0"/>
          <w:marTop w:val="0"/>
          <w:marBottom w:val="0"/>
          <w:divBdr>
            <w:top w:val="none" w:sz="0" w:space="0" w:color="auto"/>
            <w:left w:val="none" w:sz="0" w:space="0" w:color="auto"/>
            <w:bottom w:val="none" w:sz="0" w:space="0" w:color="auto"/>
            <w:right w:val="none" w:sz="0" w:space="0" w:color="auto"/>
          </w:divBdr>
        </w:div>
      </w:divsChild>
    </w:div>
    <w:div w:id="103246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3D410-839A-4138-8F23-06FBC6834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434</Words>
  <Characters>3674</Characters>
  <Application>Microsoft Office Word</Application>
  <DocSecurity>0</DocSecurity>
  <Lines>262</Lines>
  <Paragraphs>205</Paragraphs>
  <ScaleCrop>false</ScaleCrop>
  <HeadingPairs>
    <vt:vector size="6" baseType="variant">
      <vt:variant>
        <vt:lpstr>Titel</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トヨタ自動車</Company>
  <LinksUpToDate>false</LinksUpToDate>
  <CharactersWithSpaces>3903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トヨタ自動車</dc:creator>
  <cp:lastModifiedBy>Francois E. Guichard</cp:lastModifiedBy>
  <cp:revision>3</cp:revision>
  <cp:lastPrinted>2016-09-07T10:11:00Z</cp:lastPrinted>
  <dcterms:created xsi:type="dcterms:W3CDTF">2017-06-09T13:04:00Z</dcterms:created>
  <dcterms:modified xsi:type="dcterms:W3CDTF">2017-06-19T17:00:00Z</dcterms:modified>
</cp:coreProperties>
</file>