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C2" w:rsidRDefault="007B025E" w:rsidP="00A90DB0">
      <w:pPr>
        <w:pStyle w:val="HChG"/>
        <w:pBdr>
          <w:top w:val="none" w:sz="0" w:space="0" w:color="auto"/>
          <w:left w:val="none" w:sz="0" w:space="0" w:color="auto"/>
          <w:bottom w:val="none" w:sz="0" w:space="0" w:color="auto"/>
          <w:right w:val="none" w:sz="0" w:space="0" w:color="auto"/>
          <w:between w:val="none" w:sz="0" w:space="0" w:color="auto"/>
          <w:bar w:val="none" w:sz="0" w:color="auto"/>
        </w:pBdr>
      </w:pPr>
      <w:r w:rsidRPr="00A13680">
        <w:tab/>
      </w:r>
      <w:r w:rsidRPr="00A13680">
        <w:tab/>
      </w:r>
      <w:r w:rsidR="001F1F94">
        <w:t>Status report on the hosting of DETA</w:t>
      </w:r>
    </w:p>
    <w:p w:rsidR="001F31C2" w:rsidRPr="00A13680" w:rsidRDefault="00911AE2" w:rsidP="00A90DB0">
      <w:pPr>
        <w:pStyle w:val="HChG"/>
        <w:pBdr>
          <w:top w:val="none" w:sz="0" w:space="0" w:color="auto"/>
          <w:left w:val="none" w:sz="0" w:space="0" w:color="auto"/>
          <w:bottom w:val="none" w:sz="0" w:space="0" w:color="auto"/>
          <w:right w:val="none" w:sz="0" w:space="0" w:color="auto"/>
          <w:between w:val="none" w:sz="0" w:space="0" w:color="auto"/>
          <w:bar w:val="none" w:sz="0" w:color="auto"/>
        </w:pBdr>
      </w:pPr>
      <w:r w:rsidRPr="00A13680">
        <w:tab/>
      </w:r>
      <w:r w:rsidR="00F53ECE">
        <w:t>I</w:t>
      </w:r>
      <w:r w:rsidR="00A13680" w:rsidRPr="00A13680">
        <w:t>.</w:t>
      </w:r>
      <w:r w:rsidR="00A13680" w:rsidRPr="00A13680">
        <w:tab/>
      </w:r>
      <w:r w:rsidR="00BD280A">
        <w:t>Introduction</w:t>
      </w:r>
    </w:p>
    <w:p w:rsidR="00937093" w:rsidRDefault="006D6C52" w:rsidP="00A928DC">
      <w:pPr>
        <w:pStyle w:val="SingleTxtG"/>
        <w:ind w:left="851" w:right="851"/>
      </w:pPr>
      <w:r>
        <w:t>1</w:t>
      </w:r>
      <w:r w:rsidR="00911AE2" w:rsidRPr="00A13680">
        <w:t>.</w:t>
      </w:r>
      <w:r w:rsidR="00D058C0">
        <w:tab/>
      </w:r>
      <w:r w:rsidR="001F1F94" w:rsidRPr="001F1F94">
        <w:t>The UNECE World Forum on Harmonization of Vehicle Regulations (WP.29) has since 2003 considered various options to set up a system that would allow type approvals granted according to UN Regulations annexed to the 1958 Agreement to be managed electronically</w:t>
      </w:r>
      <w:r w:rsidR="00ED7350">
        <w:t>.</w:t>
      </w:r>
    </w:p>
    <w:p w:rsidR="00691A16" w:rsidRDefault="00937093" w:rsidP="001F1F94">
      <w:pPr>
        <w:pStyle w:val="SingleTxtG"/>
        <w:spacing w:line="240" w:lineRule="auto"/>
        <w:ind w:left="851" w:right="851"/>
      </w:pPr>
      <w:r>
        <w:t>2.</w:t>
      </w:r>
      <w:r>
        <w:tab/>
      </w:r>
      <w:r w:rsidR="001F1F94">
        <w:t xml:space="preserve">The draft </w:t>
      </w:r>
      <w:r w:rsidR="001F1F94" w:rsidRPr="001F1F94">
        <w:t>Revision 3 to the 1958 Agreement introduces DETA through outlining in its Article 5 and Schedule 5 the provisions for "</w:t>
      </w:r>
      <w:r w:rsidR="001F1F94" w:rsidRPr="001F1F94">
        <w:t>…</w:t>
      </w:r>
      <w:r w:rsidR="001F1F94" w:rsidRPr="001F1F94">
        <w:t>utilizing the secure internet database established by the United Nations Economic Commission for Europe</w:t>
      </w:r>
      <w:r w:rsidR="001F1F94" w:rsidRPr="001F1F94">
        <w:t>…</w:t>
      </w:r>
      <w:r w:rsidR="001F1F94" w:rsidRPr="001F1F94">
        <w:t>", and defines the rights and obligations of system stakeholders.</w:t>
      </w:r>
    </w:p>
    <w:p w:rsidR="001F1F94" w:rsidRPr="001F1F94" w:rsidRDefault="001F1F94" w:rsidP="001F1F94">
      <w:pPr>
        <w:pStyle w:val="SingleTxtG"/>
        <w:spacing w:line="240" w:lineRule="auto"/>
        <w:ind w:left="851" w:right="851"/>
      </w:pPr>
      <w:r>
        <w:t>3.</w:t>
      </w:r>
      <w:r>
        <w:tab/>
        <w:t>The entry into force of Rev. 3 to the 1958 Agreement is expected in September 2017. Until then, the goal of the UNECE secretariat is to provide DETA to the member States.</w:t>
      </w:r>
    </w:p>
    <w:p w:rsidR="001F31C2" w:rsidRPr="00A13680" w:rsidRDefault="007B025E" w:rsidP="00A90DB0">
      <w:pPr>
        <w:pStyle w:val="HChG"/>
        <w:pBdr>
          <w:top w:val="none" w:sz="0" w:space="0" w:color="auto"/>
          <w:left w:val="none" w:sz="0" w:space="0" w:color="auto"/>
          <w:bottom w:val="none" w:sz="0" w:space="0" w:color="auto"/>
          <w:right w:val="none" w:sz="0" w:space="0" w:color="auto"/>
          <w:between w:val="none" w:sz="0" w:space="0" w:color="auto"/>
          <w:bar w:val="none" w:sz="0" w:color="auto"/>
        </w:pBdr>
      </w:pPr>
      <w:r w:rsidRPr="00A13680">
        <w:tab/>
      </w:r>
      <w:r w:rsidR="00F53ECE">
        <w:t>II</w:t>
      </w:r>
      <w:r w:rsidR="008B64C5">
        <w:t>.</w:t>
      </w:r>
      <w:r w:rsidR="008B64C5">
        <w:tab/>
      </w:r>
      <w:r w:rsidR="001F1F94">
        <w:t>Financing DETA</w:t>
      </w:r>
    </w:p>
    <w:p w:rsidR="005123ED" w:rsidRDefault="003F512E" w:rsidP="00A928DC">
      <w:pPr>
        <w:pStyle w:val="SingleTxtG"/>
        <w:ind w:left="851" w:right="851"/>
      </w:pPr>
      <w:r>
        <w:t>4</w:t>
      </w:r>
      <w:r w:rsidR="00937093">
        <w:t>.</w:t>
      </w:r>
      <w:r w:rsidR="00937093">
        <w:tab/>
      </w:r>
      <w:r w:rsidR="001F1F94">
        <w:t xml:space="preserve">The Informal Working Group (IWG) on DETA explored ways to finance DETA. Among several options, hosting DETA and covering the related costs through the UNECE Regular Budget was the option proposed to WP.29. The World Forum WP.29 and the Inland Transport Committee decided in that </w:t>
      </w:r>
      <w:r w:rsidR="00D038E0">
        <w:t>sense</w:t>
      </w:r>
      <w:r>
        <w:t>.</w:t>
      </w:r>
    </w:p>
    <w:p w:rsidR="001F1F94" w:rsidRDefault="003F512E" w:rsidP="00A928DC">
      <w:pPr>
        <w:pStyle w:val="SingleTxtG"/>
        <w:ind w:left="851" w:right="851"/>
      </w:pPr>
      <w:r>
        <w:t>5</w:t>
      </w:r>
      <w:r w:rsidR="001F1F94">
        <w:t>.</w:t>
      </w:r>
      <w:r w:rsidR="001F1F94">
        <w:tab/>
        <w:t xml:space="preserve">Since then, UNECE faced a number of budget cuts affecting </w:t>
      </w:r>
      <w:r>
        <w:t xml:space="preserve">both the number of staffs </w:t>
      </w:r>
      <w:r w:rsidR="001F1F94">
        <w:t>and material.</w:t>
      </w:r>
    </w:p>
    <w:p w:rsidR="00034156" w:rsidRDefault="00034156" w:rsidP="00034156">
      <w:pPr>
        <w:pStyle w:val="HChG"/>
        <w:pBdr>
          <w:top w:val="none" w:sz="0" w:space="0" w:color="auto"/>
          <w:left w:val="none" w:sz="0" w:space="0" w:color="auto"/>
          <w:bottom w:val="none" w:sz="0" w:space="0" w:color="auto"/>
          <w:right w:val="none" w:sz="0" w:space="0" w:color="auto"/>
          <w:between w:val="none" w:sz="0" w:space="0" w:color="auto"/>
          <w:bar w:val="none" w:sz="0" w:color="auto"/>
        </w:pBdr>
      </w:pPr>
      <w:r>
        <w:tab/>
        <w:t>III.</w:t>
      </w:r>
      <w:r>
        <w:tab/>
      </w:r>
      <w:r w:rsidR="001F1F94">
        <w:t>Actions undertaken by the WP.29 secretariat</w:t>
      </w:r>
    </w:p>
    <w:p w:rsidR="007345FE" w:rsidRDefault="00034156" w:rsidP="00A928DC">
      <w:pPr>
        <w:pStyle w:val="SingleTxtG"/>
        <w:ind w:left="851" w:right="851"/>
      </w:pPr>
      <w:r>
        <w:t>6.</w:t>
      </w:r>
      <w:r>
        <w:tab/>
      </w:r>
      <w:r w:rsidR="001F1F94">
        <w:t xml:space="preserve">A memo on DETA informing the UNECE senior management was drafted on </w:t>
      </w:r>
      <w:r w:rsidR="007345FE">
        <w:t xml:space="preserve">spring 2016. </w:t>
      </w:r>
    </w:p>
    <w:p w:rsidR="007345FE" w:rsidRDefault="007345FE" w:rsidP="00A928DC">
      <w:pPr>
        <w:pStyle w:val="SingleTxtG"/>
        <w:ind w:left="851" w:right="851"/>
      </w:pPr>
      <w:r>
        <w:t>7.</w:t>
      </w:r>
      <w:r>
        <w:tab/>
        <w:t xml:space="preserve">The DETA activity was added </w:t>
      </w:r>
      <w:r w:rsidR="00066639">
        <w:t>to</w:t>
      </w:r>
      <w:r>
        <w:t xml:space="preserve"> the budget narrative</w:t>
      </w:r>
      <w:r w:rsidR="00066639">
        <w:t xml:space="preserve"> for 2018 and 2019</w:t>
      </w:r>
      <w:r>
        <w:t xml:space="preserve"> as reflected in the </w:t>
      </w:r>
      <w:hyperlink r:id="rId9" w:history="1">
        <w:r w:rsidRPr="007345FE">
          <w:rPr>
            <w:rStyle w:val="Hyperlink"/>
          </w:rPr>
          <w:t>documentation</w:t>
        </w:r>
      </w:hyperlink>
      <w:r>
        <w:t xml:space="preserve"> (Entry 13 on page 18) submitted to EXCOM at its December 2016 session.</w:t>
      </w:r>
    </w:p>
    <w:p w:rsidR="00E151C2" w:rsidRDefault="007345FE" w:rsidP="00A928DC">
      <w:pPr>
        <w:pStyle w:val="SingleTxtG"/>
        <w:ind w:left="851" w:right="851"/>
      </w:pPr>
      <w:r>
        <w:t>8.</w:t>
      </w:r>
      <w:r>
        <w:tab/>
        <w:t>The Director of PMU explained to WP.29 the p</w:t>
      </w:r>
      <w:r w:rsidRPr="007345FE">
        <w:t>rocedure for adoption of Programme Budgetary Implications (PBIs)</w:t>
      </w:r>
      <w:r w:rsidR="00AF28F8">
        <w:t>.</w:t>
      </w:r>
    </w:p>
    <w:p w:rsidR="007345FE" w:rsidRDefault="007345FE" w:rsidP="00A928DC">
      <w:pPr>
        <w:pStyle w:val="SingleTxtG"/>
        <w:ind w:left="851" w:right="851"/>
      </w:pPr>
      <w:r>
        <w:t>9.</w:t>
      </w:r>
      <w:r>
        <w:tab/>
        <w:t xml:space="preserve">During the </w:t>
      </w:r>
      <w:hyperlink r:id="rId10" w:history="1">
        <w:r w:rsidRPr="00F27BBC">
          <w:rPr>
            <w:rStyle w:val="Hyperlink"/>
          </w:rPr>
          <w:t>EXCOM meeting</w:t>
        </w:r>
      </w:hyperlink>
      <w:r>
        <w:t xml:space="preserve"> in December 2016, following a discussion initiated by a Member State, the </w:t>
      </w:r>
      <w:r w:rsidR="00D7135C">
        <w:t>UNECE s</w:t>
      </w:r>
      <w:r>
        <w:t xml:space="preserve">ecretariat removed the Entry 13 in the document mentioned </w:t>
      </w:r>
      <w:r w:rsidR="00F27BBC">
        <w:t xml:space="preserve">in para. </w:t>
      </w:r>
      <w:proofErr w:type="gramStart"/>
      <w:r w:rsidR="00F27BBC">
        <w:t>7 above</w:t>
      </w:r>
      <w:r>
        <w:t>.</w:t>
      </w:r>
      <w:proofErr w:type="gramEnd"/>
      <w:r>
        <w:t xml:space="preserve"> </w:t>
      </w:r>
    </w:p>
    <w:p w:rsidR="007345FE" w:rsidRDefault="007345FE" w:rsidP="00A928DC">
      <w:pPr>
        <w:pStyle w:val="SingleTxtG"/>
        <w:ind w:left="851" w:right="851"/>
      </w:pPr>
      <w:r>
        <w:t>10.</w:t>
      </w:r>
      <w:r>
        <w:tab/>
        <w:t xml:space="preserve">Noting the risk related to the timeline, the WP.29 Secretariat, the IWG on DETA Chair and Secretary together with key experts from the Russian Federation and Germany drafted a </w:t>
      </w:r>
      <w:r w:rsidR="003F512E">
        <w:t>working paper</w:t>
      </w:r>
      <w:r>
        <w:t xml:space="preserve"> to propose</w:t>
      </w:r>
      <w:r w:rsidR="00066639">
        <w:t>, as an interim solution,</w:t>
      </w:r>
      <w:r>
        <w:t xml:space="preserve"> the establishment of a</w:t>
      </w:r>
      <w:r w:rsidR="00D7135C">
        <w:t>n</w:t>
      </w:r>
      <w:r>
        <w:t xml:space="preserve"> Extra Budgetary </w:t>
      </w:r>
      <w:r w:rsidR="00066639">
        <w:t>Project</w:t>
      </w:r>
      <w:r>
        <w:t xml:space="preserve"> for the installation of DETA with</w:t>
      </w:r>
      <w:r w:rsidR="00066639">
        <w:t>in</w:t>
      </w:r>
      <w:r>
        <w:t xml:space="preserve"> the UNECE premises</w:t>
      </w:r>
      <w:r w:rsidR="00D7135C">
        <w:t xml:space="preserve"> and would in parallel seek for the approval of the inclusion of DETA in the UNECE Regular Budget in the biennials starting from the 2020</w:t>
      </w:r>
      <w:r>
        <w:t xml:space="preserve">. </w:t>
      </w:r>
    </w:p>
    <w:p w:rsidR="00D7135C" w:rsidRDefault="00D7135C" w:rsidP="00A928DC">
      <w:pPr>
        <w:pStyle w:val="SingleTxtG"/>
        <w:ind w:left="851" w:right="851"/>
      </w:pPr>
      <w:r>
        <w:t>11.</w:t>
      </w:r>
      <w:r>
        <w:tab/>
        <w:t>The secretariat informed ITC on the tight time line and the possibility to find a short term solution. ITC decided to request UNECE to finance DETA from its Regular Budget, not authorizing explicitly to work the basis of a</w:t>
      </w:r>
      <w:r w:rsidR="00066639">
        <w:t>n</w:t>
      </w:r>
      <w:r>
        <w:t xml:space="preserve"> </w:t>
      </w:r>
      <w:r w:rsidR="00066639">
        <w:t>Extra Budgetary Project</w:t>
      </w:r>
      <w:r>
        <w:t>.</w:t>
      </w:r>
    </w:p>
    <w:p w:rsidR="00D7135C" w:rsidRDefault="00D7135C" w:rsidP="00A928DC">
      <w:pPr>
        <w:pStyle w:val="SingleTxtG"/>
        <w:ind w:left="851" w:right="851"/>
      </w:pPr>
      <w:r>
        <w:t xml:space="preserve">12. </w:t>
      </w:r>
      <w:r>
        <w:tab/>
        <w:t>At its March 2017 session, WP.29 supported the ITC decision.</w:t>
      </w:r>
    </w:p>
    <w:p w:rsidR="00D7135C" w:rsidRDefault="00D7135C" w:rsidP="00A928DC">
      <w:pPr>
        <w:pStyle w:val="SingleTxtG"/>
        <w:ind w:left="851" w:right="851"/>
      </w:pPr>
      <w:r>
        <w:lastRenderedPageBreak/>
        <w:t>13.</w:t>
      </w:r>
      <w:r>
        <w:tab/>
        <w:t>At the 91</w:t>
      </w:r>
      <w:r w:rsidRPr="00D7135C">
        <w:rPr>
          <w:vertAlign w:val="superscript"/>
        </w:rPr>
        <w:t>st</w:t>
      </w:r>
      <w:r>
        <w:t xml:space="preserve"> EXCOM session in March 2017, the Chair of ITC presented the request of ITC</w:t>
      </w:r>
      <w:r w:rsidR="00066639">
        <w:t xml:space="preserve"> for a decision by the ECE Commission on securing the necessary Regular Budget for DETA</w:t>
      </w:r>
      <w:r>
        <w:t>. EXCOM request the UNECE secretariat to organize informal consultations</w:t>
      </w:r>
      <w:r w:rsidR="00066639">
        <w:t xml:space="preserve"> with member States</w:t>
      </w:r>
      <w:r>
        <w:t xml:space="preserve"> on this issue. The representative of </w:t>
      </w:r>
      <w:proofErr w:type="gramStart"/>
      <w:r w:rsidR="00CA7181">
        <w:t>me</w:t>
      </w:r>
      <w:bookmarkStart w:id="0" w:name="_GoBack"/>
      <w:bookmarkEnd w:id="0"/>
      <w:r w:rsidR="00CA7181">
        <w:t>mber</w:t>
      </w:r>
      <w:proofErr w:type="gramEnd"/>
      <w:r w:rsidR="00CA7181">
        <w:t xml:space="preserve"> State</w:t>
      </w:r>
      <w:r>
        <w:t xml:space="preserve"> stated that UNECE doesn't have to request additional budget as DETA would not be a new activity: the exchange of Type Approval documentation is already mandated by the Revision 2 of the 1958 Agreement. The representative of </w:t>
      </w:r>
      <w:r w:rsidR="00CA7181">
        <w:t>another member State</w:t>
      </w:r>
      <w:r>
        <w:t xml:space="preserve"> explained that his Country, not being Contracting Party to the 1958 Agreement would not agree to include DETA in the Regular Budget of UNECE. </w:t>
      </w:r>
    </w:p>
    <w:p w:rsidR="00D7135C" w:rsidRDefault="00D7135C" w:rsidP="00A928DC">
      <w:pPr>
        <w:pStyle w:val="SingleTxtG"/>
        <w:ind w:left="851" w:right="851"/>
      </w:pPr>
      <w:r>
        <w:t>14.</w:t>
      </w:r>
      <w:r>
        <w:tab/>
        <w:t xml:space="preserve">Several informal consultations were organized by the UNECE secretariat. The member States reiterated their position. </w:t>
      </w:r>
    </w:p>
    <w:p w:rsidR="00D7135C" w:rsidRDefault="00D7135C" w:rsidP="00A928DC">
      <w:pPr>
        <w:pStyle w:val="SingleTxtG"/>
        <w:ind w:left="851" w:right="851"/>
      </w:pPr>
      <w:r>
        <w:t>15.</w:t>
      </w:r>
      <w:r>
        <w:tab/>
        <w:t xml:space="preserve">The last informal working paper </w:t>
      </w:r>
      <w:r w:rsidR="00F27BBC">
        <w:t xml:space="preserve">on this matter </w:t>
      </w:r>
      <w:r>
        <w:t xml:space="preserve">proposing a way forward was drafted by the representative of EU </w:t>
      </w:r>
      <w:r w:rsidR="00066639">
        <w:t>proposing, as an interim solution, the establishment of an Extra Budgetary Project for the installation of DETA within the UNECE premises and would in parallel seek for the approval of the inclusion of DETA in the UNECE Regular Budget in the biennials starting from the 2020.</w:t>
      </w:r>
      <w:r w:rsidR="00F27BBC">
        <w:t xml:space="preserve"> No informal or formal discussion or decision was taken on this document.</w:t>
      </w:r>
    </w:p>
    <w:p w:rsidR="00F27BBC" w:rsidRDefault="00F27BBC" w:rsidP="00A928DC">
      <w:pPr>
        <w:pStyle w:val="SingleTxtG"/>
        <w:ind w:left="851" w:right="851"/>
      </w:pPr>
      <w:r>
        <w:t>16.</w:t>
      </w:r>
      <w:r>
        <w:tab/>
        <w:t>In this situation</w:t>
      </w:r>
      <w:r w:rsidR="00066639">
        <w:t xml:space="preserve"> without a financing solution</w:t>
      </w:r>
      <w:r>
        <w:t>, the secretariat cannot take initiative to purchase or install DETA. The secretariat is encouraging the member States to find a win/win or compromise solution on the financing aspect of DETA.</w:t>
      </w:r>
    </w:p>
    <w:p w:rsidR="00AF28F8" w:rsidRDefault="00AF28F8" w:rsidP="00AF28F8">
      <w:pPr>
        <w:pStyle w:val="HChG"/>
        <w:pBdr>
          <w:top w:val="none" w:sz="0" w:space="0" w:color="auto"/>
          <w:left w:val="none" w:sz="0" w:space="0" w:color="auto"/>
          <w:bottom w:val="none" w:sz="0" w:space="0" w:color="auto"/>
          <w:right w:val="none" w:sz="0" w:space="0" w:color="auto"/>
          <w:between w:val="none" w:sz="0" w:space="0" w:color="auto"/>
          <w:bar w:val="none" w:sz="0" w:color="auto"/>
        </w:pBdr>
      </w:pPr>
      <w:r>
        <w:tab/>
        <w:t>IV.</w:t>
      </w:r>
      <w:r>
        <w:tab/>
      </w:r>
      <w:r w:rsidR="00F27BBC">
        <w:t>Risks and opportunities</w:t>
      </w:r>
    </w:p>
    <w:p w:rsidR="0079190E" w:rsidRDefault="00F27BBC" w:rsidP="00F27BBC">
      <w:pPr>
        <w:pStyle w:val="SingleTxtG"/>
        <w:ind w:left="851" w:right="851"/>
      </w:pPr>
      <w:r>
        <w:t>17</w:t>
      </w:r>
      <w:r w:rsidR="00DA4F46">
        <w:t>.</w:t>
      </w:r>
      <w:r w:rsidR="00DA4F46">
        <w:tab/>
      </w:r>
      <w:r>
        <w:t xml:space="preserve">It is likely that DETA won't be available at the time of </w:t>
      </w:r>
      <w:r w:rsidR="003F512E">
        <w:t>e</w:t>
      </w:r>
      <w:r>
        <w:t xml:space="preserve">ntry into </w:t>
      </w:r>
      <w:r w:rsidR="003F512E">
        <w:t>f</w:t>
      </w:r>
      <w:r>
        <w:t>orce of Revision 3 to the 1958 Agreement.</w:t>
      </w:r>
    </w:p>
    <w:p w:rsidR="00F27BBC" w:rsidRDefault="00F27BBC" w:rsidP="00F27BBC">
      <w:pPr>
        <w:pStyle w:val="SingleTxtG"/>
        <w:ind w:left="851" w:right="851"/>
      </w:pPr>
      <w:r>
        <w:t>18.</w:t>
      </w:r>
      <w:r>
        <w:tab/>
        <w:t>The secretariat took note of the request of WP.29 to purchase DETA from a qualified supplier, in the best interest (buying a system that was already successfully tested, limiting costs related to trainings, if any etc.) of the Contracting Parties.</w:t>
      </w:r>
    </w:p>
    <w:p w:rsidR="00F27BBC" w:rsidRDefault="00F27BBC" w:rsidP="00F27BBC">
      <w:pPr>
        <w:pStyle w:val="SingleTxtG"/>
        <w:ind w:left="851" w:right="851"/>
      </w:pPr>
      <w:r>
        <w:t xml:space="preserve">19. </w:t>
      </w:r>
      <w:r>
        <w:tab/>
        <w:t xml:space="preserve">The Automotive Industry </w:t>
      </w:r>
      <w:r w:rsidR="00066639">
        <w:t>indicated to finance some</w:t>
      </w:r>
      <w:r>
        <w:t xml:space="preserve"> costs related to the "Unique Identifier" function, once DETA would be sustainably installed at UNECE.</w:t>
      </w:r>
    </w:p>
    <w:p w:rsidR="00D038E0" w:rsidRPr="00F27BBC" w:rsidRDefault="00D038E0" w:rsidP="00F27BBC">
      <w:pPr>
        <w:pStyle w:val="SingleTxtG"/>
        <w:ind w:left="851" w:right="851"/>
      </w:pPr>
      <w:r>
        <w:t>20.</w:t>
      </w:r>
      <w:r>
        <w:tab/>
        <w:t>In order to increase the value of DETA, the secretariat recommends that WP.29 explores the possibility to accept that DETA would not only host Type Approval Documentation according to UN Regulations annexed to the 1985 Agreement but would allow also the storage of compliance documentation applicable in the territory of the Contracting Parties to the 1998 Agreements and / or all UN member States, provided that the appropriate data protection is guaranteed.</w:t>
      </w:r>
    </w:p>
    <w:p w:rsidR="00252A60" w:rsidRPr="00252A60" w:rsidRDefault="00252A60" w:rsidP="00252A60">
      <w:pPr>
        <w:pStyle w:val="SingleTxtG"/>
        <w:spacing w:before="240" w:after="0"/>
        <w:jc w:val="center"/>
        <w:rPr>
          <w:rFonts w:hAnsi="Times New Roman" w:cs="Times New Roman"/>
          <w:u w:val="single"/>
        </w:rPr>
      </w:pPr>
      <w:r>
        <w:rPr>
          <w:u w:val="single"/>
        </w:rPr>
        <w:tab/>
      </w:r>
      <w:r>
        <w:rPr>
          <w:u w:val="single"/>
        </w:rPr>
        <w:tab/>
      </w:r>
      <w:r>
        <w:rPr>
          <w:u w:val="single"/>
        </w:rPr>
        <w:tab/>
      </w:r>
    </w:p>
    <w:sectPr w:rsidR="00252A60" w:rsidRPr="00252A60" w:rsidSect="00653D8E">
      <w:footerReference w:type="even" r:id="rId11"/>
      <w:footerReference w:type="default" r:id="rId12"/>
      <w:headerReference w:type="first" r:id="rId13"/>
      <w:footerReference w:type="first" r:id="rId14"/>
      <w:pgSz w:w="11900" w:h="16840"/>
      <w:pgMar w:top="1667" w:right="1106" w:bottom="1134" w:left="1134" w:header="567" w:footer="174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270" w:rsidRDefault="007C6270">
      <w:r>
        <w:separator/>
      </w:r>
    </w:p>
  </w:endnote>
  <w:endnote w:type="continuationSeparator" w:id="0">
    <w:p w:rsidR="007C6270" w:rsidRDefault="007C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52" w:rsidRDefault="00941F4B">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CA7181">
      <w:rPr>
        <w:b/>
        <w:bCs/>
        <w:noProof/>
        <w:sz w:val="18"/>
        <w:szCs w:val="18"/>
      </w:rPr>
      <w:t>2</w:t>
    </w:r>
    <w:r>
      <w:rPr>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52" w:rsidRDefault="00941F4B" w:rsidP="00A13680">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653D8E">
      <w:rPr>
        <w:b/>
        <w:bCs/>
        <w:noProof/>
        <w:sz w:val="18"/>
        <w:szCs w:val="18"/>
      </w:rPr>
      <w:t>3</w:t>
    </w:r>
    <w:r>
      <w:rPr>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52" w:rsidRDefault="00941F4B">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CA7181">
      <w:rPr>
        <w:b/>
        <w:bCs/>
        <w:noProof/>
        <w:sz w:val="18"/>
        <w:szCs w:val="18"/>
      </w:rPr>
      <w:t>1</w:t>
    </w:r>
    <w:r>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270" w:rsidRDefault="007C6270">
      <w:r>
        <w:separator/>
      </w:r>
    </w:p>
  </w:footnote>
  <w:footnote w:type="continuationSeparator" w:id="0">
    <w:p w:rsidR="007C6270" w:rsidRDefault="007C6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4536"/>
      <w:gridCol w:w="5103"/>
    </w:tblGrid>
    <w:tr w:rsidR="00517952" w:rsidRPr="00CA7181">
      <w:tc>
        <w:tcPr>
          <w:tcW w:w="4536" w:type="dxa"/>
          <w:vAlign w:val="center"/>
        </w:tcPr>
        <w:p w:rsidR="00517952" w:rsidRPr="002F1983" w:rsidRDefault="00253743" w:rsidP="002F1983">
          <w:pPr>
            <w:tabs>
              <w:tab w:val="center" w:pos="4677"/>
              <w:tab w:val="right" w:pos="9355"/>
            </w:tabs>
            <w:ind w:left="601" w:hanging="108"/>
            <w:rPr>
              <w:sz w:val="20"/>
              <w:szCs w:val="20"/>
              <w:lang w:val="en-TT" w:eastAsia="ar-SA"/>
            </w:rPr>
          </w:pPr>
          <w:r w:rsidRPr="002F1983">
            <w:rPr>
              <w:sz w:val="20"/>
              <w:szCs w:val="20"/>
              <w:lang w:val="en-TT" w:eastAsia="ar-SA"/>
            </w:rPr>
            <w:t>Note by the secretariat</w:t>
          </w:r>
        </w:p>
      </w:tc>
      <w:tc>
        <w:tcPr>
          <w:tcW w:w="5103" w:type="dxa"/>
        </w:tcPr>
        <w:p w:rsidR="00517952" w:rsidRPr="00936A1C" w:rsidRDefault="00517952" w:rsidP="00D56576">
          <w:pPr>
            <w:ind w:left="885" w:right="-108"/>
            <w:rPr>
              <w:b/>
              <w:bCs/>
              <w:sz w:val="20"/>
              <w:szCs w:val="20"/>
              <w:lang w:val="fr-CH" w:eastAsia="ar-SA"/>
            </w:rPr>
          </w:pPr>
          <w:r w:rsidRPr="00936A1C">
            <w:rPr>
              <w:sz w:val="20"/>
              <w:szCs w:val="20"/>
              <w:u w:val="single"/>
              <w:lang w:val="fr-CH" w:eastAsia="ar-SA"/>
            </w:rPr>
            <w:t>Informal document</w:t>
          </w:r>
          <w:r w:rsidR="00253743" w:rsidRPr="00936A1C">
            <w:rPr>
              <w:sz w:val="20"/>
              <w:szCs w:val="20"/>
              <w:u w:val="single"/>
              <w:lang w:val="fr-CH" w:eastAsia="ar-SA"/>
            </w:rPr>
            <w:t xml:space="preserve"> </w:t>
          </w:r>
          <w:r w:rsidR="00CA7181">
            <w:rPr>
              <w:b/>
              <w:bCs/>
              <w:sz w:val="20"/>
              <w:szCs w:val="20"/>
              <w:lang w:val="fr-CH" w:eastAsia="ar-SA"/>
            </w:rPr>
            <w:t>WP.29</w:t>
          </w:r>
          <w:r w:rsidR="00253743" w:rsidRPr="00936A1C">
            <w:rPr>
              <w:b/>
              <w:bCs/>
              <w:sz w:val="20"/>
              <w:szCs w:val="20"/>
              <w:lang w:val="fr-CH" w:eastAsia="ar-SA"/>
            </w:rPr>
            <w:t>-</w:t>
          </w:r>
          <w:r w:rsidR="00CA7181">
            <w:rPr>
              <w:b/>
              <w:bCs/>
              <w:sz w:val="20"/>
              <w:szCs w:val="20"/>
              <w:lang w:val="fr-CH" w:eastAsia="ar-SA"/>
            </w:rPr>
            <w:t>172</w:t>
          </w:r>
          <w:r w:rsidR="00253743" w:rsidRPr="00936A1C">
            <w:rPr>
              <w:b/>
              <w:bCs/>
              <w:sz w:val="20"/>
              <w:szCs w:val="20"/>
              <w:lang w:val="fr-CH" w:eastAsia="ar-SA"/>
            </w:rPr>
            <w:t>-</w:t>
          </w:r>
          <w:r w:rsidR="00937093">
            <w:rPr>
              <w:b/>
              <w:bCs/>
              <w:sz w:val="20"/>
              <w:szCs w:val="20"/>
              <w:lang w:val="fr-CH" w:eastAsia="ar-SA"/>
            </w:rPr>
            <w:t>0</w:t>
          </w:r>
          <w:r w:rsidR="00CA7181">
            <w:rPr>
              <w:b/>
              <w:bCs/>
              <w:sz w:val="20"/>
              <w:szCs w:val="20"/>
              <w:lang w:val="fr-CH" w:eastAsia="ar-SA"/>
            </w:rPr>
            <w:t>9</w:t>
          </w:r>
        </w:p>
        <w:p w:rsidR="00517952" w:rsidRDefault="00CA7181" w:rsidP="00CA7181">
          <w:pPr>
            <w:tabs>
              <w:tab w:val="center" w:pos="4677"/>
              <w:tab w:val="right" w:pos="9355"/>
            </w:tabs>
            <w:ind w:left="885"/>
            <w:rPr>
              <w:sz w:val="20"/>
              <w:lang w:val="fr-CH"/>
            </w:rPr>
          </w:pPr>
          <w:r w:rsidRPr="00CA7181">
            <w:rPr>
              <w:sz w:val="20"/>
              <w:lang w:val="fr-CH"/>
            </w:rPr>
            <w:t xml:space="preserve">172nd </w:t>
          </w:r>
          <w:r w:rsidR="00ED7350" w:rsidRPr="00CA7181">
            <w:rPr>
              <w:sz w:val="20"/>
              <w:lang w:val="fr-CH"/>
            </w:rPr>
            <w:t>WP.29</w:t>
          </w:r>
          <w:r w:rsidRPr="00CA7181">
            <w:rPr>
              <w:sz w:val="20"/>
              <w:lang w:val="fr-CH"/>
            </w:rPr>
            <w:t>,</w:t>
          </w:r>
          <w:r w:rsidR="00ED7350" w:rsidRPr="00CA7181">
            <w:rPr>
              <w:sz w:val="20"/>
              <w:lang w:val="fr-CH"/>
            </w:rPr>
            <w:t xml:space="preserve"> </w:t>
          </w:r>
          <w:r w:rsidRPr="00CA7181">
            <w:rPr>
              <w:sz w:val="20"/>
              <w:lang w:val="fr-CH"/>
            </w:rPr>
            <w:t>20-23</w:t>
          </w:r>
          <w:r w:rsidR="00B1168F" w:rsidRPr="00CA7181">
            <w:rPr>
              <w:sz w:val="20"/>
              <w:lang w:val="fr-CH"/>
            </w:rPr>
            <w:t xml:space="preserve"> </w:t>
          </w:r>
          <w:proofErr w:type="spellStart"/>
          <w:r w:rsidR="00ED7350" w:rsidRPr="00CA7181">
            <w:rPr>
              <w:sz w:val="20"/>
              <w:lang w:val="fr-CH"/>
            </w:rPr>
            <w:t>June</w:t>
          </w:r>
          <w:proofErr w:type="spellEnd"/>
          <w:r w:rsidR="00B1168F" w:rsidRPr="00CA7181">
            <w:rPr>
              <w:sz w:val="20"/>
              <w:lang w:val="fr-CH"/>
            </w:rPr>
            <w:t xml:space="preserve"> 2017</w:t>
          </w:r>
        </w:p>
        <w:p w:rsidR="00CA7181" w:rsidRPr="00CA7181" w:rsidRDefault="00CA7181" w:rsidP="00CA7181">
          <w:pPr>
            <w:tabs>
              <w:tab w:val="center" w:pos="4677"/>
              <w:tab w:val="right" w:pos="9355"/>
            </w:tabs>
            <w:ind w:left="885"/>
            <w:rPr>
              <w:lang w:val="fr-CH" w:eastAsia="ar-SA"/>
            </w:rPr>
          </w:pPr>
          <w:r>
            <w:rPr>
              <w:sz w:val="20"/>
              <w:lang w:val="fr-CH"/>
            </w:rPr>
            <w:t>Agenda item 4.5</w:t>
          </w:r>
        </w:p>
      </w:tc>
    </w:tr>
  </w:tbl>
  <w:p w:rsidR="00517952" w:rsidRPr="00CA7181" w:rsidRDefault="00517952" w:rsidP="00E739E6">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54D71"/>
    <w:multiLevelType w:val="multilevel"/>
    <w:tmpl w:val="52889FBC"/>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
    <w:nsid w:val="34C406AF"/>
    <w:multiLevelType w:val="hybridMultilevel"/>
    <w:tmpl w:val="2C181C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38A00922"/>
    <w:multiLevelType w:val="multilevel"/>
    <w:tmpl w:val="FD927360"/>
    <w:styleLink w:val="List0"/>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Letter"/>
      <w:lvlText w:val="(%3)"/>
      <w:lvlJc w:val="left"/>
      <w:rPr>
        <w:position w:val="0"/>
        <w:rtl w:val="0"/>
        <w:lang w:val="en-US"/>
      </w:rPr>
    </w:lvl>
    <w:lvl w:ilvl="3">
      <w:start w:val="1"/>
      <w:numFmt w:val="lowerLetter"/>
      <w:lvlText w:val="(%4)"/>
      <w:lvlJc w:val="left"/>
      <w:rPr>
        <w:position w:val="0"/>
        <w:rtl w:val="0"/>
        <w:lang w:val="en-US"/>
      </w:rPr>
    </w:lvl>
    <w:lvl w:ilvl="4">
      <w:start w:val="1"/>
      <w:numFmt w:val="lowerLetter"/>
      <w:lvlText w:val="(%5)"/>
      <w:lvlJc w:val="left"/>
      <w:rPr>
        <w:position w:val="0"/>
        <w:rtl w:val="0"/>
        <w:lang w:val="en-US"/>
      </w:rPr>
    </w:lvl>
    <w:lvl w:ilvl="5">
      <w:start w:val="1"/>
      <w:numFmt w:val="lowerLetter"/>
      <w:lvlText w:val="(%6)"/>
      <w:lvlJc w:val="left"/>
      <w:rPr>
        <w:position w:val="0"/>
        <w:rtl w:val="0"/>
        <w:lang w:val="en-US"/>
      </w:rPr>
    </w:lvl>
    <w:lvl w:ilvl="6">
      <w:start w:val="1"/>
      <w:numFmt w:val="lowerLetter"/>
      <w:lvlText w:val="(%7)"/>
      <w:lvlJc w:val="left"/>
      <w:rPr>
        <w:position w:val="0"/>
        <w:rtl w:val="0"/>
        <w:lang w:val="en-US"/>
      </w:rPr>
    </w:lvl>
    <w:lvl w:ilvl="7">
      <w:start w:val="1"/>
      <w:numFmt w:val="lowerLetter"/>
      <w:lvlText w:val="(%8)"/>
      <w:lvlJc w:val="left"/>
      <w:rPr>
        <w:position w:val="0"/>
        <w:rtl w:val="0"/>
        <w:lang w:val="en-US"/>
      </w:rPr>
    </w:lvl>
    <w:lvl w:ilvl="8">
      <w:start w:val="1"/>
      <w:numFmt w:val="lowerLetter"/>
      <w:lvlText w:val="(%9)"/>
      <w:lvlJc w:val="left"/>
      <w:rPr>
        <w:position w:val="0"/>
        <w:rtl w:val="0"/>
        <w:lang w:val="en-US"/>
      </w:rPr>
    </w:lvl>
  </w:abstractNum>
  <w:abstractNum w:abstractNumId="3">
    <w:nsid w:val="481B7AC3"/>
    <w:multiLevelType w:val="hybridMultilevel"/>
    <w:tmpl w:val="AACCD80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536A4C4D"/>
    <w:multiLevelType w:val="multilevel"/>
    <w:tmpl w:val="E8EE808E"/>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Letter"/>
      <w:lvlText w:val="(%3)"/>
      <w:lvlJc w:val="left"/>
      <w:rPr>
        <w:position w:val="0"/>
        <w:rtl w:val="0"/>
        <w:lang w:val="en-US"/>
      </w:rPr>
    </w:lvl>
    <w:lvl w:ilvl="3">
      <w:start w:val="1"/>
      <w:numFmt w:val="lowerLetter"/>
      <w:lvlText w:val="(%4)"/>
      <w:lvlJc w:val="left"/>
      <w:rPr>
        <w:position w:val="0"/>
        <w:rtl w:val="0"/>
        <w:lang w:val="en-US"/>
      </w:rPr>
    </w:lvl>
    <w:lvl w:ilvl="4">
      <w:start w:val="1"/>
      <w:numFmt w:val="lowerLetter"/>
      <w:lvlText w:val="(%5)"/>
      <w:lvlJc w:val="left"/>
      <w:rPr>
        <w:position w:val="0"/>
        <w:rtl w:val="0"/>
        <w:lang w:val="en-US"/>
      </w:rPr>
    </w:lvl>
    <w:lvl w:ilvl="5">
      <w:start w:val="1"/>
      <w:numFmt w:val="lowerLetter"/>
      <w:lvlText w:val="(%6)"/>
      <w:lvlJc w:val="left"/>
      <w:rPr>
        <w:position w:val="0"/>
        <w:rtl w:val="0"/>
        <w:lang w:val="en-US"/>
      </w:rPr>
    </w:lvl>
    <w:lvl w:ilvl="6">
      <w:start w:val="1"/>
      <w:numFmt w:val="lowerLetter"/>
      <w:lvlText w:val="(%7)"/>
      <w:lvlJc w:val="left"/>
      <w:rPr>
        <w:position w:val="0"/>
        <w:rtl w:val="0"/>
        <w:lang w:val="en-US"/>
      </w:rPr>
    </w:lvl>
    <w:lvl w:ilvl="7">
      <w:start w:val="1"/>
      <w:numFmt w:val="lowerLetter"/>
      <w:lvlText w:val="(%8)"/>
      <w:lvlJc w:val="left"/>
      <w:rPr>
        <w:position w:val="0"/>
        <w:rtl w:val="0"/>
        <w:lang w:val="en-US"/>
      </w:rPr>
    </w:lvl>
    <w:lvl w:ilvl="8">
      <w:start w:val="1"/>
      <w:numFmt w:val="lowerLetter"/>
      <w:lvlText w:val="(%9)"/>
      <w:lvlJc w:val="left"/>
      <w:rPr>
        <w:position w:val="0"/>
        <w:rtl w:val="0"/>
        <w:lang w:val="en-US"/>
      </w:rPr>
    </w:lvl>
  </w:abstractNum>
  <w:abstractNum w:abstractNumId="5">
    <w:nsid w:val="6D3857E2"/>
    <w:multiLevelType w:val="hybridMultilevel"/>
    <w:tmpl w:val="94CAA4C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F31C2"/>
    <w:rsid w:val="00012C29"/>
    <w:rsid w:val="00020E28"/>
    <w:rsid w:val="0003093D"/>
    <w:rsid w:val="0003358C"/>
    <w:rsid w:val="00034156"/>
    <w:rsid w:val="0003420E"/>
    <w:rsid w:val="00061AC6"/>
    <w:rsid w:val="00066639"/>
    <w:rsid w:val="0008245F"/>
    <w:rsid w:val="000B3AF6"/>
    <w:rsid w:val="000C20B0"/>
    <w:rsid w:val="000C56CE"/>
    <w:rsid w:val="000C70C5"/>
    <w:rsid w:val="00110738"/>
    <w:rsid w:val="00114F9C"/>
    <w:rsid w:val="00115110"/>
    <w:rsid w:val="00133137"/>
    <w:rsid w:val="00136D62"/>
    <w:rsid w:val="00145F35"/>
    <w:rsid w:val="0016141C"/>
    <w:rsid w:val="001737B5"/>
    <w:rsid w:val="0018243B"/>
    <w:rsid w:val="001A3F9E"/>
    <w:rsid w:val="001A496C"/>
    <w:rsid w:val="001C5684"/>
    <w:rsid w:val="001D7DCE"/>
    <w:rsid w:val="001F0B91"/>
    <w:rsid w:val="001F1F94"/>
    <w:rsid w:val="001F31C2"/>
    <w:rsid w:val="00206634"/>
    <w:rsid w:val="00216C68"/>
    <w:rsid w:val="00252A60"/>
    <w:rsid w:val="0025310D"/>
    <w:rsid w:val="00253743"/>
    <w:rsid w:val="00255505"/>
    <w:rsid w:val="002575E2"/>
    <w:rsid w:val="00261BE4"/>
    <w:rsid w:val="00265E33"/>
    <w:rsid w:val="0027237B"/>
    <w:rsid w:val="0027558F"/>
    <w:rsid w:val="00277ACD"/>
    <w:rsid w:val="002811C2"/>
    <w:rsid w:val="002823FD"/>
    <w:rsid w:val="00282AC4"/>
    <w:rsid w:val="002865A0"/>
    <w:rsid w:val="00294705"/>
    <w:rsid w:val="00295475"/>
    <w:rsid w:val="002B4F25"/>
    <w:rsid w:val="002D09F6"/>
    <w:rsid w:val="002D2495"/>
    <w:rsid w:val="002E4531"/>
    <w:rsid w:val="002F1983"/>
    <w:rsid w:val="002F27D5"/>
    <w:rsid w:val="002F509B"/>
    <w:rsid w:val="00301432"/>
    <w:rsid w:val="00311466"/>
    <w:rsid w:val="00320D3A"/>
    <w:rsid w:val="00336BFA"/>
    <w:rsid w:val="00341103"/>
    <w:rsid w:val="0035316F"/>
    <w:rsid w:val="00356317"/>
    <w:rsid w:val="003605B4"/>
    <w:rsid w:val="00370B7C"/>
    <w:rsid w:val="003B67CD"/>
    <w:rsid w:val="003C191F"/>
    <w:rsid w:val="003C3D05"/>
    <w:rsid w:val="003D317E"/>
    <w:rsid w:val="003E4BC6"/>
    <w:rsid w:val="003F07EF"/>
    <w:rsid w:val="003F512E"/>
    <w:rsid w:val="0042250C"/>
    <w:rsid w:val="0042746B"/>
    <w:rsid w:val="004576B5"/>
    <w:rsid w:val="004704C4"/>
    <w:rsid w:val="004933FC"/>
    <w:rsid w:val="00495828"/>
    <w:rsid w:val="00495FD8"/>
    <w:rsid w:val="004A61F6"/>
    <w:rsid w:val="004D4762"/>
    <w:rsid w:val="004F2ABC"/>
    <w:rsid w:val="0051225E"/>
    <w:rsid w:val="005123ED"/>
    <w:rsid w:val="00517952"/>
    <w:rsid w:val="005342B5"/>
    <w:rsid w:val="00544FED"/>
    <w:rsid w:val="00582CFF"/>
    <w:rsid w:val="0059060C"/>
    <w:rsid w:val="005B32AC"/>
    <w:rsid w:val="005C290C"/>
    <w:rsid w:val="005C2979"/>
    <w:rsid w:val="005C2A1B"/>
    <w:rsid w:val="005C4A93"/>
    <w:rsid w:val="005C69FA"/>
    <w:rsid w:val="005E1BF6"/>
    <w:rsid w:val="005F56DA"/>
    <w:rsid w:val="005F6733"/>
    <w:rsid w:val="0061053C"/>
    <w:rsid w:val="00611C76"/>
    <w:rsid w:val="00647F14"/>
    <w:rsid w:val="006505AF"/>
    <w:rsid w:val="00653D8E"/>
    <w:rsid w:val="00657C7F"/>
    <w:rsid w:val="00672228"/>
    <w:rsid w:val="00676C58"/>
    <w:rsid w:val="006863DE"/>
    <w:rsid w:val="00691A16"/>
    <w:rsid w:val="006961D5"/>
    <w:rsid w:val="006A4A30"/>
    <w:rsid w:val="006A5BAA"/>
    <w:rsid w:val="006B1DE1"/>
    <w:rsid w:val="006B291C"/>
    <w:rsid w:val="006C1B93"/>
    <w:rsid w:val="006C4204"/>
    <w:rsid w:val="006D6C52"/>
    <w:rsid w:val="00702316"/>
    <w:rsid w:val="00721F59"/>
    <w:rsid w:val="00731D71"/>
    <w:rsid w:val="007345FE"/>
    <w:rsid w:val="0077066C"/>
    <w:rsid w:val="0078114C"/>
    <w:rsid w:val="007846AE"/>
    <w:rsid w:val="00790573"/>
    <w:rsid w:val="0079190E"/>
    <w:rsid w:val="00791AB8"/>
    <w:rsid w:val="0079578C"/>
    <w:rsid w:val="007A40E9"/>
    <w:rsid w:val="007A7ECB"/>
    <w:rsid w:val="007B025E"/>
    <w:rsid w:val="007C3111"/>
    <w:rsid w:val="007C6270"/>
    <w:rsid w:val="007D4915"/>
    <w:rsid w:val="008247D9"/>
    <w:rsid w:val="00827FBE"/>
    <w:rsid w:val="00846F55"/>
    <w:rsid w:val="00852BDD"/>
    <w:rsid w:val="00857BD7"/>
    <w:rsid w:val="00870694"/>
    <w:rsid w:val="00872F30"/>
    <w:rsid w:val="008B3505"/>
    <w:rsid w:val="008B64C5"/>
    <w:rsid w:val="008C631A"/>
    <w:rsid w:val="008D1175"/>
    <w:rsid w:val="008F11BF"/>
    <w:rsid w:val="008F18D4"/>
    <w:rsid w:val="009025D8"/>
    <w:rsid w:val="00904FE0"/>
    <w:rsid w:val="00907D66"/>
    <w:rsid w:val="00911AE2"/>
    <w:rsid w:val="0091475E"/>
    <w:rsid w:val="0091798A"/>
    <w:rsid w:val="00923ADA"/>
    <w:rsid w:val="00924D89"/>
    <w:rsid w:val="009360DE"/>
    <w:rsid w:val="00936A1C"/>
    <w:rsid w:val="00937093"/>
    <w:rsid w:val="00941F4B"/>
    <w:rsid w:val="00950638"/>
    <w:rsid w:val="00957BB6"/>
    <w:rsid w:val="00961A60"/>
    <w:rsid w:val="009810DA"/>
    <w:rsid w:val="0098132D"/>
    <w:rsid w:val="00990389"/>
    <w:rsid w:val="009B1820"/>
    <w:rsid w:val="009C2BA8"/>
    <w:rsid w:val="009C4D24"/>
    <w:rsid w:val="009D0F05"/>
    <w:rsid w:val="009E5D58"/>
    <w:rsid w:val="009E60EE"/>
    <w:rsid w:val="009F7F84"/>
    <w:rsid w:val="00A07A36"/>
    <w:rsid w:val="00A13680"/>
    <w:rsid w:val="00A13B0D"/>
    <w:rsid w:val="00A231A0"/>
    <w:rsid w:val="00A33BBC"/>
    <w:rsid w:val="00A37944"/>
    <w:rsid w:val="00A4189D"/>
    <w:rsid w:val="00A44EF0"/>
    <w:rsid w:val="00A519D9"/>
    <w:rsid w:val="00A6405C"/>
    <w:rsid w:val="00A64DD8"/>
    <w:rsid w:val="00A726BB"/>
    <w:rsid w:val="00A76BB7"/>
    <w:rsid w:val="00A90DB0"/>
    <w:rsid w:val="00A928DC"/>
    <w:rsid w:val="00A95562"/>
    <w:rsid w:val="00AA36B5"/>
    <w:rsid w:val="00AA44B4"/>
    <w:rsid w:val="00AB01A9"/>
    <w:rsid w:val="00AB6D38"/>
    <w:rsid w:val="00AC376C"/>
    <w:rsid w:val="00AD03B5"/>
    <w:rsid w:val="00AE3566"/>
    <w:rsid w:val="00AE7BAC"/>
    <w:rsid w:val="00AF15D4"/>
    <w:rsid w:val="00AF28F8"/>
    <w:rsid w:val="00AF469B"/>
    <w:rsid w:val="00B03992"/>
    <w:rsid w:val="00B1168F"/>
    <w:rsid w:val="00B15535"/>
    <w:rsid w:val="00B16AB2"/>
    <w:rsid w:val="00B23F9A"/>
    <w:rsid w:val="00B55392"/>
    <w:rsid w:val="00B55998"/>
    <w:rsid w:val="00B60B84"/>
    <w:rsid w:val="00B62FFA"/>
    <w:rsid w:val="00B8760B"/>
    <w:rsid w:val="00B952E4"/>
    <w:rsid w:val="00B954B6"/>
    <w:rsid w:val="00BB4392"/>
    <w:rsid w:val="00BB4465"/>
    <w:rsid w:val="00BC5035"/>
    <w:rsid w:val="00BD280A"/>
    <w:rsid w:val="00BD7D15"/>
    <w:rsid w:val="00C03D76"/>
    <w:rsid w:val="00C17ED2"/>
    <w:rsid w:val="00C37696"/>
    <w:rsid w:val="00C401C7"/>
    <w:rsid w:val="00C82A14"/>
    <w:rsid w:val="00C84F02"/>
    <w:rsid w:val="00CA106F"/>
    <w:rsid w:val="00CA7181"/>
    <w:rsid w:val="00CA7BF5"/>
    <w:rsid w:val="00CC17A1"/>
    <w:rsid w:val="00CC54A9"/>
    <w:rsid w:val="00CE538F"/>
    <w:rsid w:val="00CF0FEF"/>
    <w:rsid w:val="00CF5DFA"/>
    <w:rsid w:val="00D038E0"/>
    <w:rsid w:val="00D058C0"/>
    <w:rsid w:val="00D12250"/>
    <w:rsid w:val="00D146BC"/>
    <w:rsid w:val="00D148B0"/>
    <w:rsid w:val="00D31719"/>
    <w:rsid w:val="00D32F0C"/>
    <w:rsid w:val="00D3515B"/>
    <w:rsid w:val="00D409DA"/>
    <w:rsid w:val="00D46545"/>
    <w:rsid w:val="00D4681E"/>
    <w:rsid w:val="00D56576"/>
    <w:rsid w:val="00D57CB5"/>
    <w:rsid w:val="00D7135C"/>
    <w:rsid w:val="00D76B62"/>
    <w:rsid w:val="00D86B4F"/>
    <w:rsid w:val="00D90A3E"/>
    <w:rsid w:val="00DA4F46"/>
    <w:rsid w:val="00DB3224"/>
    <w:rsid w:val="00DD06DB"/>
    <w:rsid w:val="00DE2858"/>
    <w:rsid w:val="00DE3F8A"/>
    <w:rsid w:val="00DE6DE9"/>
    <w:rsid w:val="00DF069E"/>
    <w:rsid w:val="00DF7461"/>
    <w:rsid w:val="00E04E34"/>
    <w:rsid w:val="00E130FA"/>
    <w:rsid w:val="00E151C2"/>
    <w:rsid w:val="00E22697"/>
    <w:rsid w:val="00E27C23"/>
    <w:rsid w:val="00E430C3"/>
    <w:rsid w:val="00E457D4"/>
    <w:rsid w:val="00E65F2C"/>
    <w:rsid w:val="00E739E6"/>
    <w:rsid w:val="00E75163"/>
    <w:rsid w:val="00EA5B90"/>
    <w:rsid w:val="00EC4E21"/>
    <w:rsid w:val="00ED200F"/>
    <w:rsid w:val="00ED6B12"/>
    <w:rsid w:val="00ED7350"/>
    <w:rsid w:val="00EE0152"/>
    <w:rsid w:val="00EE35F4"/>
    <w:rsid w:val="00EF7B2D"/>
    <w:rsid w:val="00F00FD4"/>
    <w:rsid w:val="00F0638A"/>
    <w:rsid w:val="00F1270C"/>
    <w:rsid w:val="00F26AB0"/>
    <w:rsid w:val="00F274A3"/>
    <w:rsid w:val="00F27BBC"/>
    <w:rsid w:val="00F45B1D"/>
    <w:rsid w:val="00F53ECE"/>
    <w:rsid w:val="00F5506C"/>
    <w:rsid w:val="00F85180"/>
    <w:rsid w:val="00F91174"/>
    <w:rsid w:val="00F97C3C"/>
    <w:rsid w:val="00FB182E"/>
    <w:rsid w:val="00FB298B"/>
    <w:rsid w:val="00FC25B1"/>
    <w:rsid w:val="00FD7C2E"/>
    <w:rsid w:val="00FE63DE"/>
    <w:rsid w:val="00FF5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7D15"/>
    <w:pPr>
      <w:suppressAutoHyphens/>
    </w:pPr>
    <w:rPr>
      <w:rFonts w:hAnsi="Arial Unicode MS" w:cs="Arial Unicode MS"/>
      <w:color w:val="000000"/>
      <w:sz w:val="24"/>
      <w:szCs w:val="24"/>
      <w:u w:color="00000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7D15"/>
    <w:rPr>
      <w:u w:val="single"/>
    </w:rPr>
  </w:style>
  <w:style w:type="paragraph" w:customStyle="1" w:styleId="En-tte1">
    <w:name w:val="En-tête1"/>
    <w:rsid w:val="00BD7D15"/>
    <w:pPr>
      <w:tabs>
        <w:tab w:val="right" w:pos="9020"/>
      </w:tabs>
    </w:pPr>
    <w:rPr>
      <w:rFonts w:ascii="Helvetica" w:hAnsi="Arial Unicode MS" w:cs="Arial Unicode MS"/>
      <w:color w:val="000000"/>
      <w:sz w:val="24"/>
      <w:szCs w:val="24"/>
    </w:rPr>
  </w:style>
  <w:style w:type="paragraph" w:styleId="Footer">
    <w:name w:val="footer"/>
    <w:rsid w:val="00BD7D15"/>
    <w:pPr>
      <w:tabs>
        <w:tab w:val="center" w:pos="4677"/>
        <w:tab w:val="right" w:pos="9355"/>
      </w:tabs>
      <w:suppressAutoHyphens/>
    </w:pPr>
    <w:rPr>
      <w:rFonts w:hAnsi="Arial Unicode MS" w:cs="Arial Unicode MS"/>
      <w:color w:val="000000"/>
      <w:sz w:val="24"/>
      <w:szCs w:val="24"/>
      <w:u w:color="000000"/>
      <w:lang w:val="ru-RU"/>
    </w:rPr>
  </w:style>
  <w:style w:type="paragraph" w:styleId="Header">
    <w:name w:val="header"/>
    <w:rsid w:val="00BD7D15"/>
    <w:pPr>
      <w:tabs>
        <w:tab w:val="center" w:pos="4677"/>
        <w:tab w:val="right" w:pos="9355"/>
      </w:tabs>
      <w:suppressAutoHyphens/>
    </w:pPr>
    <w:rPr>
      <w:rFonts w:hAnsi="Arial Unicode MS" w:cs="Arial Unicode MS"/>
      <w:color w:val="000000"/>
      <w:sz w:val="24"/>
      <w:szCs w:val="24"/>
      <w:u w:color="000000"/>
    </w:rPr>
  </w:style>
  <w:style w:type="paragraph" w:customStyle="1" w:styleId="HChG">
    <w:name w:val="_ H _Ch_G"/>
    <w:next w:val="Normal"/>
    <w:link w:val="HChGChar"/>
    <w:rsid w:val="00BD7D15"/>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rPr>
  </w:style>
  <w:style w:type="paragraph" w:customStyle="1" w:styleId="SingleTxtG">
    <w:name w:val="_ Single Txt_G"/>
    <w:link w:val="SingleTxtGChar"/>
    <w:rsid w:val="00911AE2"/>
    <w:pPr>
      <w:tabs>
        <w:tab w:val="left" w:pos="1701"/>
      </w:tabs>
      <w:suppressAutoHyphens/>
      <w:spacing w:after="120" w:line="240" w:lineRule="atLeast"/>
      <w:ind w:left="1134" w:right="1134"/>
      <w:jc w:val="both"/>
    </w:pPr>
    <w:rPr>
      <w:rFonts w:hAnsi="Arial Unicode MS" w:cs="Arial Unicode MS"/>
      <w:color w:val="000000"/>
      <w:u w:color="000000"/>
      <w:lang w:val="en-GB"/>
    </w:rPr>
  </w:style>
  <w:style w:type="character" w:customStyle="1" w:styleId="Lien">
    <w:name w:val="Lien"/>
    <w:rsid w:val="00BD7D15"/>
    <w:rPr>
      <w:color w:val="0000FF"/>
      <w:u w:val="single" w:color="0000FF"/>
    </w:rPr>
  </w:style>
  <w:style w:type="character" w:customStyle="1" w:styleId="Hyperlink0">
    <w:name w:val="Hyperlink.0"/>
    <w:basedOn w:val="Lien"/>
    <w:rsid w:val="00BD7D15"/>
    <w:rPr>
      <w:color w:val="0000FF"/>
      <w:u w:val="single" w:color="0000FF"/>
      <w:lang w:val="en-US"/>
    </w:rPr>
  </w:style>
  <w:style w:type="numbering" w:customStyle="1" w:styleId="List0">
    <w:name w:val="List 0"/>
    <w:basedOn w:val="Lettres"/>
    <w:rsid w:val="00BD7D15"/>
    <w:pPr>
      <w:numPr>
        <w:numId w:val="3"/>
      </w:numPr>
    </w:pPr>
  </w:style>
  <w:style w:type="numbering" w:customStyle="1" w:styleId="Lettres">
    <w:name w:val="Lettres"/>
    <w:rsid w:val="00BD7D15"/>
  </w:style>
  <w:style w:type="paragraph" w:styleId="BalloonText">
    <w:name w:val="Balloon Text"/>
    <w:basedOn w:val="Normal"/>
    <w:link w:val="BalloonTextChar"/>
    <w:uiPriority w:val="99"/>
    <w:semiHidden/>
    <w:unhideWhenUsed/>
    <w:rsid w:val="00911AE2"/>
    <w:rPr>
      <w:rFonts w:ascii="Tahoma" w:hAnsi="Tahoma" w:cs="Tahoma"/>
      <w:sz w:val="16"/>
      <w:szCs w:val="16"/>
    </w:rPr>
  </w:style>
  <w:style w:type="character" w:customStyle="1" w:styleId="BalloonTextChar">
    <w:name w:val="Balloon Text Char"/>
    <w:basedOn w:val="DefaultParagraphFont"/>
    <w:link w:val="BalloonText"/>
    <w:uiPriority w:val="99"/>
    <w:semiHidden/>
    <w:rsid w:val="00911AE2"/>
    <w:rPr>
      <w:rFonts w:ascii="Tahoma" w:hAnsi="Tahoma" w:cs="Tahoma"/>
      <w:color w:val="000000"/>
      <w:sz w:val="16"/>
      <w:szCs w:val="16"/>
      <w:u w:color="000000"/>
      <w:lang w:val="ru-RU"/>
    </w:rPr>
  </w:style>
  <w:style w:type="paragraph" w:customStyle="1" w:styleId="HMGFG">
    <w:name w:val="_H_M_G_FG"/>
    <w:basedOn w:val="HChG"/>
    <w:link w:val="HMGFGChar"/>
    <w:qFormat/>
    <w:rsid w:val="00911AE2"/>
    <w:rPr>
      <w:sz w:val="24"/>
      <w:szCs w:val="24"/>
    </w:rPr>
  </w:style>
  <w:style w:type="character" w:customStyle="1" w:styleId="HChGChar">
    <w:name w:val="_ H _Ch_G Char"/>
    <w:basedOn w:val="DefaultParagraphFont"/>
    <w:link w:val="HChG"/>
    <w:rsid w:val="00911AE2"/>
    <w:rPr>
      <w:rFonts w:eastAsia="Times New Roman"/>
      <w:b/>
      <w:bCs/>
      <w:color w:val="000000"/>
      <w:sz w:val="28"/>
      <w:szCs w:val="28"/>
      <w:u w:color="000000"/>
    </w:rPr>
  </w:style>
  <w:style w:type="character" w:customStyle="1" w:styleId="HMGFGChar">
    <w:name w:val="_H_M_G_FG Char"/>
    <w:basedOn w:val="HChGChar"/>
    <w:link w:val="HMGFG"/>
    <w:rsid w:val="00911AE2"/>
    <w:rPr>
      <w:rFonts w:eastAsia="Times New Roman"/>
      <w:b/>
      <w:bCs/>
      <w:color w:val="000000"/>
      <w:sz w:val="24"/>
      <w:szCs w:val="24"/>
      <w:u w:color="000000"/>
    </w:rPr>
  </w:style>
  <w:style w:type="character" w:customStyle="1" w:styleId="SingleTxtGChar">
    <w:name w:val="_ Single Txt_G Char"/>
    <w:link w:val="SingleTxtG"/>
    <w:rsid w:val="00495828"/>
    <w:rPr>
      <w:rFonts w:hAnsi="Arial Unicode MS" w:cs="Arial Unicode MS"/>
      <w:color w:val="000000"/>
      <w:u w:color="000000"/>
      <w:lang w:val="en-GB"/>
    </w:rPr>
  </w:style>
  <w:style w:type="paragraph" w:customStyle="1" w:styleId="H1G">
    <w:name w:val="_ H_1_G"/>
    <w:basedOn w:val="Normal"/>
    <w:next w:val="Normal"/>
    <w:link w:val="H1GChar"/>
    <w:rsid w:val="00A90DB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360" w:after="240" w:line="270" w:lineRule="exact"/>
      <w:ind w:left="1134" w:right="1134" w:hanging="1134"/>
    </w:pPr>
    <w:rPr>
      <w:rFonts w:eastAsia="Times New Roman" w:hAnsi="Times New Roman" w:cs="Times New Roman"/>
      <w:b/>
      <w:color w:val="auto"/>
      <w:szCs w:val="20"/>
      <w:bdr w:val="none" w:sz="0" w:space="0" w:color="auto"/>
      <w:lang w:val="en-GB"/>
    </w:rPr>
  </w:style>
  <w:style w:type="character" w:customStyle="1" w:styleId="H1GChar">
    <w:name w:val="_ H_1_G Char"/>
    <w:link w:val="H1G"/>
    <w:locked/>
    <w:rsid w:val="00A90DB0"/>
    <w:rPr>
      <w:rFonts w:eastAsia="Times New Roman"/>
      <w:b/>
      <w:sz w:val="24"/>
      <w:bdr w:val="none" w:sz="0" w:space="0" w:color="auto"/>
      <w:lang w:val="en-GB"/>
    </w:rPr>
  </w:style>
  <w:style w:type="character" w:customStyle="1" w:styleId="translation-chunk">
    <w:name w:val="translation-chunk"/>
    <w:basedOn w:val="DefaultParagraphFont"/>
    <w:rsid w:val="00020E28"/>
  </w:style>
  <w:style w:type="character" w:styleId="CommentReference">
    <w:name w:val="annotation reference"/>
    <w:basedOn w:val="DefaultParagraphFont"/>
    <w:uiPriority w:val="99"/>
    <w:semiHidden/>
    <w:unhideWhenUsed/>
    <w:rsid w:val="00B16AB2"/>
    <w:rPr>
      <w:sz w:val="16"/>
      <w:szCs w:val="16"/>
    </w:rPr>
  </w:style>
  <w:style w:type="paragraph" w:styleId="CommentText">
    <w:name w:val="annotation text"/>
    <w:basedOn w:val="Normal"/>
    <w:link w:val="CommentTextChar"/>
    <w:uiPriority w:val="99"/>
    <w:semiHidden/>
    <w:unhideWhenUsed/>
    <w:rsid w:val="00B16AB2"/>
    <w:rPr>
      <w:sz w:val="20"/>
      <w:szCs w:val="20"/>
    </w:rPr>
  </w:style>
  <w:style w:type="character" w:customStyle="1" w:styleId="CommentTextChar">
    <w:name w:val="Comment Text Char"/>
    <w:basedOn w:val="DefaultParagraphFont"/>
    <w:link w:val="CommentText"/>
    <w:uiPriority w:val="99"/>
    <w:semiHidden/>
    <w:rsid w:val="00B16AB2"/>
    <w:rPr>
      <w:rFonts w:hAnsi="Arial Unicode MS"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B16AB2"/>
    <w:rPr>
      <w:b/>
      <w:bCs/>
    </w:rPr>
  </w:style>
  <w:style w:type="character" w:customStyle="1" w:styleId="CommentSubjectChar">
    <w:name w:val="Comment Subject Char"/>
    <w:basedOn w:val="CommentTextChar"/>
    <w:link w:val="CommentSubject"/>
    <w:uiPriority w:val="99"/>
    <w:semiHidden/>
    <w:rsid w:val="00B16AB2"/>
    <w:rPr>
      <w:rFonts w:hAnsi="Arial Unicode MS" w:cs="Arial Unicode MS"/>
      <w:b/>
      <w:bCs/>
      <w:color w:val="000000"/>
      <w:u w:color="000000"/>
      <w:lang w:val="ru-RU"/>
    </w:rPr>
  </w:style>
  <w:style w:type="paragraph" w:styleId="Revision">
    <w:name w:val="Revision"/>
    <w:hidden/>
    <w:uiPriority w:val="99"/>
    <w:semiHidden/>
    <w:rsid w:val="00B16AB2"/>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7D15"/>
    <w:pPr>
      <w:suppressAutoHyphens/>
    </w:pPr>
    <w:rPr>
      <w:rFonts w:hAnsi="Arial Unicode MS" w:cs="Arial Unicode MS"/>
      <w:color w:val="000000"/>
      <w:sz w:val="24"/>
      <w:szCs w:val="24"/>
      <w:u w:color="00000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7D15"/>
    <w:rPr>
      <w:u w:val="single"/>
    </w:rPr>
  </w:style>
  <w:style w:type="paragraph" w:customStyle="1" w:styleId="En-tte1">
    <w:name w:val="En-tête1"/>
    <w:rsid w:val="00BD7D15"/>
    <w:pPr>
      <w:tabs>
        <w:tab w:val="right" w:pos="9020"/>
      </w:tabs>
    </w:pPr>
    <w:rPr>
      <w:rFonts w:ascii="Helvetica" w:hAnsi="Arial Unicode MS" w:cs="Arial Unicode MS"/>
      <w:color w:val="000000"/>
      <w:sz w:val="24"/>
      <w:szCs w:val="24"/>
    </w:rPr>
  </w:style>
  <w:style w:type="paragraph" w:styleId="Footer">
    <w:name w:val="footer"/>
    <w:rsid w:val="00BD7D15"/>
    <w:pPr>
      <w:tabs>
        <w:tab w:val="center" w:pos="4677"/>
        <w:tab w:val="right" w:pos="9355"/>
      </w:tabs>
      <w:suppressAutoHyphens/>
    </w:pPr>
    <w:rPr>
      <w:rFonts w:hAnsi="Arial Unicode MS" w:cs="Arial Unicode MS"/>
      <w:color w:val="000000"/>
      <w:sz w:val="24"/>
      <w:szCs w:val="24"/>
      <w:u w:color="000000"/>
      <w:lang w:val="ru-RU"/>
    </w:rPr>
  </w:style>
  <w:style w:type="paragraph" w:styleId="Header">
    <w:name w:val="header"/>
    <w:rsid w:val="00BD7D15"/>
    <w:pPr>
      <w:tabs>
        <w:tab w:val="center" w:pos="4677"/>
        <w:tab w:val="right" w:pos="9355"/>
      </w:tabs>
      <w:suppressAutoHyphens/>
    </w:pPr>
    <w:rPr>
      <w:rFonts w:hAnsi="Arial Unicode MS" w:cs="Arial Unicode MS"/>
      <w:color w:val="000000"/>
      <w:sz w:val="24"/>
      <w:szCs w:val="24"/>
      <w:u w:color="000000"/>
    </w:rPr>
  </w:style>
  <w:style w:type="paragraph" w:customStyle="1" w:styleId="HChG">
    <w:name w:val="_ H _Ch_G"/>
    <w:next w:val="Normal"/>
    <w:link w:val="HChGChar"/>
    <w:rsid w:val="00BD7D15"/>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rPr>
  </w:style>
  <w:style w:type="paragraph" w:customStyle="1" w:styleId="SingleTxtG">
    <w:name w:val="_ Single Txt_G"/>
    <w:link w:val="SingleTxtGChar"/>
    <w:rsid w:val="00911AE2"/>
    <w:pPr>
      <w:tabs>
        <w:tab w:val="left" w:pos="1701"/>
      </w:tabs>
      <w:suppressAutoHyphens/>
      <w:spacing w:after="120" w:line="240" w:lineRule="atLeast"/>
      <w:ind w:left="1134" w:right="1134"/>
      <w:jc w:val="both"/>
    </w:pPr>
    <w:rPr>
      <w:rFonts w:hAnsi="Arial Unicode MS" w:cs="Arial Unicode MS"/>
      <w:color w:val="000000"/>
      <w:u w:color="000000"/>
      <w:lang w:val="en-GB"/>
    </w:rPr>
  </w:style>
  <w:style w:type="character" w:customStyle="1" w:styleId="Lien">
    <w:name w:val="Lien"/>
    <w:rsid w:val="00BD7D15"/>
    <w:rPr>
      <w:color w:val="0000FF"/>
      <w:u w:val="single" w:color="0000FF"/>
    </w:rPr>
  </w:style>
  <w:style w:type="character" w:customStyle="1" w:styleId="Hyperlink0">
    <w:name w:val="Hyperlink.0"/>
    <w:basedOn w:val="Lien"/>
    <w:rsid w:val="00BD7D15"/>
    <w:rPr>
      <w:color w:val="0000FF"/>
      <w:u w:val="single" w:color="0000FF"/>
      <w:lang w:val="en-US"/>
    </w:rPr>
  </w:style>
  <w:style w:type="numbering" w:customStyle="1" w:styleId="List0">
    <w:name w:val="List 0"/>
    <w:basedOn w:val="Lettres"/>
    <w:rsid w:val="00BD7D15"/>
    <w:pPr>
      <w:numPr>
        <w:numId w:val="3"/>
      </w:numPr>
    </w:pPr>
  </w:style>
  <w:style w:type="numbering" w:customStyle="1" w:styleId="Lettres">
    <w:name w:val="Lettres"/>
    <w:rsid w:val="00BD7D15"/>
  </w:style>
  <w:style w:type="paragraph" w:styleId="BalloonText">
    <w:name w:val="Balloon Text"/>
    <w:basedOn w:val="Normal"/>
    <w:link w:val="BalloonTextChar"/>
    <w:uiPriority w:val="99"/>
    <w:semiHidden/>
    <w:unhideWhenUsed/>
    <w:rsid w:val="00911AE2"/>
    <w:rPr>
      <w:rFonts w:ascii="Tahoma" w:hAnsi="Tahoma" w:cs="Tahoma"/>
      <w:sz w:val="16"/>
      <w:szCs w:val="16"/>
    </w:rPr>
  </w:style>
  <w:style w:type="character" w:customStyle="1" w:styleId="BalloonTextChar">
    <w:name w:val="Balloon Text Char"/>
    <w:basedOn w:val="DefaultParagraphFont"/>
    <w:link w:val="BalloonText"/>
    <w:uiPriority w:val="99"/>
    <w:semiHidden/>
    <w:rsid w:val="00911AE2"/>
    <w:rPr>
      <w:rFonts w:ascii="Tahoma" w:hAnsi="Tahoma" w:cs="Tahoma"/>
      <w:color w:val="000000"/>
      <w:sz w:val="16"/>
      <w:szCs w:val="16"/>
      <w:u w:color="000000"/>
      <w:lang w:val="ru-RU"/>
    </w:rPr>
  </w:style>
  <w:style w:type="paragraph" w:customStyle="1" w:styleId="HMGFG">
    <w:name w:val="_H_M_G_FG"/>
    <w:basedOn w:val="HChG"/>
    <w:link w:val="HMGFGChar"/>
    <w:qFormat/>
    <w:rsid w:val="00911AE2"/>
    <w:rPr>
      <w:sz w:val="24"/>
      <w:szCs w:val="24"/>
    </w:rPr>
  </w:style>
  <w:style w:type="character" w:customStyle="1" w:styleId="HChGChar">
    <w:name w:val="_ H _Ch_G Char"/>
    <w:basedOn w:val="DefaultParagraphFont"/>
    <w:link w:val="HChG"/>
    <w:rsid w:val="00911AE2"/>
    <w:rPr>
      <w:rFonts w:eastAsia="Times New Roman"/>
      <w:b/>
      <w:bCs/>
      <w:color w:val="000000"/>
      <w:sz w:val="28"/>
      <w:szCs w:val="28"/>
      <w:u w:color="000000"/>
    </w:rPr>
  </w:style>
  <w:style w:type="character" w:customStyle="1" w:styleId="HMGFGChar">
    <w:name w:val="_H_M_G_FG Char"/>
    <w:basedOn w:val="HChGChar"/>
    <w:link w:val="HMGFG"/>
    <w:rsid w:val="00911AE2"/>
    <w:rPr>
      <w:rFonts w:eastAsia="Times New Roman"/>
      <w:b/>
      <w:bCs/>
      <w:color w:val="000000"/>
      <w:sz w:val="24"/>
      <w:szCs w:val="24"/>
      <w:u w:color="000000"/>
    </w:rPr>
  </w:style>
  <w:style w:type="character" w:customStyle="1" w:styleId="SingleTxtGChar">
    <w:name w:val="_ Single Txt_G Char"/>
    <w:link w:val="SingleTxtG"/>
    <w:rsid w:val="00495828"/>
    <w:rPr>
      <w:rFonts w:hAnsi="Arial Unicode MS" w:cs="Arial Unicode MS"/>
      <w:color w:val="000000"/>
      <w:u w:color="000000"/>
      <w:lang w:val="en-GB"/>
    </w:rPr>
  </w:style>
  <w:style w:type="paragraph" w:customStyle="1" w:styleId="H1G">
    <w:name w:val="_ H_1_G"/>
    <w:basedOn w:val="Normal"/>
    <w:next w:val="Normal"/>
    <w:link w:val="H1GChar"/>
    <w:rsid w:val="00A90DB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360" w:after="240" w:line="270" w:lineRule="exact"/>
      <w:ind w:left="1134" w:right="1134" w:hanging="1134"/>
    </w:pPr>
    <w:rPr>
      <w:rFonts w:eastAsia="Times New Roman" w:hAnsi="Times New Roman" w:cs="Times New Roman"/>
      <w:b/>
      <w:color w:val="auto"/>
      <w:szCs w:val="20"/>
      <w:bdr w:val="none" w:sz="0" w:space="0" w:color="auto"/>
      <w:lang w:val="en-GB"/>
    </w:rPr>
  </w:style>
  <w:style w:type="character" w:customStyle="1" w:styleId="H1GChar">
    <w:name w:val="_ H_1_G Char"/>
    <w:link w:val="H1G"/>
    <w:locked/>
    <w:rsid w:val="00A90DB0"/>
    <w:rPr>
      <w:rFonts w:eastAsia="Times New Roman"/>
      <w:b/>
      <w:sz w:val="24"/>
      <w:bdr w:val="none" w:sz="0" w:space="0" w:color="auto"/>
      <w:lang w:val="en-GB"/>
    </w:rPr>
  </w:style>
  <w:style w:type="character" w:customStyle="1" w:styleId="translation-chunk">
    <w:name w:val="translation-chunk"/>
    <w:basedOn w:val="DefaultParagraphFont"/>
    <w:rsid w:val="00020E28"/>
  </w:style>
  <w:style w:type="character" w:styleId="CommentReference">
    <w:name w:val="annotation reference"/>
    <w:basedOn w:val="DefaultParagraphFont"/>
    <w:uiPriority w:val="99"/>
    <w:semiHidden/>
    <w:unhideWhenUsed/>
    <w:rsid w:val="00B16AB2"/>
    <w:rPr>
      <w:sz w:val="16"/>
      <w:szCs w:val="16"/>
    </w:rPr>
  </w:style>
  <w:style w:type="paragraph" w:styleId="CommentText">
    <w:name w:val="annotation text"/>
    <w:basedOn w:val="Normal"/>
    <w:link w:val="CommentTextChar"/>
    <w:uiPriority w:val="99"/>
    <w:semiHidden/>
    <w:unhideWhenUsed/>
    <w:rsid w:val="00B16AB2"/>
    <w:rPr>
      <w:sz w:val="20"/>
      <w:szCs w:val="20"/>
    </w:rPr>
  </w:style>
  <w:style w:type="character" w:customStyle="1" w:styleId="CommentTextChar">
    <w:name w:val="Comment Text Char"/>
    <w:basedOn w:val="DefaultParagraphFont"/>
    <w:link w:val="CommentText"/>
    <w:uiPriority w:val="99"/>
    <w:semiHidden/>
    <w:rsid w:val="00B16AB2"/>
    <w:rPr>
      <w:rFonts w:hAnsi="Arial Unicode MS"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B16AB2"/>
    <w:rPr>
      <w:b/>
      <w:bCs/>
    </w:rPr>
  </w:style>
  <w:style w:type="character" w:customStyle="1" w:styleId="CommentSubjectChar">
    <w:name w:val="Comment Subject Char"/>
    <w:basedOn w:val="CommentTextChar"/>
    <w:link w:val="CommentSubject"/>
    <w:uiPriority w:val="99"/>
    <w:semiHidden/>
    <w:rsid w:val="00B16AB2"/>
    <w:rPr>
      <w:rFonts w:hAnsi="Arial Unicode MS" w:cs="Arial Unicode MS"/>
      <w:b/>
      <w:bCs/>
      <w:color w:val="000000"/>
      <w:u w:color="000000"/>
      <w:lang w:val="ru-RU"/>
    </w:rPr>
  </w:style>
  <w:style w:type="paragraph" w:styleId="Revision">
    <w:name w:val="Revision"/>
    <w:hidden/>
    <w:uiPriority w:val="99"/>
    <w:semiHidden/>
    <w:rsid w:val="00B16AB2"/>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ece.org/fileadmin/DAM/commission/EXCOM/Agenda/2017/89Excom-1_Feb_17/Item_2-Chair_s_conclusions-16.12.2016.pdf" TargetMode="External"/><Relationship Id="rId4" Type="http://schemas.microsoft.com/office/2007/relationships/stylesWithEffects" Target="stylesWithEffects.xml"/><Relationship Id="rId9" Type="http://schemas.openxmlformats.org/officeDocument/2006/relationships/hyperlink" Target="http://www.unece.org/fileadmin/DAM/commission/EXCOM/Agenda/2016/88Excom-16Dec16/Item_3-2016_59-ECE_PPB_2018-2019_Part_1-Narratives_Rev.2.pdf" TargetMode="Externa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C180-DEA1-4D0E-B4BF-A085E163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815</Words>
  <Characters>4646</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ECE-ISU</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Guichard</dc:creator>
  <cp:lastModifiedBy>Francois E. Guichard</cp:lastModifiedBy>
  <cp:revision>3</cp:revision>
  <cp:lastPrinted>2017-06-14T12:40:00Z</cp:lastPrinted>
  <dcterms:created xsi:type="dcterms:W3CDTF">2017-06-16T07:52:00Z</dcterms:created>
  <dcterms:modified xsi:type="dcterms:W3CDTF">2017-06-16T14:54:00Z</dcterms:modified>
</cp:coreProperties>
</file>