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A0A0A" w:rsidRPr="00AB5A76" w14:paraId="7646F700" w14:textId="77777777" w:rsidTr="00723F53">
        <w:trPr>
          <w:cantSplit/>
          <w:trHeight w:hRule="exact" w:val="851"/>
        </w:trPr>
        <w:tc>
          <w:tcPr>
            <w:tcW w:w="1276" w:type="dxa"/>
            <w:tcBorders>
              <w:bottom w:val="single" w:sz="4" w:space="0" w:color="auto"/>
            </w:tcBorders>
            <w:vAlign w:val="bottom"/>
          </w:tcPr>
          <w:p w14:paraId="3A3A6FDD" w14:textId="00E34C5C" w:rsidR="00FA0A0A" w:rsidRPr="00AB5A76" w:rsidRDefault="00FA0A0A" w:rsidP="00FA0A0A">
            <w:pPr>
              <w:spacing w:after="80"/>
            </w:pPr>
          </w:p>
        </w:tc>
        <w:tc>
          <w:tcPr>
            <w:tcW w:w="2268" w:type="dxa"/>
            <w:tcBorders>
              <w:bottom w:val="single" w:sz="4" w:space="0" w:color="auto"/>
            </w:tcBorders>
            <w:vAlign w:val="bottom"/>
          </w:tcPr>
          <w:p w14:paraId="6EE25623" w14:textId="77777777" w:rsidR="00FA0A0A" w:rsidRPr="00AB5A76" w:rsidRDefault="00FA0A0A" w:rsidP="00FA0A0A">
            <w:pPr>
              <w:spacing w:after="80" w:line="300" w:lineRule="exact"/>
              <w:rPr>
                <w:b/>
                <w:sz w:val="24"/>
                <w:szCs w:val="24"/>
              </w:rPr>
            </w:pPr>
          </w:p>
        </w:tc>
        <w:tc>
          <w:tcPr>
            <w:tcW w:w="6095" w:type="dxa"/>
            <w:gridSpan w:val="2"/>
            <w:tcBorders>
              <w:bottom w:val="single" w:sz="4" w:space="0" w:color="auto"/>
            </w:tcBorders>
            <w:tcFitText/>
            <w:vAlign w:val="bottom"/>
          </w:tcPr>
          <w:p w14:paraId="7C0F6948" w14:textId="62EE9ECF" w:rsidR="00FA0A0A" w:rsidRPr="00AB5A76" w:rsidRDefault="00A630D4" w:rsidP="004D7BDE">
            <w:pPr>
              <w:jc w:val="right"/>
              <w:rPr>
                <w:spacing w:val="-8"/>
              </w:rPr>
            </w:pPr>
            <w:r w:rsidRPr="00170C66">
              <w:rPr>
                <w:w w:val="98"/>
                <w:sz w:val="40"/>
              </w:rPr>
              <w:t xml:space="preserve">Informal document </w:t>
            </w:r>
            <w:r w:rsidR="00065910" w:rsidRPr="00170C66">
              <w:rPr>
                <w:w w:val="98"/>
                <w:sz w:val="40"/>
              </w:rPr>
              <w:t xml:space="preserve">ITC </w:t>
            </w:r>
            <w:r w:rsidRPr="00170C66">
              <w:rPr>
                <w:w w:val="98"/>
                <w:sz w:val="40"/>
              </w:rPr>
              <w:t>(201</w:t>
            </w:r>
            <w:r w:rsidR="009906C0" w:rsidRPr="00170C66">
              <w:rPr>
                <w:w w:val="98"/>
                <w:sz w:val="40"/>
              </w:rPr>
              <w:t>7</w:t>
            </w:r>
            <w:r w:rsidRPr="00170C66">
              <w:rPr>
                <w:w w:val="98"/>
                <w:sz w:val="40"/>
              </w:rPr>
              <w:t xml:space="preserve">) No. </w:t>
            </w:r>
            <w:r w:rsidR="00C0349A" w:rsidRPr="00170C66">
              <w:rPr>
                <w:w w:val="98"/>
                <w:sz w:val="40"/>
              </w:rPr>
              <w:t>1</w:t>
            </w:r>
            <w:r w:rsidR="00C0349A" w:rsidRPr="00170C66">
              <w:rPr>
                <w:spacing w:val="26"/>
                <w:w w:val="98"/>
                <w:sz w:val="40"/>
              </w:rPr>
              <w:t>1</w:t>
            </w:r>
          </w:p>
        </w:tc>
      </w:tr>
      <w:tr w:rsidR="00FA0A0A" w:rsidRPr="00AB5A76" w14:paraId="03D3DFD1" w14:textId="77777777" w:rsidTr="00FA0A0A">
        <w:trPr>
          <w:cantSplit/>
          <w:trHeight w:hRule="exact" w:val="2835"/>
        </w:trPr>
        <w:tc>
          <w:tcPr>
            <w:tcW w:w="1276" w:type="dxa"/>
            <w:tcBorders>
              <w:top w:val="single" w:sz="4" w:space="0" w:color="auto"/>
              <w:bottom w:val="single" w:sz="12" w:space="0" w:color="auto"/>
            </w:tcBorders>
          </w:tcPr>
          <w:p w14:paraId="1B7EA0FB" w14:textId="77777777" w:rsidR="00FA0A0A" w:rsidRPr="00AB5A76" w:rsidRDefault="00FA0A0A" w:rsidP="00FA0A0A">
            <w:pPr>
              <w:spacing w:before="120"/>
            </w:pPr>
          </w:p>
        </w:tc>
        <w:tc>
          <w:tcPr>
            <w:tcW w:w="5528" w:type="dxa"/>
            <w:gridSpan w:val="2"/>
            <w:tcBorders>
              <w:top w:val="single" w:sz="4" w:space="0" w:color="auto"/>
              <w:bottom w:val="single" w:sz="12" w:space="0" w:color="auto"/>
            </w:tcBorders>
          </w:tcPr>
          <w:p w14:paraId="63F278E6" w14:textId="77777777" w:rsidR="00FA0A0A" w:rsidRPr="00AB5A76" w:rsidRDefault="00FA0A0A" w:rsidP="00FA0A0A">
            <w:pPr>
              <w:spacing w:before="120" w:line="420" w:lineRule="exact"/>
              <w:rPr>
                <w:sz w:val="40"/>
                <w:szCs w:val="40"/>
              </w:rPr>
            </w:pPr>
          </w:p>
        </w:tc>
        <w:tc>
          <w:tcPr>
            <w:tcW w:w="2835" w:type="dxa"/>
            <w:tcBorders>
              <w:top w:val="single" w:sz="4" w:space="0" w:color="auto"/>
              <w:bottom w:val="single" w:sz="12" w:space="0" w:color="auto"/>
            </w:tcBorders>
          </w:tcPr>
          <w:p w14:paraId="681506D7" w14:textId="77777777" w:rsidR="00FA0A0A" w:rsidRPr="00AB5A76" w:rsidRDefault="00FA0A0A" w:rsidP="00FA0A0A">
            <w:pPr>
              <w:spacing w:before="240" w:line="240" w:lineRule="exact"/>
            </w:pPr>
            <w:r w:rsidRPr="00AB5A76">
              <w:t>Distr.: General</w:t>
            </w:r>
          </w:p>
          <w:p w14:paraId="09B4468B" w14:textId="77777777" w:rsidR="00E0225F" w:rsidRPr="00AB5A76" w:rsidRDefault="00723F53">
            <w:pPr>
              <w:spacing w:line="240" w:lineRule="exact"/>
            </w:pPr>
            <w:r w:rsidRPr="00AB5A76">
              <w:t>2</w:t>
            </w:r>
            <w:r w:rsidR="009906C0" w:rsidRPr="00AB5A76">
              <w:t>4</w:t>
            </w:r>
            <w:r w:rsidR="00ED4B6C" w:rsidRPr="00AB5A76">
              <w:t xml:space="preserve"> </w:t>
            </w:r>
            <w:r w:rsidR="00833633" w:rsidRPr="00AB5A76">
              <w:t xml:space="preserve">February </w:t>
            </w:r>
            <w:r w:rsidR="00E0225F" w:rsidRPr="00AB5A76">
              <w:t>201</w:t>
            </w:r>
            <w:r w:rsidR="009906C0" w:rsidRPr="00AB5A76">
              <w:t>7</w:t>
            </w:r>
          </w:p>
          <w:p w14:paraId="6402ED34" w14:textId="77777777" w:rsidR="00FA0A0A" w:rsidRPr="00AB5A76" w:rsidRDefault="00FA0A0A" w:rsidP="00FA0A0A">
            <w:pPr>
              <w:spacing w:line="240" w:lineRule="exact"/>
            </w:pPr>
          </w:p>
          <w:p w14:paraId="5F52D242" w14:textId="77777777" w:rsidR="00FA0A0A" w:rsidRPr="00AB5A76" w:rsidRDefault="00FA0A0A" w:rsidP="00FA0A0A">
            <w:pPr>
              <w:spacing w:line="240" w:lineRule="exact"/>
            </w:pPr>
            <w:r w:rsidRPr="00AB5A76">
              <w:t>Original: English</w:t>
            </w:r>
          </w:p>
          <w:p w14:paraId="07591D2D" w14:textId="77777777" w:rsidR="00E0225F" w:rsidRPr="00AB5A76" w:rsidRDefault="00E0225F" w:rsidP="00FA0A0A">
            <w:pPr>
              <w:spacing w:line="240" w:lineRule="exact"/>
            </w:pPr>
          </w:p>
          <w:p w14:paraId="00C0E9BE" w14:textId="77777777" w:rsidR="00E0225F" w:rsidRPr="00AB5A76" w:rsidRDefault="00E0225F" w:rsidP="00F4241E">
            <w:pPr>
              <w:spacing w:line="240" w:lineRule="exact"/>
            </w:pPr>
          </w:p>
        </w:tc>
      </w:tr>
    </w:tbl>
    <w:p w14:paraId="723DF478" w14:textId="77777777" w:rsidR="00FA0A0A" w:rsidRPr="00AB5A76" w:rsidRDefault="00FA0A0A" w:rsidP="00FA0A0A">
      <w:pPr>
        <w:spacing w:before="120"/>
        <w:rPr>
          <w:b/>
          <w:bCs/>
          <w:sz w:val="28"/>
          <w:szCs w:val="28"/>
        </w:rPr>
      </w:pPr>
      <w:r w:rsidRPr="00AB5A76">
        <w:rPr>
          <w:b/>
          <w:bCs/>
          <w:sz w:val="28"/>
          <w:szCs w:val="28"/>
        </w:rPr>
        <w:t>Economic Commission for Europe</w:t>
      </w:r>
    </w:p>
    <w:p w14:paraId="4DD896FD" w14:textId="77777777" w:rsidR="00FA0A0A" w:rsidRPr="00AB5A76" w:rsidRDefault="00FA0A0A" w:rsidP="00FA0A0A">
      <w:pPr>
        <w:spacing w:before="120"/>
        <w:rPr>
          <w:sz w:val="28"/>
          <w:szCs w:val="28"/>
        </w:rPr>
      </w:pPr>
      <w:r w:rsidRPr="00AB5A76">
        <w:rPr>
          <w:sz w:val="28"/>
          <w:szCs w:val="28"/>
        </w:rPr>
        <w:t>Inland Transport Committee</w:t>
      </w:r>
    </w:p>
    <w:p w14:paraId="09253803" w14:textId="77777777" w:rsidR="00FA0A0A" w:rsidRPr="00AB5A76" w:rsidRDefault="00FA0A0A" w:rsidP="00FA0A0A">
      <w:pPr>
        <w:spacing w:before="120"/>
        <w:rPr>
          <w:b/>
          <w:bCs/>
        </w:rPr>
      </w:pPr>
      <w:r w:rsidRPr="00AB5A76">
        <w:rPr>
          <w:b/>
          <w:bCs/>
        </w:rPr>
        <w:t>Seventy-</w:t>
      </w:r>
      <w:r w:rsidR="009906C0" w:rsidRPr="00AB5A76">
        <w:rPr>
          <w:b/>
          <w:bCs/>
        </w:rPr>
        <w:t xml:space="preserve">ninth </w:t>
      </w:r>
      <w:r w:rsidRPr="00AB5A76">
        <w:rPr>
          <w:b/>
          <w:bCs/>
        </w:rPr>
        <w:t>session</w:t>
      </w:r>
    </w:p>
    <w:p w14:paraId="73E2853B" w14:textId="77777777" w:rsidR="00FA0A0A" w:rsidRPr="00AB5A76" w:rsidRDefault="00FA0A0A" w:rsidP="00FA0A0A">
      <w:pPr>
        <w:rPr>
          <w:b/>
          <w:bCs/>
        </w:rPr>
      </w:pPr>
      <w:r w:rsidRPr="00AB5A76">
        <w:t>Geneva, 2</w:t>
      </w:r>
      <w:r w:rsidR="009906C0" w:rsidRPr="00AB5A76">
        <w:t>1</w:t>
      </w:r>
      <w:r w:rsidRPr="00AB5A76">
        <w:t>–2</w:t>
      </w:r>
      <w:r w:rsidR="009906C0" w:rsidRPr="00AB5A76">
        <w:t>4</w:t>
      </w:r>
      <w:r w:rsidRPr="00AB5A76">
        <w:t xml:space="preserve"> February 201</w:t>
      </w:r>
      <w:r w:rsidR="009906C0" w:rsidRPr="00AB5A76">
        <w:t>7</w:t>
      </w:r>
      <w:r w:rsidRPr="00AB5A76">
        <w:br/>
        <w:t xml:space="preserve">Item </w:t>
      </w:r>
      <w:r w:rsidR="009906C0" w:rsidRPr="00AB5A76">
        <w:t>17</w:t>
      </w:r>
      <w:r w:rsidR="00E12BCA" w:rsidRPr="00AB5A76">
        <w:t xml:space="preserve"> </w:t>
      </w:r>
      <w:r w:rsidRPr="00AB5A76">
        <w:t>of the provisional agenda</w:t>
      </w:r>
      <w:r w:rsidRPr="00AB5A76">
        <w:br/>
      </w:r>
      <w:r w:rsidR="00243A7A" w:rsidRPr="00AB5A76">
        <w:rPr>
          <w:b/>
          <w:bCs/>
        </w:rPr>
        <w:t>Adoption of the list of main decisions of the seventy-</w:t>
      </w:r>
      <w:r w:rsidR="009906C0" w:rsidRPr="00AB5A76">
        <w:rPr>
          <w:b/>
          <w:bCs/>
        </w:rPr>
        <w:t xml:space="preserve">ninth </w:t>
      </w:r>
      <w:r w:rsidR="00243A7A" w:rsidRPr="00AB5A76">
        <w:rPr>
          <w:b/>
          <w:bCs/>
        </w:rPr>
        <w:t>session</w:t>
      </w:r>
      <w:r w:rsidR="00243A7A" w:rsidRPr="00AB5A76" w:rsidDel="00243A7A">
        <w:rPr>
          <w:b/>
          <w:bCs/>
        </w:rPr>
        <w:t xml:space="preserve"> </w:t>
      </w:r>
    </w:p>
    <w:p w14:paraId="541E26D6" w14:textId="48935602" w:rsidR="00FA0A0A" w:rsidRPr="00AB5A76" w:rsidRDefault="00FA0A0A" w:rsidP="00F35B50">
      <w:pPr>
        <w:pStyle w:val="HChG"/>
        <w:rPr>
          <w:rFonts w:ascii="2016" w:hAnsi="2016" w:hint="eastAsia"/>
        </w:rPr>
      </w:pPr>
      <w:r w:rsidRPr="00AB5A76">
        <w:rPr>
          <w:color w:val="FF0000"/>
        </w:rPr>
        <w:tab/>
      </w:r>
      <w:r w:rsidRPr="00AB5A76">
        <w:tab/>
      </w:r>
      <w:r w:rsidR="0070633C" w:rsidRPr="00AB5A76">
        <w:t xml:space="preserve">List </w:t>
      </w:r>
      <w:r w:rsidR="00243A7A" w:rsidRPr="00AB5A76">
        <w:t>of main decisions</w:t>
      </w:r>
      <w:r w:rsidR="007E2572" w:rsidRPr="00AB5A76">
        <w:rPr>
          <w:rStyle w:val="FootnoteReference"/>
        </w:rPr>
        <w:footnoteReference w:id="2"/>
      </w:r>
    </w:p>
    <w:p w14:paraId="23C4CA11" w14:textId="77777777" w:rsidR="00243A7A" w:rsidRPr="00AB5A76" w:rsidRDefault="00243A7A" w:rsidP="00243A7A">
      <w:pPr>
        <w:pStyle w:val="H1G"/>
      </w:pPr>
      <w:r w:rsidRPr="00AB5A76">
        <w:tab/>
      </w:r>
      <w:r w:rsidRPr="00AB5A76">
        <w:tab/>
        <w:t>Note by the secretariat</w:t>
      </w:r>
    </w:p>
    <w:p w14:paraId="4F88BE59" w14:textId="39FED9C6" w:rsidR="00243A7A" w:rsidRPr="00AB5A76" w:rsidRDefault="00243A7A" w:rsidP="00243A7A">
      <w:pPr>
        <w:pStyle w:val="SingleTxtG"/>
        <w:rPr>
          <w:lang w:val="en-GB"/>
        </w:rPr>
      </w:pPr>
      <w:r w:rsidRPr="00AB5A76">
        <w:rPr>
          <w:lang w:val="en-GB"/>
        </w:rPr>
        <w:t>At its seventy-</w:t>
      </w:r>
      <w:r w:rsidR="009906C0" w:rsidRPr="00AB5A76">
        <w:rPr>
          <w:lang w:val="en-GB"/>
        </w:rPr>
        <w:t xml:space="preserve">ninth </w:t>
      </w:r>
      <w:r w:rsidRPr="00AB5A76">
        <w:rPr>
          <w:lang w:val="en-GB"/>
        </w:rPr>
        <w:t xml:space="preserve">session, the Inland Transport Committee: </w:t>
      </w:r>
    </w:p>
    <w:p w14:paraId="0DFC0D3F" w14:textId="77777777" w:rsidR="00136BBA" w:rsidRDefault="00243A7A" w:rsidP="00513A14">
      <w:pPr>
        <w:pStyle w:val="SingleTxtG"/>
        <w:rPr>
          <w:lang w:val="en-GB"/>
        </w:rPr>
      </w:pPr>
      <w:r w:rsidRPr="00AB5A76">
        <w:rPr>
          <w:lang w:val="en-GB"/>
        </w:rPr>
        <w:t>1.</w:t>
      </w:r>
      <w:r w:rsidRPr="00AB5A76">
        <w:rPr>
          <w:lang w:val="en-GB"/>
        </w:rPr>
        <w:tab/>
      </w:r>
      <w:r w:rsidRPr="00AB5A76">
        <w:rPr>
          <w:b/>
          <w:lang w:val="en-GB"/>
        </w:rPr>
        <w:t xml:space="preserve">Adopted </w:t>
      </w:r>
      <w:r w:rsidRPr="00AB5A76">
        <w:rPr>
          <w:lang w:val="en-GB"/>
        </w:rPr>
        <w:t>the provisional agenda (ECE/TRANS/</w:t>
      </w:r>
      <w:r w:rsidR="009906C0" w:rsidRPr="00AB5A76">
        <w:rPr>
          <w:lang w:val="en-GB"/>
        </w:rPr>
        <w:t>269</w:t>
      </w:r>
      <w:r w:rsidRPr="00AB5A76">
        <w:rPr>
          <w:lang w:val="en-GB"/>
        </w:rPr>
        <w:t xml:space="preserve"> and Add.1)</w:t>
      </w:r>
      <w:r w:rsidR="00136BBA">
        <w:rPr>
          <w:lang w:val="en-GB"/>
        </w:rPr>
        <w:t>;</w:t>
      </w:r>
    </w:p>
    <w:p w14:paraId="7F47C717" w14:textId="77777777" w:rsidR="00136BBA" w:rsidRDefault="00243A7A" w:rsidP="009906C0">
      <w:pPr>
        <w:spacing w:after="120"/>
        <w:ind w:left="1134" w:right="1134"/>
        <w:jc w:val="both"/>
        <w:rPr>
          <w:rFonts w:eastAsia="Times New Roman"/>
        </w:rPr>
      </w:pPr>
      <w:r w:rsidRPr="00AB5A76">
        <w:t>2.</w:t>
      </w:r>
      <w:r w:rsidRPr="00AB5A76">
        <w:rPr>
          <w:b/>
        </w:rPr>
        <w:tab/>
      </w:r>
      <w:r w:rsidR="00D2217C" w:rsidRPr="00AB5A76">
        <w:rPr>
          <w:b/>
        </w:rPr>
        <w:t xml:space="preserve">Welcomed </w:t>
      </w:r>
      <w:r w:rsidR="008F66EA" w:rsidRPr="00AB5A76">
        <w:rPr>
          <w:b/>
        </w:rPr>
        <w:t xml:space="preserve">and endorsed </w:t>
      </w:r>
      <w:r w:rsidR="00D2217C" w:rsidRPr="00AB5A76">
        <w:t xml:space="preserve">the </w:t>
      </w:r>
      <w:r w:rsidR="00CE2862" w:rsidRPr="00AB5A76">
        <w:t>Ministerial Resolution “Embracing the new era for sustainable inland transport and mobility”</w:t>
      </w:r>
      <w:r w:rsidR="00D2217C" w:rsidRPr="00AB5A76">
        <w:t xml:space="preserve">, </w:t>
      </w:r>
      <w:r w:rsidR="00031ECB" w:rsidRPr="00AB5A76">
        <w:rPr>
          <w:b/>
        </w:rPr>
        <w:t>expressed its commitment to implement</w:t>
      </w:r>
      <w:r w:rsidR="00031ECB" w:rsidRPr="00AB5A76">
        <w:t xml:space="preserve"> </w:t>
      </w:r>
      <w:r w:rsidR="00065910" w:rsidRPr="00AB5A76">
        <w:t>the decisions</w:t>
      </w:r>
      <w:r w:rsidR="00031ECB" w:rsidRPr="00AB5A76">
        <w:t xml:space="preserve"> in the Resolution</w:t>
      </w:r>
      <w:r w:rsidR="00065910" w:rsidRPr="00AB5A76">
        <w:t xml:space="preserve">, </w:t>
      </w:r>
      <w:r w:rsidR="00065910" w:rsidRPr="00AB5A76">
        <w:rPr>
          <w:b/>
        </w:rPr>
        <w:t>endorsed</w:t>
      </w:r>
      <w:r w:rsidR="00031ECB" w:rsidRPr="00AB5A76">
        <w:t xml:space="preserve"> the draft contribution </w:t>
      </w:r>
      <w:r w:rsidR="00153D34" w:rsidRPr="00AB5A76">
        <w:t>for</w:t>
      </w:r>
      <w:r w:rsidR="00031ECB" w:rsidRPr="00AB5A76">
        <w:t xml:space="preserve"> the Commission session </w:t>
      </w:r>
      <w:r w:rsidR="00153D34" w:rsidRPr="00AB5A76">
        <w:t xml:space="preserve">on </w:t>
      </w:r>
      <w:r w:rsidR="00065910" w:rsidRPr="00AB5A76">
        <w:t xml:space="preserve">decision </w:t>
      </w:r>
      <w:r w:rsidR="008F66EA" w:rsidRPr="00AB5A76">
        <w:t>1 of the Resolution</w:t>
      </w:r>
      <w:r w:rsidR="00153D34" w:rsidRPr="00AB5A76">
        <w:t>,</w:t>
      </w:r>
      <w:r w:rsidR="008F66EA" w:rsidRPr="00AB5A76">
        <w:t xml:space="preserve"> </w:t>
      </w:r>
      <w:r w:rsidR="00065910" w:rsidRPr="00AB5A76">
        <w:t>and</w:t>
      </w:r>
      <w:r w:rsidR="00CE2862" w:rsidRPr="00AB5A76">
        <w:t xml:space="preserve"> </w:t>
      </w:r>
      <w:r w:rsidR="00CE2862" w:rsidRPr="00AB5A76">
        <w:rPr>
          <w:b/>
        </w:rPr>
        <w:t xml:space="preserve">decided to include </w:t>
      </w:r>
      <w:r w:rsidR="00031ECB" w:rsidRPr="00AB5A76">
        <w:rPr>
          <w:b/>
        </w:rPr>
        <w:t>the Ministerial Resolution and the draft contribution to the Economic Commission for Europe in April 2017</w:t>
      </w:r>
      <w:r w:rsidR="00031ECB" w:rsidRPr="00AB5A76">
        <w:t xml:space="preserve"> </w:t>
      </w:r>
      <w:r w:rsidR="00CE2862" w:rsidRPr="00AB5A76">
        <w:rPr>
          <w:b/>
        </w:rPr>
        <w:t xml:space="preserve">as an Annex </w:t>
      </w:r>
      <w:r w:rsidR="00CE2862" w:rsidRPr="00AB5A76">
        <w:t>to the report of its seventy-ninth session</w:t>
      </w:r>
      <w:r w:rsidR="00136BBA">
        <w:rPr>
          <w:rFonts w:eastAsia="Times New Roman"/>
        </w:rPr>
        <w:t>;</w:t>
      </w:r>
    </w:p>
    <w:p w14:paraId="486D5BC3" w14:textId="77777777" w:rsidR="00136BBA" w:rsidRDefault="009906C0" w:rsidP="00B11842">
      <w:pPr>
        <w:spacing w:after="120"/>
        <w:ind w:left="1134" w:right="1134"/>
        <w:jc w:val="both"/>
        <w:rPr>
          <w:rFonts w:eastAsia="Times New Roman"/>
        </w:rPr>
      </w:pPr>
      <w:r w:rsidRPr="00AB5A76">
        <w:rPr>
          <w:rFonts w:eastAsia="Times New Roman"/>
        </w:rPr>
        <w:t>3.</w:t>
      </w:r>
      <w:r w:rsidRPr="00AB5A76">
        <w:rPr>
          <w:rFonts w:eastAsia="Times New Roman"/>
        </w:rPr>
        <w:tab/>
        <w:t xml:space="preserve">Further </w:t>
      </w:r>
      <w:r w:rsidRPr="00AB5A76">
        <w:rPr>
          <w:rFonts w:eastAsia="Times New Roman"/>
          <w:b/>
        </w:rPr>
        <w:t>requested</w:t>
      </w:r>
      <w:r w:rsidRPr="00AB5A76">
        <w:rPr>
          <w:rFonts w:eastAsia="Times New Roman"/>
        </w:rPr>
        <w:t xml:space="preserve"> the Economic Commission for Europe and the Economic and Social Council of the United Nations, in line with decision 1 of the Ministerial Resolution, to consider mandating the Committee to report on an annual basis to both the Commission and, for information purposes, to ECOSOC</w:t>
      </w:r>
      <w:r w:rsidR="00136BBA">
        <w:rPr>
          <w:rFonts w:eastAsia="Times New Roman"/>
        </w:rPr>
        <w:t>;</w:t>
      </w:r>
    </w:p>
    <w:p w14:paraId="399F456F" w14:textId="77777777" w:rsidR="00136BBA" w:rsidRDefault="009906C0" w:rsidP="00177060">
      <w:pPr>
        <w:spacing w:after="120"/>
        <w:ind w:left="1134" w:right="1134"/>
        <w:jc w:val="both"/>
        <w:rPr>
          <w:rFonts w:eastAsia="Times New Roman"/>
        </w:rPr>
      </w:pPr>
      <w:r w:rsidRPr="00AB5A76">
        <w:rPr>
          <w:rFonts w:eastAsia="Times New Roman"/>
        </w:rPr>
        <w:t>4.</w:t>
      </w:r>
      <w:r w:rsidRPr="00AB5A76">
        <w:rPr>
          <w:rFonts w:eastAsia="Times New Roman"/>
        </w:rPr>
        <w:tab/>
        <w:t xml:space="preserve">To that end, </w:t>
      </w:r>
      <w:r w:rsidRPr="00AB5A76">
        <w:rPr>
          <w:rFonts w:eastAsia="Times New Roman"/>
          <w:b/>
        </w:rPr>
        <w:t xml:space="preserve">invited the Commission to </w:t>
      </w:r>
      <w:r w:rsidRPr="00AB5A76">
        <w:rPr>
          <w:rFonts w:eastAsia="Times New Roman"/>
        </w:rPr>
        <w:t xml:space="preserve">(a) consider the (i) Ministerial Resolution, (ii) </w:t>
      </w:r>
      <w:r w:rsidR="00476CE8" w:rsidRPr="00AB5A76">
        <w:rPr>
          <w:rFonts w:eastAsia="Times New Roman"/>
        </w:rPr>
        <w:t>Committee</w:t>
      </w:r>
      <w:r w:rsidR="00AB5A76" w:rsidRPr="00AB5A76">
        <w:rPr>
          <w:rFonts w:eastAsia="Times New Roman"/>
        </w:rPr>
        <w:t xml:space="preserve"> report/decisions and (iii) d</w:t>
      </w:r>
      <w:r w:rsidRPr="00AB5A76">
        <w:rPr>
          <w:rFonts w:eastAsia="Times New Roman"/>
        </w:rPr>
        <w:t>raft ECOSOC resolution addressed by the Commission to ECOSOC for adoption “ECOSOC Resolution”</w:t>
      </w:r>
      <w:r w:rsidR="008765B8" w:rsidRPr="00AB5A76">
        <w:rPr>
          <w:rFonts w:eastAsia="Times New Roman"/>
        </w:rPr>
        <w:t xml:space="preserve">, </w:t>
      </w:r>
      <w:r w:rsidRPr="00AB5A76">
        <w:rPr>
          <w:rFonts w:eastAsia="Times New Roman"/>
        </w:rPr>
        <w:t xml:space="preserve">and (b) if decided favourably, </w:t>
      </w:r>
      <w:r w:rsidRPr="00AB5A76">
        <w:rPr>
          <w:rFonts w:eastAsia="Times New Roman"/>
          <w:b/>
        </w:rPr>
        <w:t xml:space="preserve">to invite </w:t>
      </w:r>
      <w:r w:rsidRPr="00AB5A76">
        <w:rPr>
          <w:rFonts w:eastAsia="Times New Roman"/>
        </w:rPr>
        <w:t>ECOSOC</w:t>
      </w:r>
      <w:r w:rsidR="00CE2862" w:rsidRPr="00AB5A76">
        <w:rPr>
          <w:rFonts w:eastAsia="Times New Roman"/>
        </w:rPr>
        <w:t xml:space="preserve"> to adopt the ECOSOC Resolution</w:t>
      </w:r>
      <w:r w:rsidR="00136BBA">
        <w:rPr>
          <w:rFonts w:eastAsia="Times New Roman"/>
        </w:rPr>
        <w:t>;</w:t>
      </w:r>
    </w:p>
    <w:p w14:paraId="207AC09C" w14:textId="2DF77740" w:rsidR="00136BBA" w:rsidRDefault="001D28CE" w:rsidP="004D7BDE">
      <w:pPr>
        <w:pStyle w:val="SingleTxtG"/>
        <w:rPr>
          <w:lang w:val="en-GB"/>
        </w:rPr>
      </w:pPr>
      <w:r w:rsidRPr="00E8561E">
        <w:rPr>
          <w:bCs/>
          <w:lang w:val="en-GB"/>
        </w:rPr>
        <w:t>5</w:t>
      </w:r>
      <w:r w:rsidR="00F0309B" w:rsidRPr="00E8561E">
        <w:rPr>
          <w:bCs/>
          <w:lang w:val="en-GB"/>
        </w:rPr>
        <w:t>.</w:t>
      </w:r>
      <w:r w:rsidRPr="00AB5A76">
        <w:rPr>
          <w:lang w:val="en-GB"/>
        </w:rPr>
        <w:t xml:space="preserve"> </w:t>
      </w:r>
      <w:r w:rsidR="00E8561E">
        <w:rPr>
          <w:lang w:val="en-GB"/>
        </w:rPr>
        <w:tab/>
      </w:r>
      <w:r w:rsidRPr="00AB5A76">
        <w:rPr>
          <w:b/>
          <w:lang w:val="en-GB"/>
        </w:rPr>
        <w:t>Took note</w:t>
      </w:r>
      <w:r w:rsidRPr="00AB5A76">
        <w:rPr>
          <w:lang w:val="en-GB"/>
        </w:rPr>
        <w:t xml:space="preserve"> that the summary of the discussion, i.e. the Chair’s note, would be annexed to the Committee’s report after approval by the participating delegates in the restricted session</w:t>
      </w:r>
      <w:r w:rsidR="00136BBA">
        <w:rPr>
          <w:lang w:val="en-GB"/>
        </w:rPr>
        <w:t>;</w:t>
      </w:r>
    </w:p>
    <w:p w14:paraId="5DD6A0BE" w14:textId="01EFFFC2" w:rsidR="00E33DDC" w:rsidRDefault="00F0309B" w:rsidP="004D7BDE">
      <w:pPr>
        <w:pStyle w:val="SingleTxtG"/>
        <w:rPr>
          <w:rFonts w:eastAsia="Times New Roman"/>
          <w:lang w:val="en-GB"/>
        </w:rPr>
      </w:pPr>
      <w:r w:rsidRPr="00AB5A76">
        <w:rPr>
          <w:rFonts w:eastAsia="Times New Roman"/>
          <w:lang w:val="en-GB"/>
        </w:rPr>
        <w:t>6</w:t>
      </w:r>
      <w:r w:rsidR="001B1D28" w:rsidRPr="00AB5A76">
        <w:rPr>
          <w:rFonts w:eastAsia="Times New Roman"/>
          <w:lang w:val="en-GB"/>
        </w:rPr>
        <w:t>.</w:t>
      </w:r>
      <w:r w:rsidR="001B1D28" w:rsidRPr="00AB5A76">
        <w:rPr>
          <w:rFonts w:eastAsia="Times New Roman"/>
          <w:lang w:val="en-GB"/>
        </w:rPr>
        <w:tab/>
      </w:r>
      <w:r w:rsidR="001B1D28" w:rsidRPr="00AB5A76">
        <w:rPr>
          <w:rFonts w:eastAsia="Times New Roman"/>
          <w:b/>
          <w:lang w:val="en-GB"/>
        </w:rPr>
        <w:t>Welcomed</w:t>
      </w:r>
      <w:r w:rsidR="001B1D28" w:rsidRPr="00AB5A76">
        <w:rPr>
          <w:rFonts w:eastAsia="Times New Roman"/>
          <w:lang w:val="en-GB"/>
        </w:rPr>
        <w:t xml:space="preserve"> the discussion on increasing the Committee’s role at the meeting of the Chairs of its working bodies </w:t>
      </w:r>
      <w:r w:rsidR="00153D34" w:rsidRPr="00AB5A76">
        <w:rPr>
          <w:rFonts w:eastAsia="Times New Roman"/>
          <w:lang w:val="en-GB"/>
        </w:rPr>
        <w:t>o</w:t>
      </w:r>
      <w:r w:rsidR="001B1D28" w:rsidRPr="00AB5A76">
        <w:rPr>
          <w:rFonts w:eastAsia="Times New Roman"/>
          <w:lang w:val="en-GB"/>
        </w:rPr>
        <w:t xml:space="preserve">n a rapidly changing global environment. </w:t>
      </w:r>
      <w:r w:rsidR="001B1D28" w:rsidRPr="00AB5A76">
        <w:rPr>
          <w:rFonts w:eastAsia="Times New Roman"/>
          <w:b/>
          <w:lang w:val="en-GB"/>
        </w:rPr>
        <w:t>Considered</w:t>
      </w:r>
      <w:r w:rsidR="001B1D28" w:rsidRPr="00AB5A76">
        <w:rPr>
          <w:rFonts w:eastAsia="Times New Roman"/>
          <w:lang w:val="en-GB"/>
        </w:rPr>
        <w:t xml:space="preserve"> ways to increase the influence of the Committee and its working bodies in addressing current </w:t>
      </w:r>
      <w:r w:rsidR="001B1D28" w:rsidRPr="00AB5A76">
        <w:rPr>
          <w:rFonts w:eastAsia="Times New Roman"/>
          <w:lang w:val="en-GB"/>
        </w:rPr>
        <w:lastRenderedPageBreak/>
        <w:t>challenges and opportunities in a global context</w:t>
      </w:r>
      <w:r w:rsidR="00153D34" w:rsidRPr="00AB5A76">
        <w:rPr>
          <w:rFonts w:eastAsia="Times New Roman"/>
          <w:lang w:val="en-GB"/>
        </w:rPr>
        <w:t>,</w:t>
      </w:r>
      <w:r w:rsidR="001B1D28" w:rsidRPr="00AB5A76">
        <w:rPr>
          <w:rFonts w:eastAsia="Times New Roman"/>
          <w:lang w:val="en-GB"/>
        </w:rPr>
        <w:t xml:space="preserve"> in accordance with the resolution of Ministers of the </w:t>
      </w:r>
      <w:r w:rsidR="00153D34" w:rsidRPr="00AB5A76">
        <w:rPr>
          <w:rFonts w:eastAsia="Times New Roman"/>
          <w:lang w:val="en-GB"/>
        </w:rPr>
        <w:t>seventy-nin</w:t>
      </w:r>
      <w:r w:rsidR="001B1D28" w:rsidRPr="00AB5A76">
        <w:rPr>
          <w:rFonts w:eastAsia="Times New Roman"/>
          <w:lang w:val="en-GB"/>
        </w:rPr>
        <w:t xml:space="preserve">th </w:t>
      </w:r>
      <w:r w:rsidR="00153D34" w:rsidRPr="00AB5A76">
        <w:rPr>
          <w:rFonts w:eastAsia="Times New Roman"/>
          <w:lang w:val="en-GB"/>
        </w:rPr>
        <w:t xml:space="preserve">Committee </w:t>
      </w:r>
      <w:r w:rsidR="001B1D28" w:rsidRPr="00AB5A76">
        <w:rPr>
          <w:rFonts w:eastAsia="Times New Roman"/>
          <w:lang w:val="en-GB"/>
        </w:rPr>
        <w:t xml:space="preserve">session of </w:t>
      </w:r>
      <w:r w:rsidR="001E02E3" w:rsidRPr="00AB5A76">
        <w:rPr>
          <w:rFonts w:eastAsia="Times New Roman"/>
          <w:lang w:val="en-GB"/>
        </w:rPr>
        <w:t>21 February 2017</w:t>
      </w:r>
      <w:r w:rsidR="001B1D28" w:rsidRPr="00AB5A76">
        <w:rPr>
          <w:rFonts w:eastAsia="Times New Roman"/>
          <w:lang w:val="en-GB"/>
        </w:rPr>
        <w:t xml:space="preserve">, including </w:t>
      </w:r>
      <w:r w:rsidR="00153D34" w:rsidRPr="00AB5A76">
        <w:rPr>
          <w:rFonts w:eastAsia="Times New Roman"/>
          <w:lang w:val="en-GB"/>
        </w:rPr>
        <w:t xml:space="preserve">by </w:t>
      </w:r>
      <w:r w:rsidR="001B1D28" w:rsidRPr="00AB5A76">
        <w:rPr>
          <w:rFonts w:eastAsia="Times New Roman"/>
          <w:lang w:val="en-GB"/>
        </w:rPr>
        <w:t xml:space="preserve">inclusion in the </w:t>
      </w:r>
      <w:r w:rsidR="00153D34" w:rsidRPr="00AB5A76">
        <w:rPr>
          <w:rFonts w:eastAsia="Times New Roman"/>
          <w:lang w:val="en-GB"/>
        </w:rPr>
        <w:t xml:space="preserve">terms of reference </w:t>
      </w:r>
      <w:r w:rsidR="001B1D28" w:rsidRPr="00AB5A76">
        <w:rPr>
          <w:rFonts w:eastAsia="Times New Roman"/>
          <w:lang w:val="en-GB"/>
        </w:rPr>
        <w:t xml:space="preserve">of the </w:t>
      </w:r>
      <w:r w:rsidR="00153D34" w:rsidRPr="00AB5A76">
        <w:rPr>
          <w:rFonts w:eastAsia="Times New Roman"/>
          <w:lang w:val="en-GB"/>
        </w:rPr>
        <w:t>W</w:t>
      </w:r>
      <w:r w:rsidR="001B1D28" w:rsidRPr="00AB5A76">
        <w:rPr>
          <w:rFonts w:eastAsia="Times New Roman"/>
          <w:lang w:val="en-GB"/>
        </w:rPr>
        <w:t xml:space="preserve">orking </w:t>
      </w:r>
      <w:r w:rsidR="00153D34" w:rsidRPr="00AB5A76">
        <w:rPr>
          <w:rFonts w:eastAsia="Times New Roman"/>
          <w:lang w:val="en-GB"/>
        </w:rPr>
        <w:t>P</w:t>
      </w:r>
      <w:r w:rsidR="001B1D28" w:rsidRPr="00AB5A76">
        <w:rPr>
          <w:rFonts w:eastAsia="Times New Roman"/>
          <w:lang w:val="en-GB"/>
        </w:rPr>
        <w:t>arties o</w:t>
      </w:r>
      <w:r w:rsidR="00153D34" w:rsidRPr="00AB5A76">
        <w:rPr>
          <w:rFonts w:eastAsia="Times New Roman"/>
          <w:lang w:val="en-GB"/>
        </w:rPr>
        <w:t>n</w:t>
      </w:r>
      <w:r w:rsidR="001B1D28" w:rsidRPr="00AB5A76">
        <w:rPr>
          <w:rFonts w:eastAsia="Times New Roman"/>
          <w:lang w:val="en-GB"/>
        </w:rPr>
        <w:t xml:space="preserve"> issues </w:t>
      </w:r>
      <w:r w:rsidR="00153D34" w:rsidRPr="00AB5A76">
        <w:rPr>
          <w:rFonts w:eastAsia="Times New Roman"/>
          <w:lang w:val="en-GB"/>
        </w:rPr>
        <w:t xml:space="preserve">in </w:t>
      </w:r>
      <w:r w:rsidR="001B1D28" w:rsidRPr="00AB5A76">
        <w:rPr>
          <w:rFonts w:eastAsia="Times New Roman"/>
          <w:lang w:val="en-GB"/>
        </w:rPr>
        <w:t>implement</w:t>
      </w:r>
      <w:r w:rsidR="00153D34" w:rsidRPr="00AB5A76">
        <w:rPr>
          <w:rFonts w:eastAsia="Times New Roman"/>
          <w:lang w:val="en-GB"/>
        </w:rPr>
        <w:t>ing</w:t>
      </w:r>
      <w:r w:rsidR="001B1D28" w:rsidRPr="00AB5A76">
        <w:rPr>
          <w:rFonts w:eastAsia="Times New Roman"/>
          <w:lang w:val="en-GB"/>
        </w:rPr>
        <w:t xml:space="preserve"> transport-oriented sustainable development goals. In this regard, the </w:t>
      </w:r>
      <w:r w:rsidR="00153D34" w:rsidRPr="00AB5A76">
        <w:rPr>
          <w:rFonts w:eastAsia="Times New Roman"/>
          <w:lang w:val="en-GB"/>
        </w:rPr>
        <w:t>W</w:t>
      </w:r>
      <w:r w:rsidR="001B1D28" w:rsidRPr="00AB5A76">
        <w:rPr>
          <w:rFonts w:eastAsia="Times New Roman"/>
          <w:lang w:val="en-GB"/>
        </w:rPr>
        <w:t xml:space="preserve">orking </w:t>
      </w:r>
      <w:r w:rsidR="00153D34" w:rsidRPr="00AB5A76">
        <w:rPr>
          <w:rFonts w:eastAsia="Times New Roman"/>
          <w:lang w:val="en-GB"/>
        </w:rPr>
        <w:t>P</w:t>
      </w:r>
      <w:r w:rsidR="001B1D28" w:rsidRPr="00AB5A76">
        <w:rPr>
          <w:rFonts w:eastAsia="Times New Roman"/>
          <w:lang w:val="en-GB"/>
        </w:rPr>
        <w:t xml:space="preserve">arties should consider </w:t>
      </w:r>
      <w:r w:rsidR="00153D34" w:rsidRPr="00AB5A76">
        <w:rPr>
          <w:rFonts w:eastAsia="Times New Roman"/>
          <w:lang w:val="en-GB"/>
        </w:rPr>
        <w:t>preparing</w:t>
      </w:r>
      <w:r w:rsidR="001B1D28" w:rsidRPr="00AB5A76">
        <w:rPr>
          <w:rFonts w:eastAsia="Times New Roman"/>
          <w:lang w:val="en-GB"/>
        </w:rPr>
        <w:t xml:space="preserve"> contribution</w:t>
      </w:r>
      <w:r w:rsidR="00153D34" w:rsidRPr="00AB5A76">
        <w:rPr>
          <w:rFonts w:eastAsia="Times New Roman"/>
          <w:lang w:val="en-GB"/>
        </w:rPr>
        <w:t>s</w:t>
      </w:r>
      <w:r w:rsidR="001B1D28" w:rsidRPr="00AB5A76">
        <w:rPr>
          <w:rFonts w:eastAsia="Times New Roman"/>
          <w:lang w:val="en-GB"/>
        </w:rPr>
        <w:t xml:space="preserve"> to the draft strategy of the Inland Transport Committee that will be considered by the Committee at its session in 2018, and, if necessary, also road maps for the implementation of </w:t>
      </w:r>
      <w:r w:rsidR="00153D34" w:rsidRPr="00AB5A76">
        <w:rPr>
          <w:rFonts w:eastAsia="Times New Roman"/>
          <w:lang w:val="en-GB"/>
        </w:rPr>
        <w:t>the sustainable development goals</w:t>
      </w:r>
      <w:r w:rsidR="001B1D28" w:rsidRPr="00AB5A76">
        <w:rPr>
          <w:rFonts w:eastAsia="Times New Roman"/>
          <w:lang w:val="en-GB"/>
        </w:rPr>
        <w:t>. To this end</w:t>
      </w:r>
      <w:r w:rsidR="00153D34" w:rsidRPr="00AB5A76">
        <w:rPr>
          <w:rFonts w:eastAsia="Times New Roman"/>
          <w:lang w:val="en-GB"/>
        </w:rPr>
        <w:t>,</w:t>
      </w:r>
      <w:r w:rsidR="001B1D28" w:rsidRPr="00AB5A76">
        <w:rPr>
          <w:rFonts w:eastAsia="Times New Roman"/>
          <w:lang w:val="en-GB"/>
        </w:rPr>
        <w:t xml:space="preserve"> it decided </w:t>
      </w:r>
      <w:r w:rsidR="00153D34" w:rsidRPr="00AB5A76">
        <w:rPr>
          <w:rFonts w:eastAsia="Times New Roman"/>
          <w:lang w:val="en-GB"/>
        </w:rPr>
        <w:t xml:space="preserve">to </w:t>
      </w:r>
      <w:r w:rsidR="001B1D28" w:rsidRPr="00AB5A76">
        <w:rPr>
          <w:rFonts w:eastAsia="Times New Roman"/>
          <w:lang w:val="en-GB"/>
        </w:rPr>
        <w:t>s</w:t>
      </w:r>
      <w:r w:rsidR="001B1D28" w:rsidRPr="00AB5A76">
        <w:rPr>
          <w:lang w:val="en-GB"/>
        </w:rPr>
        <w:t>har</w:t>
      </w:r>
      <w:r w:rsidR="00153D34" w:rsidRPr="00AB5A76">
        <w:rPr>
          <w:lang w:val="en-GB"/>
        </w:rPr>
        <w:t>e</w:t>
      </w:r>
      <w:r w:rsidR="001B1D28" w:rsidRPr="00AB5A76">
        <w:rPr>
          <w:lang w:val="en-GB"/>
        </w:rPr>
        <w:t xml:space="preserve"> the Executive Summary of the Strategy Paper (ECE/TRANS/2017/R.1) with all </w:t>
      </w:r>
      <w:r w:rsidR="00153D34" w:rsidRPr="00AB5A76">
        <w:rPr>
          <w:lang w:val="en-GB"/>
        </w:rPr>
        <w:t xml:space="preserve">the </w:t>
      </w:r>
      <w:r w:rsidR="001B1D28" w:rsidRPr="00AB5A76">
        <w:rPr>
          <w:lang w:val="en-GB"/>
        </w:rPr>
        <w:t>Working Parties</w:t>
      </w:r>
      <w:r w:rsidR="00153D34" w:rsidRPr="00AB5A76">
        <w:rPr>
          <w:lang w:val="en-GB"/>
        </w:rPr>
        <w:t>,</w:t>
      </w:r>
      <w:r w:rsidR="001B1D28" w:rsidRPr="00AB5A76">
        <w:rPr>
          <w:lang w:val="en-GB"/>
        </w:rPr>
        <w:t xml:space="preserve"> and invit</w:t>
      </w:r>
      <w:r w:rsidR="00153D34" w:rsidRPr="00AB5A76">
        <w:rPr>
          <w:lang w:val="en-GB"/>
        </w:rPr>
        <w:t>ed</w:t>
      </w:r>
      <w:r w:rsidR="001B1D28" w:rsidRPr="00AB5A76">
        <w:rPr>
          <w:lang w:val="en-GB"/>
        </w:rPr>
        <w:t xml:space="preserve"> them to submit their comments and recommendations.</w:t>
      </w:r>
      <w:r w:rsidR="00153D34" w:rsidRPr="00AB5A76">
        <w:rPr>
          <w:lang w:val="en-GB"/>
        </w:rPr>
        <w:t xml:space="preserve"> </w:t>
      </w:r>
      <w:r w:rsidR="001B1D28" w:rsidRPr="00AB5A76">
        <w:rPr>
          <w:rFonts w:eastAsia="Times New Roman"/>
          <w:lang w:val="en-GB"/>
        </w:rPr>
        <w:t>Wh</w:t>
      </w:r>
      <w:r w:rsidR="00AB5A76" w:rsidRPr="00AB5A76">
        <w:rPr>
          <w:rFonts w:eastAsia="Times New Roman"/>
          <w:lang w:val="en-GB"/>
        </w:rPr>
        <w:t>en</w:t>
      </w:r>
      <w:r w:rsidR="001B1D28" w:rsidRPr="00AB5A76">
        <w:rPr>
          <w:rFonts w:eastAsia="Times New Roman"/>
          <w:lang w:val="en-GB"/>
        </w:rPr>
        <w:t xml:space="preserve"> </w:t>
      </w:r>
      <w:r w:rsidR="001B1D28" w:rsidRPr="00AB5A76">
        <w:rPr>
          <w:rFonts w:eastAsia="Times New Roman"/>
          <w:cs/>
          <w:lang w:val="en-GB"/>
        </w:rPr>
        <w:t>‎</w:t>
      </w:r>
      <w:r w:rsidR="001B1D28" w:rsidRPr="00AB5A76">
        <w:rPr>
          <w:rFonts w:eastAsia="Times New Roman"/>
          <w:rtl/>
          <w:cs/>
          <w:lang w:val="en-GB"/>
        </w:rPr>
        <w:t>preparing a strategy paper or</w:t>
      </w:r>
      <w:r w:rsidR="001E02E3" w:rsidRPr="00AB5A76">
        <w:rPr>
          <w:rFonts w:eastAsia="Times New Roman"/>
          <w:cs/>
          <w:lang w:val="en-GB"/>
        </w:rPr>
        <w:t xml:space="preserve"> </w:t>
      </w:r>
      <w:r w:rsidR="001B1D28" w:rsidRPr="00AB5A76">
        <w:rPr>
          <w:rFonts w:eastAsia="Times New Roman"/>
          <w:rtl/>
          <w:cs/>
          <w:lang w:val="en-GB"/>
        </w:rPr>
        <w:t xml:space="preserve"> </w:t>
      </w:r>
      <w:r w:rsidR="00700C29">
        <w:rPr>
          <w:rFonts w:eastAsia="Times New Roman"/>
          <w:lang w:val="en-US"/>
        </w:rPr>
        <w:t xml:space="preserve">road </w:t>
      </w:r>
      <w:r w:rsidR="001B1D28" w:rsidRPr="00AB5A76">
        <w:rPr>
          <w:rFonts w:eastAsia="Times New Roman"/>
          <w:cs/>
          <w:lang w:val="en-GB"/>
        </w:rPr>
        <w:t>m</w:t>
      </w:r>
      <w:r w:rsidR="001B1D28" w:rsidRPr="00AB5A76">
        <w:rPr>
          <w:rFonts w:eastAsia="Times New Roman"/>
          <w:rtl/>
          <w:cs/>
          <w:lang w:val="en-GB"/>
        </w:rPr>
        <w:t>ap</w:t>
      </w:r>
      <w:r w:rsidR="001B1D28" w:rsidRPr="00AB5A76">
        <w:rPr>
          <w:rFonts w:eastAsia="Times New Roman"/>
          <w:cs/>
          <w:lang w:val="en-GB"/>
        </w:rPr>
        <w:t>s</w:t>
      </w:r>
      <w:r w:rsidR="001B1D28" w:rsidRPr="00AB5A76">
        <w:rPr>
          <w:rFonts w:eastAsia="Times New Roman"/>
          <w:lang w:val="en-GB"/>
        </w:rPr>
        <w:t xml:space="preserve">, Working Parties should also bear in mind the limited availability of resources and recognize that new activities should be matched by a reduction or discontinuation of one or more </w:t>
      </w:r>
      <w:r w:rsidR="00153D34" w:rsidRPr="00AB5A76">
        <w:rPr>
          <w:rFonts w:eastAsia="Times New Roman"/>
          <w:lang w:val="en-GB"/>
        </w:rPr>
        <w:t xml:space="preserve">activities, unless </w:t>
      </w:r>
      <w:r w:rsidR="00153D34" w:rsidRPr="00AB5A76">
        <w:rPr>
          <w:lang w:val="en-GB"/>
        </w:rPr>
        <w:t>extrabudgetary</w:t>
      </w:r>
      <w:r w:rsidR="001B1D28" w:rsidRPr="00AB5A76">
        <w:rPr>
          <w:rFonts w:eastAsia="Times New Roman"/>
          <w:lang w:val="en-GB"/>
        </w:rPr>
        <w:t xml:space="preserve"> fund</w:t>
      </w:r>
      <w:r w:rsidR="001E02E3" w:rsidRPr="00AB5A76">
        <w:rPr>
          <w:rFonts w:eastAsia="Times New Roman"/>
          <w:lang w:val="en-GB"/>
        </w:rPr>
        <w:t>ing is m</w:t>
      </w:r>
      <w:r w:rsidR="001B1D28" w:rsidRPr="00AB5A76">
        <w:rPr>
          <w:rFonts w:eastAsia="Times New Roman"/>
          <w:lang w:val="en-GB"/>
        </w:rPr>
        <w:t>ade available</w:t>
      </w:r>
      <w:r w:rsidR="00E33DDC">
        <w:rPr>
          <w:rFonts w:eastAsia="Times New Roman"/>
          <w:lang w:val="en-GB"/>
        </w:rPr>
        <w:t>;</w:t>
      </w:r>
    </w:p>
    <w:p w14:paraId="3D85B914" w14:textId="0B65BA4B" w:rsidR="006D0E2D" w:rsidRPr="00AB5A76" w:rsidRDefault="00F0309B" w:rsidP="009F271A">
      <w:pPr>
        <w:pStyle w:val="SingleTxtG"/>
        <w:rPr>
          <w:lang w:val="en-GB"/>
        </w:rPr>
      </w:pPr>
      <w:r w:rsidRPr="00E8561E">
        <w:rPr>
          <w:lang w:val="en-GB"/>
        </w:rPr>
        <w:t>7</w:t>
      </w:r>
      <w:r w:rsidR="00256A31" w:rsidRPr="00E8561E">
        <w:rPr>
          <w:lang w:val="en-GB"/>
        </w:rPr>
        <w:t xml:space="preserve">. </w:t>
      </w:r>
      <w:r w:rsidR="00E8561E">
        <w:rPr>
          <w:b/>
          <w:lang w:val="en-GB"/>
        </w:rPr>
        <w:tab/>
      </w:r>
      <w:r w:rsidR="00256A31" w:rsidRPr="00AB5A76">
        <w:rPr>
          <w:b/>
          <w:bCs/>
          <w:lang w:val="en-GB"/>
        </w:rPr>
        <w:t>Noted the importance</w:t>
      </w:r>
      <w:r w:rsidR="00256A31" w:rsidRPr="00AB5A76">
        <w:rPr>
          <w:lang w:val="en-GB"/>
        </w:rPr>
        <w:t xml:space="preserve"> of a solid regulatory framework for </w:t>
      </w:r>
      <w:r w:rsidR="00153D34" w:rsidRPr="00AB5A76">
        <w:rPr>
          <w:lang w:val="en-GB"/>
        </w:rPr>
        <w:t xml:space="preserve">an international </w:t>
      </w:r>
      <w:r w:rsidR="00256A31" w:rsidRPr="00AB5A76">
        <w:rPr>
          <w:lang w:val="en-GB"/>
        </w:rPr>
        <w:t>inland transport, especially in light of the Sustainable Development Goals, by promoting the acceleration of accessions to and strengthening the implementation of United Nations transport conventions and agreements under the purview of the Committee</w:t>
      </w:r>
      <w:r w:rsidR="00162038">
        <w:rPr>
          <w:lang w:val="en-GB"/>
        </w:rPr>
        <w:t>;</w:t>
      </w:r>
      <w:r w:rsidR="00256A31" w:rsidRPr="00AB5A76">
        <w:rPr>
          <w:lang w:val="en-GB"/>
        </w:rPr>
        <w:t xml:space="preserve"> </w:t>
      </w:r>
    </w:p>
    <w:p w14:paraId="0A521FED" w14:textId="793331D3" w:rsidR="00E46973" w:rsidRPr="00AB5A76" w:rsidRDefault="00F0309B" w:rsidP="009F271A">
      <w:pPr>
        <w:pStyle w:val="SingleTxtG"/>
        <w:rPr>
          <w:lang w:val="en-GB"/>
        </w:rPr>
      </w:pPr>
      <w:r w:rsidRPr="00E8561E">
        <w:rPr>
          <w:lang w:val="en-GB"/>
        </w:rPr>
        <w:t>8</w:t>
      </w:r>
      <w:r w:rsidR="00E46973" w:rsidRPr="00E8561E">
        <w:rPr>
          <w:lang w:val="en-GB"/>
        </w:rPr>
        <w:t>.</w:t>
      </w:r>
      <w:r w:rsidR="00E46973" w:rsidRPr="00E8561E">
        <w:rPr>
          <w:lang w:val="en-GB"/>
        </w:rPr>
        <w:tab/>
      </w:r>
      <w:r w:rsidR="00E46973" w:rsidRPr="00AB5A76">
        <w:rPr>
          <w:lang w:val="en-GB"/>
        </w:rPr>
        <w:t xml:space="preserve">To accomplish that, </w:t>
      </w:r>
      <w:r w:rsidR="00E46973" w:rsidRPr="00AB5A76">
        <w:rPr>
          <w:b/>
          <w:lang w:val="en-GB"/>
        </w:rPr>
        <w:t>invited</w:t>
      </w:r>
      <w:r w:rsidR="00E46973" w:rsidRPr="00AB5A76">
        <w:rPr>
          <w:lang w:val="en-GB"/>
        </w:rPr>
        <w:t xml:space="preserve"> countries, which have not yet done so, to accede to the United Nations conventions and other legal instruments in inland transport administered by the Committee and its subsidiary bodies. </w:t>
      </w:r>
      <w:r w:rsidR="002657B4" w:rsidRPr="00AB5A76">
        <w:rPr>
          <w:b/>
          <w:lang w:val="en-GB"/>
        </w:rPr>
        <w:t>N</w:t>
      </w:r>
      <w:r w:rsidR="00E46973" w:rsidRPr="00AB5A76">
        <w:rPr>
          <w:b/>
          <w:lang w:val="en-GB"/>
        </w:rPr>
        <w:t>ot</w:t>
      </w:r>
      <w:r w:rsidR="002657B4" w:rsidRPr="00AB5A76">
        <w:rPr>
          <w:b/>
          <w:lang w:val="en-GB"/>
        </w:rPr>
        <w:t>ed</w:t>
      </w:r>
      <w:r w:rsidR="00E46973" w:rsidRPr="00AB5A76">
        <w:rPr>
          <w:b/>
          <w:lang w:val="en-GB"/>
        </w:rPr>
        <w:t xml:space="preserve"> with satisfaction</w:t>
      </w:r>
      <w:r w:rsidR="00E46973" w:rsidRPr="00AB5A76">
        <w:rPr>
          <w:lang w:val="en-GB"/>
        </w:rPr>
        <w:t xml:space="preserve"> the United Nations Special Envoy for Road Safety’s positive impact on raising awareness about the</w:t>
      </w:r>
      <w:r w:rsidR="00162038">
        <w:rPr>
          <w:lang w:val="en-GB"/>
        </w:rPr>
        <w:t xml:space="preserve"> road safety legal instruments;</w:t>
      </w:r>
    </w:p>
    <w:p w14:paraId="49CD3336" w14:textId="79F5CB8B" w:rsidR="009B0C55" w:rsidRPr="00AB5A76" w:rsidRDefault="00F0309B" w:rsidP="009F271A">
      <w:pPr>
        <w:pStyle w:val="SingleTxtG"/>
        <w:rPr>
          <w:lang w:val="en-GB"/>
        </w:rPr>
      </w:pPr>
      <w:r w:rsidRPr="00E8561E">
        <w:rPr>
          <w:lang w:val="en-GB"/>
        </w:rPr>
        <w:t>9</w:t>
      </w:r>
      <w:r w:rsidR="009B0C55" w:rsidRPr="00E8561E">
        <w:rPr>
          <w:lang w:val="en-GB"/>
        </w:rPr>
        <w:t>.</w:t>
      </w:r>
      <w:r w:rsidR="009B0C55" w:rsidRPr="00E8561E">
        <w:rPr>
          <w:lang w:val="en-GB"/>
        </w:rPr>
        <w:tab/>
        <w:t>On</w:t>
      </w:r>
      <w:r w:rsidR="009B0C55" w:rsidRPr="00AB5A76">
        <w:rPr>
          <w:lang w:val="en-GB"/>
        </w:rPr>
        <w:t>ce again</w:t>
      </w:r>
      <w:r w:rsidR="002657B4" w:rsidRPr="00AB5A76">
        <w:rPr>
          <w:lang w:val="en-GB"/>
        </w:rPr>
        <w:t>,</w:t>
      </w:r>
      <w:r w:rsidR="009B0C55" w:rsidRPr="00AB5A76">
        <w:rPr>
          <w:lang w:val="en-GB"/>
        </w:rPr>
        <w:t xml:space="preserve"> </w:t>
      </w:r>
      <w:r w:rsidR="009B0C55" w:rsidRPr="00AB5A76">
        <w:rPr>
          <w:b/>
          <w:lang w:val="en-GB"/>
        </w:rPr>
        <w:t>expressed appreciation</w:t>
      </w:r>
      <w:r w:rsidR="009B0C55" w:rsidRPr="00AB5A76">
        <w:rPr>
          <w:lang w:val="en-GB"/>
        </w:rPr>
        <w:t xml:space="preserve"> and support for the analytical work carried out within WP.5 and the </w:t>
      </w:r>
      <w:r w:rsidR="002657B4" w:rsidRPr="00AB5A76">
        <w:rPr>
          <w:lang w:val="en-GB"/>
        </w:rPr>
        <w:t xml:space="preserve">Division </w:t>
      </w:r>
      <w:r w:rsidR="009B0C55" w:rsidRPr="00AB5A76">
        <w:rPr>
          <w:lang w:val="en-GB"/>
        </w:rPr>
        <w:t xml:space="preserve">as a whole, and requested WP.5 to consider matters of linkages between transport and urban development, including appropriate changes to the </w:t>
      </w:r>
      <w:r w:rsidR="002657B4" w:rsidRPr="00AB5A76">
        <w:rPr>
          <w:lang w:val="en-GB"/>
        </w:rPr>
        <w:t>p</w:t>
      </w:r>
      <w:r w:rsidR="00B85F08" w:rsidRPr="00AB5A76">
        <w:rPr>
          <w:lang w:val="en-GB"/>
        </w:rPr>
        <w:t xml:space="preserve">rogramme of </w:t>
      </w:r>
      <w:r w:rsidR="002657B4" w:rsidRPr="00AB5A76">
        <w:rPr>
          <w:lang w:val="en-GB"/>
        </w:rPr>
        <w:t>w</w:t>
      </w:r>
      <w:r w:rsidR="00B85F08" w:rsidRPr="00AB5A76">
        <w:rPr>
          <w:lang w:val="en-GB"/>
        </w:rPr>
        <w:t>ork</w:t>
      </w:r>
      <w:r w:rsidR="009B0C55" w:rsidRPr="00AB5A76">
        <w:rPr>
          <w:lang w:val="en-GB"/>
        </w:rPr>
        <w:t xml:space="preserve"> of WP.5 and to continue active consideration of matters rela</w:t>
      </w:r>
      <w:r w:rsidR="00162038">
        <w:rPr>
          <w:lang w:val="en-GB"/>
        </w:rPr>
        <w:t>ted to participation in THE PEP;</w:t>
      </w:r>
    </w:p>
    <w:p w14:paraId="60AA4BA1" w14:textId="6F335DDC" w:rsidR="00136BBA" w:rsidRDefault="00F0309B" w:rsidP="009F271A">
      <w:pPr>
        <w:pStyle w:val="SingleTxtG"/>
        <w:rPr>
          <w:rFonts w:eastAsia="Calibri"/>
          <w:u w:color="000000"/>
          <w:lang w:val="en-GB"/>
        </w:rPr>
      </w:pPr>
      <w:r w:rsidRPr="00AB5A76">
        <w:rPr>
          <w:lang w:val="en-GB"/>
        </w:rPr>
        <w:t>10</w:t>
      </w:r>
      <w:r w:rsidR="00B9654D" w:rsidRPr="00AB5A76">
        <w:rPr>
          <w:rFonts w:eastAsia="Calibri"/>
          <w:b/>
          <w:u w:color="000000"/>
          <w:lang w:val="en-GB"/>
        </w:rPr>
        <w:t>.</w:t>
      </w:r>
      <w:r w:rsidR="00B9654D" w:rsidRPr="00AB5A76">
        <w:rPr>
          <w:rFonts w:eastAsia="Calibri"/>
          <w:b/>
          <w:u w:color="000000"/>
          <w:lang w:val="en-GB"/>
        </w:rPr>
        <w:tab/>
      </w:r>
      <w:r w:rsidR="00B9654D" w:rsidRPr="00AB5A76">
        <w:rPr>
          <w:rFonts w:eastAsia="Calibri"/>
          <w:u w:color="000000"/>
          <w:lang w:val="en-GB"/>
        </w:rPr>
        <w:t xml:space="preserve">In line with the Ministerial Declaration, </w:t>
      </w:r>
      <w:r w:rsidR="002657B4" w:rsidRPr="00AB5A76">
        <w:rPr>
          <w:rFonts w:eastAsia="Calibri"/>
          <w:u w:color="000000"/>
          <w:lang w:val="en-GB"/>
        </w:rPr>
        <w:t xml:space="preserve">the Committee </w:t>
      </w:r>
      <w:r w:rsidR="00B9654D" w:rsidRPr="00AB5A76">
        <w:rPr>
          <w:rFonts w:eastAsia="Calibri"/>
          <w:u w:color="000000"/>
          <w:lang w:val="en-GB"/>
        </w:rPr>
        <w:t xml:space="preserve">decided </w:t>
      </w:r>
      <w:r w:rsidR="00B9654D" w:rsidRPr="00AB5A76">
        <w:rPr>
          <w:rFonts w:eastAsia="Calibri"/>
          <w:b/>
          <w:u w:color="000000"/>
          <w:lang w:val="en-GB"/>
        </w:rPr>
        <w:t>to strengthen</w:t>
      </w:r>
      <w:r w:rsidR="00F85D42" w:rsidRPr="00AB5A76">
        <w:rPr>
          <w:rFonts w:eastAsia="Calibri"/>
          <w:b/>
          <w:u w:color="000000"/>
          <w:lang w:val="en-GB"/>
        </w:rPr>
        <w:t>,</w:t>
      </w:r>
      <w:r w:rsidR="00F85D42" w:rsidRPr="00AB5A76">
        <w:rPr>
          <w:rFonts w:eastAsia="Calibri"/>
          <w:u w:color="000000"/>
          <w:lang w:val="en-GB"/>
        </w:rPr>
        <w:t xml:space="preserve"> within the existing resources,</w:t>
      </w:r>
      <w:r w:rsidR="00B9654D" w:rsidRPr="00AB5A76">
        <w:rPr>
          <w:rFonts w:eastAsia="Calibri"/>
          <w:u w:color="000000"/>
          <w:lang w:val="en-GB"/>
        </w:rPr>
        <w:t xml:space="preserve"> its contribution </w:t>
      </w:r>
      <w:r w:rsidR="002657B4" w:rsidRPr="00AB5A76">
        <w:rPr>
          <w:rFonts w:eastAsia="Calibri"/>
          <w:u w:color="000000"/>
          <w:lang w:val="en-GB"/>
        </w:rPr>
        <w:t xml:space="preserve">to </w:t>
      </w:r>
      <w:r w:rsidR="00B9654D" w:rsidRPr="00AB5A76">
        <w:rPr>
          <w:rFonts w:eastAsia="Calibri"/>
          <w:u w:color="000000"/>
          <w:lang w:val="en-GB"/>
        </w:rPr>
        <w:t xml:space="preserve">implement the transport-related targets of the 2030 Agenda, the Paris Agreement and the New Urban Agenda, the </w:t>
      </w:r>
      <w:r w:rsidR="002657B4" w:rsidRPr="00AB5A76">
        <w:rPr>
          <w:lang w:val="en-GB"/>
        </w:rPr>
        <w:t>Sustainable Development Goals,</w:t>
      </w:r>
      <w:r w:rsidR="002657B4" w:rsidRPr="00AB5A76">
        <w:rPr>
          <w:rFonts w:eastAsia="Calibri"/>
          <w:u w:color="000000"/>
          <w:lang w:val="en-GB"/>
        </w:rPr>
        <w:t xml:space="preserve"> </w:t>
      </w:r>
      <w:r w:rsidR="00B9654D" w:rsidRPr="00AB5A76">
        <w:rPr>
          <w:rFonts w:eastAsia="Calibri"/>
          <w:u w:color="000000"/>
          <w:lang w:val="en-GB"/>
        </w:rPr>
        <w:t xml:space="preserve">and </w:t>
      </w:r>
      <w:r w:rsidR="002657B4" w:rsidRPr="00AB5A76">
        <w:rPr>
          <w:rFonts w:eastAsia="Calibri"/>
          <w:u w:color="000000"/>
          <w:lang w:val="en-GB"/>
        </w:rPr>
        <w:t xml:space="preserve">(a) </w:t>
      </w:r>
      <w:r w:rsidR="00B9654D" w:rsidRPr="00AB5A76">
        <w:rPr>
          <w:rFonts w:eastAsia="Calibri"/>
          <w:b/>
          <w:u w:color="000000"/>
          <w:lang w:val="en-GB"/>
        </w:rPr>
        <w:t>requested</w:t>
      </w:r>
      <w:r w:rsidR="00B9654D" w:rsidRPr="00AB5A76">
        <w:rPr>
          <w:rFonts w:eastAsia="Calibri"/>
          <w:u w:color="000000"/>
          <w:lang w:val="en-GB"/>
        </w:rPr>
        <w:t xml:space="preserve"> its subsidiary bodies</w:t>
      </w:r>
      <w:r w:rsidR="002657B4" w:rsidRPr="00AB5A76">
        <w:rPr>
          <w:rFonts w:eastAsia="Calibri"/>
          <w:u w:color="000000"/>
          <w:lang w:val="en-GB"/>
        </w:rPr>
        <w:t xml:space="preserve"> </w:t>
      </w:r>
      <w:r w:rsidR="00B9654D" w:rsidRPr="00AB5A76">
        <w:rPr>
          <w:rFonts w:eastAsia="Calibri"/>
          <w:u w:color="000000"/>
          <w:lang w:val="en-GB"/>
        </w:rPr>
        <w:t xml:space="preserve">to </w:t>
      </w:r>
      <w:r w:rsidR="002657B4" w:rsidRPr="00AB5A76">
        <w:rPr>
          <w:rFonts w:eastAsia="Calibri"/>
          <w:u w:color="000000"/>
          <w:lang w:val="en-GB"/>
        </w:rPr>
        <w:t xml:space="preserve">(i) </w:t>
      </w:r>
      <w:r w:rsidR="00B9654D" w:rsidRPr="00AB5A76">
        <w:rPr>
          <w:rFonts w:eastAsia="Calibri"/>
          <w:u w:color="000000"/>
          <w:lang w:val="en-GB"/>
        </w:rPr>
        <w:t xml:space="preserve">align </w:t>
      </w:r>
      <w:r w:rsidR="002657B4" w:rsidRPr="00AB5A76">
        <w:rPr>
          <w:rFonts w:eastAsia="Calibri"/>
          <w:u w:color="000000"/>
          <w:lang w:val="en-GB"/>
        </w:rPr>
        <w:t xml:space="preserve">the </w:t>
      </w:r>
      <w:r w:rsidR="00B9654D" w:rsidRPr="00AB5A76">
        <w:rPr>
          <w:rFonts w:eastAsia="Calibri"/>
          <w:u w:color="000000"/>
          <w:lang w:val="en-GB"/>
        </w:rPr>
        <w:t>work accordingly (</w:t>
      </w:r>
      <w:r w:rsidR="002657B4" w:rsidRPr="00AB5A76">
        <w:rPr>
          <w:rFonts w:eastAsia="Calibri"/>
          <w:u w:color="000000"/>
          <w:lang w:val="en-GB"/>
        </w:rPr>
        <w:t>ii</w:t>
      </w:r>
      <w:r w:rsidR="00B9654D" w:rsidRPr="00AB5A76">
        <w:rPr>
          <w:rFonts w:eastAsia="Calibri"/>
          <w:u w:color="000000"/>
          <w:lang w:val="en-GB"/>
        </w:rPr>
        <w:t>) further discuss, analyse and</w:t>
      </w:r>
      <w:r w:rsidR="002657B4" w:rsidRPr="00AB5A76">
        <w:rPr>
          <w:rFonts w:eastAsia="Calibri"/>
          <w:u w:color="000000"/>
          <w:lang w:val="en-GB"/>
        </w:rPr>
        <w:t>,</w:t>
      </w:r>
      <w:r w:rsidR="00B9654D" w:rsidRPr="00AB5A76">
        <w:rPr>
          <w:rFonts w:eastAsia="Calibri"/>
          <w:u w:color="000000"/>
          <w:lang w:val="en-GB"/>
        </w:rPr>
        <w:t xml:space="preserve"> if possible</w:t>
      </w:r>
      <w:r w:rsidR="002657B4" w:rsidRPr="00AB5A76">
        <w:rPr>
          <w:rFonts w:eastAsia="Calibri"/>
          <w:u w:color="000000"/>
          <w:lang w:val="en-GB"/>
        </w:rPr>
        <w:t>,</w:t>
      </w:r>
      <w:r w:rsidR="00B9654D" w:rsidRPr="00AB5A76">
        <w:rPr>
          <w:rFonts w:eastAsia="Calibri"/>
          <w:u w:color="000000"/>
          <w:lang w:val="en-GB"/>
        </w:rPr>
        <w:t xml:space="preserve"> </w:t>
      </w:r>
      <w:r w:rsidR="002657B4" w:rsidRPr="00AB5A76">
        <w:rPr>
          <w:rFonts w:eastAsia="Calibri"/>
          <w:u w:color="000000"/>
          <w:lang w:val="en-GB"/>
        </w:rPr>
        <w:t>p</w:t>
      </w:r>
      <w:r w:rsidR="00B9654D" w:rsidRPr="00AB5A76">
        <w:rPr>
          <w:rFonts w:eastAsia="Calibri"/>
          <w:u w:color="000000"/>
          <w:lang w:val="en-GB"/>
        </w:rPr>
        <w:t xml:space="preserve">repare a road map on </w:t>
      </w:r>
      <w:r w:rsidR="002657B4" w:rsidRPr="00AB5A76">
        <w:rPr>
          <w:rFonts w:eastAsia="Calibri"/>
          <w:u w:color="000000"/>
          <w:lang w:val="en-GB"/>
        </w:rPr>
        <w:t xml:space="preserve">the </w:t>
      </w:r>
      <w:r w:rsidR="00B9654D" w:rsidRPr="00AB5A76">
        <w:rPr>
          <w:rFonts w:eastAsia="Calibri"/>
          <w:u w:color="000000"/>
          <w:lang w:val="en-GB"/>
        </w:rPr>
        <w:t>contribution</w:t>
      </w:r>
      <w:r w:rsidR="002657B4" w:rsidRPr="00AB5A76">
        <w:rPr>
          <w:rFonts w:eastAsia="Calibri"/>
          <w:u w:color="000000"/>
          <w:lang w:val="en-GB"/>
        </w:rPr>
        <w:t>s</w:t>
      </w:r>
      <w:r w:rsidR="00B9654D" w:rsidRPr="00AB5A76">
        <w:rPr>
          <w:rFonts w:eastAsia="Calibri"/>
          <w:u w:color="000000"/>
          <w:lang w:val="en-GB"/>
        </w:rPr>
        <w:t xml:space="preserve"> </w:t>
      </w:r>
      <w:r w:rsidR="002657B4" w:rsidRPr="00AB5A76">
        <w:rPr>
          <w:rFonts w:eastAsia="Calibri"/>
          <w:u w:color="000000"/>
          <w:lang w:val="en-GB"/>
        </w:rPr>
        <w:t xml:space="preserve">of member States </w:t>
      </w:r>
      <w:r w:rsidR="00B9654D" w:rsidRPr="00AB5A76">
        <w:rPr>
          <w:rFonts w:eastAsia="Calibri"/>
          <w:u w:color="000000"/>
          <w:lang w:val="en-GB"/>
        </w:rPr>
        <w:t>in implementing the 2030 Agenda and report back to Committee</w:t>
      </w:r>
      <w:r w:rsidR="002657B4" w:rsidRPr="00AB5A76">
        <w:rPr>
          <w:rFonts w:eastAsia="Calibri"/>
          <w:u w:color="000000"/>
          <w:lang w:val="en-GB"/>
        </w:rPr>
        <w:t>,</w:t>
      </w:r>
      <w:r w:rsidR="00B9654D" w:rsidRPr="00AB5A76">
        <w:rPr>
          <w:rFonts w:eastAsia="Calibri"/>
          <w:u w:color="000000"/>
          <w:lang w:val="en-GB"/>
        </w:rPr>
        <w:t xml:space="preserve"> and (</w:t>
      </w:r>
      <w:r w:rsidR="004D15DD">
        <w:rPr>
          <w:rFonts w:eastAsia="Calibri"/>
          <w:u w:color="000000"/>
          <w:lang w:val="en-GB"/>
        </w:rPr>
        <w:t>b</w:t>
      </w:r>
      <w:r w:rsidR="00B9654D" w:rsidRPr="00AB5A76">
        <w:rPr>
          <w:rFonts w:eastAsia="Calibri"/>
          <w:u w:color="000000"/>
          <w:lang w:val="en-GB"/>
        </w:rPr>
        <w:t xml:space="preserve">) </w:t>
      </w:r>
      <w:r w:rsidR="00B9654D" w:rsidRPr="00AB5A76">
        <w:rPr>
          <w:b/>
          <w:lang w:val="en-GB"/>
        </w:rPr>
        <w:t>encourage</w:t>
      </w:r>
      <w:r w:rsidR="002657B4" w:rsidRPr="00AB5A76">
        <w:rPr>
          <w:b/>
          <w:lang w:val="en-GB"/>
        </w:rPr>
        <w:t>d</w:t>
      </w:r>
      <w:r w:rsidR="00B9654D" w:rsidRPr="00AB5A76">
        <w:rPr>
          <w:b/>
          <w:lang w:val="en-GB"/>
        </w:rPr>
        <w:t xml:space="preserve"> </w:t>
      </w:r>
      <w:r w:rsidR="00B9654D" w:rsidRPr="00AB5A76">
        <w:rPr>
          <w:lang w:val="en-GB"/>
        </w:rPr>
        <w:t xml:space="preserve">member States to follow up with the national coordinators </w:t>
      </w:r>
      <w:r w:rsidR="002657B4" w:rsidRPr="00AB5A76">
        <w:rPr>
          <w:lang w:val="en-GB"/>
        </w:rPr>
        <w:t>of the 2030 Agenda</w:t>
      </w:r>
      <w:r w:rsidR="00136BBA">
        <w:rPr>
          <w:rFonts w:eastAsia="Calibri"/>
          <w:u w:color="000000"/>
          <w:lang w:val="en-GB"/>
        </w:rPr>
        <w:t>;</w:t>
      </w:r>
    </w:p>
    <w:p w14:paraId="0AA2CC9B" w14:textId="0F3E3600" w:rsidR="00D91E4D" w:rsidRPr="00AB5A76" w:rsidRDefault="00F0309B" w:rsidP="00D91E4D">
      <w:pPr>
        <w:pStyle w:val="SingleTxtG"/>
        <w:rPr>
          <w:lang w:val="en-GB"/>
        </w:rPr>
      </w:pPr>
      <w:r w:rsidRPr="00AB5A76">
        <w:rPr>
          <w:lang w:val="en-GB"/>
        </w:rPr>
        <w:t>11</w:t>
      </w:r>
      <w:r w:rsidR="00D91E4D" w:rsidRPr="00AB5A76">
        <w:rPr>
          <w:lang w:val="en-GB"/>
        </w:rPr>
        <w:t>.</w:t>
      </w:r>
      <w:r w:rsidR="00D91E4D" w:rsidRPr="00AB5A76">
        <w:rPr>
          <w:lang w:val="en-GB"/>
        </w:rPr>
        <w:tab/>
      </w:r>
      <w:r w:rsidR="00E96AEE" w:rsidRPr="00AB5A76">
        <w:rPr>
          <w:b/>
          <w:lang w:val="en-GB"/>
        </w:rPr>
        <w:t>Requested</w:t>
      </w:r>
      <w:r w:rsidR="00E96AEE" w:rsidRPr="00AB5A76">
        <w:rPr>
          <w:lang w:val="en-GB"/>
        </w:rPr>
        <w:t xml:space="preserve"> the secretariat to carry out more effective fund-raising in </w:t>
      </w:r>
      <w:r w:rsidR="00D91E4D" w:rsidRPr="00AB5A76">
        <w:rPr>
          <w:lang w:val="en-GB"/>
        </w:rPr>
        <w:t xml:space="preserve">support </w:t>
      </w:r>
      <w:r w:rsidR="007F7DD9" w:rsidRPr="00AB5A76">
        <w:rPr>
          <w:lang w:val="en-GB"/>
        </w:rPr>
        <w:t xml:space="preserve">of </w:t>
      </w:r>
      <w:r w:rsidR="002657B4" w:rsidRPr="00AB5A76">
        <w:rPr>
          <w:lang w:val="en-GB"/>
        </w:rPr>
        <w:t xml:space="preserve">a </w:t>
      </w:r>
      <w:r w:rsidR="007F7DD9" w:rsidRPr="00AB5A76">
        <w:rPr>
          <w:lang w:val="en-GB"/>
        </w:rPr>
        <w:t>wide</w:t>
      </w:r>
      <w:r w:rsidR="002657B4" w:rsidRPr="00AB5A76">
        <w:rPr>
          <w:lang w:val="en-GB"/>
        </w:rPr>
        <w:t>r</w:t>
      </w:r>
      <w:r w:rsidR="00E96AEE" w:rsidRPr="00AB5A76">
        <w:rPr>
          <w:lang w:val="en-GB"/>
        </w:rPr>
        <w:t xml:space="preserve"> use </w:t>
      </w:r>
      <w:r w:rsidR="007F7DD9" w:rsidRPr="00AB5A76">
        <w:rPr>
          <w:lang w:val="en-GB"/>
        </w:rPr>
        <w:t>and further</w:t>
      </w:r>
      <w:r w:rsidR="00D91E4D" w:rsidRPr="00AB5A76">
        <w:rPr>
          <w:lang w:val="en-GB"/>
        </w:rPr>
        <w:t xml:space="preserve"> </w:t>
      </w:r>
      <w:r w:rsidR="00E96AEE" w:rsidRPr="00AB5A76">
        <w:rPr>
          <w:lang w:val="en-GB"/>
        </w:rPr>
        <w:t xml:space="preserve">development </w:t>
      </w:r>
      <w:r w:rsidR="007F7DD9" w:rsidRPr="00AB5A76">
        <w:rPr>
          <w:lang w:val="en-GB"/>
        </w:rPr>
        <w:t>of ForFITS</w:t>
      </w:r>
      <w:r w:rsidR="008C1682" w:rsidRPr="00AB5A76">
        <w:rPr>
          <w:lang w:val="en-GB"/>
        </w:rPr>
        <w:t>;</w:t>
      </w:r>
    </w:p>
    <w:p w14:paraId="229012C7" w14:textId="369F9126" w:rsidR="00CE2862" w:rsidRPr="00AB5A76" w:rsidRDefault="00F0309B" w:rsidP="00C47FAF">
      <w:pPr>
        <w:pStyle w:val="SingleTxtG"/>
        <w:rPr>
          <w:rFonts w:eastAsia="Times New Roman"/>
          <w:lang w:val="en-GB"/>
        </w:rPr>
      </w:pPr>
      <w:r w:rsidRPr="00AB5A76">
        <w:rPr>
          <w:lang w:val="en-GB"/>
        </w:rPr>
        <w:t>12</w:t>
      </w:r>
      <w:r w:rsidR="00D91E4D" w:rsidRPr="00AB5A76">
        <w:rPr>
          <w:lang w:val="en-GB"/>
        </w:rPr>
        <w:t>.</w:t>
      </w:r>
      <w:r w:rsidR="00D91E4D" w:rsidRPr="00AB5A76">
        <w:rPr>
          <w:lang w:val="en-GB"/>
        </w:rPr>
        <w:tab/>
      </w:r>
      <w:r w:rsidR="00D91E4D" w:rsidRPr="00AB5A76">
        <w:rPr>
          <w:b/>
          <w:lang w:val="en-GB"/>
        </w:rPr>
        <w:t>Expressed its continued support</w:t>
      </w:r>
      <w:r w:rsidR="00D91E4D" w:rsidRPr="00AB5A76">
        <w:rPr>
          <w:lang w:val="en-GB"/>
        </w:rPr>
        <w:t xml:space="preserve"> for cooperation between the ECE Environment and Sustainable Transport Divisions on Environmental Performance Reviews</w:t>
      </w:r>
      <w:r w:rsidR="0056555A" w:rsidRPr="00AB5A76">
        <w:rPr>
          <w:lang w:val="en-GB"/>
        </w:rPr>
        <w:t>;</w:t>
      </w:r>
      <w:r w:rsidR="00D91E4D" w:rsidRPr="00AB5A76">
        <w:rPr>
          <w:lang w:val="en-GB"/>
        </w:rPr>
        <w:t xml:space="preserve"> </w:t>
      </w:r>
      <w:r w:rsidR="00D91E4D" w:rsidRPr="00AB5A76">
        <w:rPr>
          <w:b/>
          <w:lang w:val="en-GB"/>
        </w:rPr>
        <w:t>welcomed</w:t>
      </w:r>
      <w:r w:rsidR="00D91E4D" w:rsidRPr="00AB5A76">
        <w:rPr>
          <w:lang w:val="en-GB"/>
        </w:rPr>
        <w:t xml:space="preserve">, as part of the third </w:t>
      </w:r>
      <w:r w:rsidR="00086148" w:rsidRPr="00AB5A76">
        <w:rPr>
          <w:lang w:val="en-GB"/>
        </w:rPr>
        <w:t xml:space="preserve">review </w:t>
      </w:r>
      <w:r w:rsidR="00D91E4D" w:rsidRPr="00AB5A76">
        <w:rPr>
          <w:lang w:val="en-GB"/>
        </w:rPr>
        <w:t>of Tajikistan, the chapter on Transport and Environment that had been prepared by Sustainable Transport Division staff</w:t>
      </w:r>
      <w:r w:rsidR="00C47FAF" w:rsidRPr="00AB5A76">
        <w:rPr>
          <w:lang w:val="en-GB"/>
        </w:rPr>
        <w:t>;</w:t>
      </w:r>
      <w:r w:rsidR="00D91E4D" w:rsidRPr="00AB5A76">
        <w:rPr>
          <w:lang w:val="en-GB"/>
        </w:rPr>
        <w:t xml:space="preserve"> </w:t>
      </w:r>
      <w:r w:rsidR="00E96AEE" w:rsidRPr="00AB5A76">
        <w:rPr>
          <w:b/>
          <w:lang w:val="en-GB"/>
        </w:rPr>
        <w:t xml:space="preserve">welcomed </w:t>
      </w:r>
      <w:r w:rsidR="00E96AEE" w:rsidRPr="00AB5A76">
        <w:rPr>
          <w:lang w:val="en-GB"/>
        </w:rPr>
        <w:t xml:space="preserve">also the </w:t>
      </w:r>
      <w:r w:rsidR="002657B4" w:rsidRPr="00AB5A76">
        <w:rPr>
          <w:lang w:val="en-GB"/>
        </w:rPr>
        <w:t>R</w:t>
      </w:r>
      <w:r w:rsidR="00E96AEE" w:rsidRPr="00AB5A76">
        <w:rPr>
          <w:lang w:val="en-GB"/>
        </w:rPr>
        <w:t>eview of Albania;</w:t>
      </w:r>
    </w:p>
    <w:p w14:paraId="0C475432" w14:textId="77777777" w:rsidR="00136BBA" w:rsidRDefault="00F0309B" w:rsidP="009F271A">
      <w:pPr>
        <w:pStyle w:val="SingleTxtG"/>
        <w:rPr>
          <w:lang w:val="en-GB"/>
        </w:rPr>
      </w:pPr>
      <w:r w:rsidRPr="00E8561E">
        <w:rPr>
          <w:lang w:val="en-GB"/>
        </w:rPr>
        <w:t>13</w:t>
      </w:r>
      <w:r w:rsidR="006F37E7" w:rsidRPr="00E8561E">
        <w:rPr>
          <w:lang w:val="en-GB"/>
        </w:rPr>
        <w:t>.</w:t>
      </w:r>
      <w:r w:rsidR="006F37E7" w:rsidRPr="00AB5A76">
        <w:rPr>
          <w:b/>
          <w:lang w:val="en-GB"/>
        </w:rPr>
        <w:tab/>
        <w:t>Welcomed</w:t>
      </w:r>
      <w:r w:rsidR="006F37E7" w:rsidRPr="00AB5A76">
        <w:rPr>
          <w:lang w:val="en-GB"/>
        </w:rPr>
        <w:t xml:space="preserve"> the outcome and recommendations of the U</w:t>
      </w:r>
      <w:r w:rsidR="002657B4" w:rsidRPr="00AB5A76">
        <w:rPr>
          <w:lang w:val="en-GB"/>
        </w:rPr>
        <w:t xml:space="preserve">nited </w:t>
      </w:r>
      <w:r w:rsidR="006F37E7" w:rsidRPr="00AB5A76">
        <w:rPr>
          <w:lang w:val="en-GB"/>
        </w:rPr>
        <w:t>N</w:t>
      </w:r>
      <w:r w:rsidR="002657B4" w:rsidRPr="00AB5A76">
        <w:rPr>
          <w:lang w:val="en-GB"/>
        </w:rPr>
        <w:t>ations</w:t>
      </w:r>
      <w:r w:rsidR="006F37E7" w:rsidRPr="00AB5A76">
        <w:rPr>
          <w:lang w:val="en-GB"/>
        </w:rPr>
        <w:t xml:space="preserve"> Environment - UNECE/IT</w:t>
      </w:r>
      <w:r w:rsidR="00C47FAF" w:rsidRPr="00AB5A76">
        <w:rPr>
          <w:lang w:val="en-GB"/>
        </w:rPr>
        <w:t>C</w:t>
      </w:r>
      <w:r w:rsidR="006F37E7" w:rsidRPr="00AB5A76">
        <w:rPr>
          <w:lang w:val="en-GB"/>
        </w:rPr>
        <w:t xml:space="preserve"> Conference </w:t>
      </w:r>
      <w:r w:rsidR="002657B4" w:rsidRPr="00AB5A76">
        <w:rPr>
          <w:lang w:val="en-GB"/>
        </w:rPr>
        <w:t xml:space="preserve">which </w:t>
      </w:r>
      <w:r w:rsidR="006F37E7" w:rsidRPr="00AB5A76">
        <w:rPr>
          <w:lang w:val="en-GB"/>
        </w:rPr>
        <w:t>address</w:t>
      </w:r>
      <w:r w:rsidR="002657B4" w:rsidRPr="00AB5A76">
        <w:rPr>
          <w:lang w:val="en-GB"/>
        </w:rPr>
        <w:t>ed</w:t>
      </w:r>
      <w:r w:rsidR="006F37E7" w:rsidRPr="00AB5A76">
        <w:rPr>
          <w:lang w:val="en-GB"/>
        </w:rPr>
        <w:t xml:space="preserve"> the impact of used cars on air quality and climate emissions and </w:t>
      </w:r>
      <w:r w:rsidR="006F37E7" w:rsidRPr="00AB5A76">
        <w:rPr>
          <w:b/>
          <w:lang w:val="en-GB"/>
        </w:rPr>
        <w:t>requested</w:t>
      </w:r>
      <w:r w:rsidR="006F37E7" w:rsidRPr="00AB5A76">
        <w:rPr>
          <w:lang w:val="en-GB"/>
        </w:rPr>
        <w:t xml:space="preserve"> ITC and its subsidiary bodies to consider these recommendations and </w:t>
      </w:r>
      <w:r w:rsidR="002657B4" w:rsidRPr="00AB5A76">
        <w:rPr>
          <w:lang w:val="en-GB"/>
        </w:rPr>
        <w:t xml:space="preserve">to </w:t>
      </w:r>
      <w:r w:rsidR="006F37E7" w:rsidRPr="00AB5A76">
        <w:rPr>
          <w:lang w:val="en-GB"/>
        </w:rPr>
        <w:t>follow up towards a harmonized approach to overcome this increasing problem</w:t>
      </w:r>
      <w:r w:rsidR="00136BBA">
        <w:rPr>
          <w:lang w:val="en-GB"/>
        </w:rPr>
        <w:t>;</w:t>
      </w:r>
    </w:p>
    <w:p w14:paraId="3626942B" w14:textId="00245115" w:rsidR="008A796F" w:rsidRPr="00AB5A76" w:rsidRDefault="00F0309B" w:rsidP="009F271A">
      <w:pPr>
        <w:pStyle w:val="SingleTxtG"/>
        <w:rPr>
          <w:lang w:val="en-GB"/>
        </w:rPr>
      </w:pPr>
      <w:r w:rsidRPr="00AB5A76">
        <w:rPr>
          <w:lang w:val="en-GB"/>
        </w:rPr>
        <w:t>14</w:t>
      </w:r>
      <w:r w:rsidR="009442C6" w:rsidRPr="00AB5A76">
        <w:rPr>
          <w:b/>
          <w:bCs/>
          <w:lang w:val="en-GB"/>
        </w:rPr>
        <w:t>.</w:t>
      </w:r>
      <w:r w:rsidR="009442C6" w:rsidRPr="00AB5A76">
        <w:rPr>
          <w:b/>
          <w:bCs/>
          <w:lang w:val="en-GB"/>
        </w:rPr>
        <w:tab/>
      </w:r>
      <w:r w:rsidR="009442C6" w:rsidRPr="00AB5A76">
        <w:rPr>
          <w:b/>
          <w:lang w:val="en-GB"/>
        </w:rPr>
        <w:t>Welcomed</w:t>
      </w:r>
      <w:r w:rsidR="009442C6" w:rsidRPr="00AB5A76">
        <w:rPr>
          <w:lang w:val="en-GB"/>
        </w:rPr>
        <w:t xml:space="preserve"> progress in the tripartite THE PEP programme, and </w:t>
      </w:r>
      <w:r w:rsidR="009442C6" w:rsidRPr="00AB5A76">
        <w:rPr>
          <w:b/>
          <w:lang w:val="en-GB"/>
        </w:rPr>
        <w:t>expressed its support</w:t>
      </w:r>
      <w:r w:rsidR="009442C6" w:rsidRPr="00AB5A76">
        <w:rPr>
          <w:lang w:val="en-GB"/>
        </w:rPr>
        <w:t xml:space="preserve"> towards strengthening the presence of the transport sector in this cooperation. It </w:t>
      </w:r>
      <w:r w:rsidR="009442C6" w:rsidRPr="00AB5A76">
        <w:rPr>
          <w:lang w:val="en-GB"/>
        </w:rPr>
        <w:lastRenderedPageBreak/>
        <w:t xml:space="preserve">also </w:t>
      </w:r>
      <w:r w:rsidR="009442C6" w:rsidRPr="00AB5A76">
        <w:rPr>
          <w:b/>
          <w:lang w:val="en-GB"/>
        </w:rPr>
        <w:t>stressed</w:t>
      </w:r>
      <w:r w:rsidR="009442C6" w:rsidRPr="00AB5A76">
        <w:rPr>
          <w:lang w:val="en-GB"/>
        </w:rPr>
        <w:t xml:space="preserve"> </w:t>
      </w:r>
      <w:r w:rsidR="001D2891" w:rsidRPr="00AB5A76">
        <w:rPr>
          <w:lang w:val="en-GB"/>
        </w:rPr>
        <w:t xml:space="preserve">an </w:t>
      </w:r>
      <w:r w:rsidR="009442C6" w:rsidRPr="00AB5A76">
        <w:rPr>
          <w:lang w:val="en-GB"/>
        </w:rPr>
        <w:t xml:space="preserve">interest </w:t>
      </w:r>
      <w:r w:rsidR="001D2891" w:rsidRPr="00AB5A76">
        <w:rPr>
          <w:lang w:val="en-GB"/>
        </w:rPr>
        <w:t xml:space="preserve">to contribute </w:t>
      </w:r>
      <w:r w:rsidR="009442C6" w:rsidRPr="00AB5A76">
        <w:rPr>
          <w:lang w:val="en-GB"/>
        </w:rPr>
        <w:t xml:space="preserve">to the fifth High-level meeting in Vienna </w:t>
      </w:r>
      <w:r w:rsidR="001D2891" w:rsidRPr="00AB5A76">
        <w:rPr>
          <w:lang w:val="en-GB"/>
        </w:rPr>
        <w:t xml:space="preserve">by </w:t>
      </w:r>
      <w:r w:rsidR="009442C6" w:rsidRPr="00AB5A76">
        <w:rPr>
          <w:lang w:val="en-GB"/>
        </w:rPr>
        <w:t>active</w:t>
      </w:r>
      <w:r w:rsidR="001D2891" w:rsidRPr="00AB5A76">
        <w:rPr>
          <w:lang w:val="en-GB"/>
        </w:rPr>
        <w:t>ly</w:t>
      </w:r>
      <w:r w:rsidR="009442C6" w:rsidRPr="00AB5A76">
        <w:rPr>
          <w:lang w:val="en-GB"/>
        </w:rPr>
        <w:t xml:space="preserve"> </w:t>
      </w:r>
      <w:r w:rsidR="001D2891" w:rsidRPr="00AB5A76">
        <w:rPr>
          <w:lang w:val="en-GB"/>
        </w:rPr>
        <w:t xml:space="preserve">contributing to </w:t>
      </w:r>
      <w:r w:rsidR="009442C6" w:rsidRPr="00AB5A76">
        <w:rPr>
          <w:lang w:val="en-GB"/>
        </w:rPr>
        <w:t xml:space="preserve">the transport pillar of the partnership. Also, </w:t>
      </w:r>
      <w:r w:rsidR="00352C8F" w:rsidRPr="00AB5A76">
        <w:rPr>
          <w:b/>
          <w:lang w:val="en-GB"/>
        </w:rPr>
        <w:t>took note</w:t>
      </w:r>
      <w:r w:rsidR="00833D5B" w:rsidRPr="00AB5A76">
        <w:rPr>
          <w:b/>
          <w:lang w:val="en-GB"/>
        </w:rPr>
        <w:t xml:space="preserve"> of</w:t>
      </w:r>
      <w:r w:rsidR="00352C8F" w:rsidRPr="00AB5A76">
        <w:rPr>
          <w:lang w:val="en-GB"/>
        </w:rPr>
        <w:t xml:space="preserve"> </w:t>
      </w:r>
      <w:r w:rsidR="009442C6" w:rsidRPr="00AB5A76">
        <w:rPr>
          <w:lang w:val="en-GB"/>
        </w:rPr>
        <w:t>cooperation of WP.5 and THE PEP cycling partnership in preparing the infrastructure module of the pan-European cycling master plan</w:t>
      </w:r>
      <w:r w:rsidR="00E96AEE" w:rsidRPr="00AB5A76">
        <w:rPr>
          <w:lang w:val="en-GB"/>
        </w:rPr>
        <w:t xml:space="preserve">; furthermore </w:t>
      </w:r>
      <w:r w:rsidR="00E96AEE" w:rsidRPr="00AB5A76">
        <w:rPr>
          <w:b/>
          <w:lang w:val="en-GB"/>
        </w:rPr>
        <w:t xml:space="preserve">asked </w:t>
      </w:r>
      <w:r w:rsidR="00F32E78" w:rsidRPr="00AB5A76">
        <w:rPr>
          <w:lang w:val="en-GB"/>
        </w:rPr>
        <w:t>the</w:t>
      </w:r>
      <w:r w:rsidR="00F32E78" w:rsidRPr="00AB5A76">
        <w:rPr>
          <w:b/>
          <w:lang w:val="en-GB"/>
        </w:rPr>
        <w:t xml:space="preserve"> </w:t>
      </w:r>
      <w:r w:rsidR="00F32E78" w:rsidRPr="00AB5A76">
        <w:rPr>
          <w:lang w:val="en-GB"/>
        </w:rPr>
        <w:t>Group of Experts on Road Signs and Signals</w:t>
      </w:r>
      <w:r w:rsidR="00F32E78" w:rsidRPr="00AB5A76">
        <w:rPr>
          <w:b/>
          <w:lang w:val="en-GB"/>
        </w:rPr>
        <w:t xml:space="preserve"> </w:t>
      </w:r>
      <w:r w:rsidR="00E96AEE" w:rsidRPr="00AB5A76">
        <w:rPr>
          <w:lang w:val="en-GB"/>
        </w:rPr>
        <w:t xml:space="preserve">to accelerate its response to the initiative by THE PEP </w:t>
      </w:r>
      <w:r w:rsidR="002657B4" w:rsidRPr="00AB5A76">
        <w:rPr>
          <w:lang w:val="en-GB"/>
        </w:rPr>
        <w:t xml:space="preserve">on </w:t>
      </w:r>
      <w:r w:rsidR="00F32E78" w:rsidRPr="00AB5A76">
        <w:rPr>
          <w:lang w:val="en-GB"/>
        </w:rPr>
        <w:t xml:space="preserve">possible amendments to the 1968 Convention on Road Signs and </w:t>
      </w:r>
      <w:r w:rsidR="007F7DD9" w:rsidRPr="00AB5A76">
        <w:rPr>
          <w:lang w:val="en-GB"/>
        </w:rPr>
        <w:t>Signals</w:t>
      </w:r>
      <w:r w:rsidR="002657B4" w:rsidRPr="00AB5A76">
        <w:rPr>
          <w:lang w:val="en-GB"/>
        </w:rPr>
        <w:t>,</w:t>
      </w:r>
      <w:r w:rsidR="007F7DD9" w:rsidRPr="00AB5A76">
        <w:rPr>
          <w:lang w:val="en-GB"/>
        </w:rPr>
        <w:t xml:space="preserve"> on</w:t>
      </w:r>
      <w:r w:rsidR="002657B4" w:rsidRPr="00AB5A76">
        <w:rPr>
          <w:lang w:val="en-GB"/>
        </w:rPr>
        <w:t xml:space="preserve"> the basis of the report on “S</w:t>
      </w:r>
      <w:r w:rsidR="00F32E78" w:rsidRPr="00AB5A76">
        <w:rPr>
          <w:lang w:val="en-GB"/>
        </w:rPr>
        <w:t xml:space="preserve">igns and signals for cyclists and pedestrians”; </w:t>
      </w:r>
      <w:r w:rsidR="004937A6" w:rsidRPr="00AB5A76">
        <w:rPr>
          <w:lang w:val="en-GB"/>
        </w:rPr>
        <w:t xml:space="preserve"> </w:t>
      </w:r>
    </w:p>
    <w:p w14:paraId="696758E4" w14:textId="77777777" w:rsidR="00136BBA" w:rsidRDefault="00F0309B" w:rsidP="009F271A">
      <w:pPr>
        <w:pStyle w:val="SingleTxtG"/>
        <w:rPr>
          <w:lang w:val="en-GB"/>
        </w:rPr>
      </w:pPr>
      <w:r w:rsidRPr="00AB5A76">
        <w:rPr>
          <w:lang w:val="en-GB"/>
        </w:rPr>
        <w:t>15</w:t>
      </w:r>
      <w:r w:rsidR="00F43BC1" w:rsidRPr="00AB5A76">
        <w:rPr>
          <w:b/>
          <w:lang w:val="en-GB"/>
        </w:rPr>
        <w:t>.</w:t>
      </w:r>
      <w:r w:rsidR="00F43BC1" w:rsidRPr="00AB5A76">
        <w:rPr>
          <w:b/>
          <w:lang w:val="en-GB"/>
        </w:rPr>
        <w:tab/>
        <w:t>Considered</w:t>
      </w:r>
      <w:r w:rsidR="00F43BC1" w:rsidRPr="00AB5A76">
        <w:rPr>
          <w:lang w:val="en-GB"/>
        </w:rPr>
        <w:t xml:space="preserve"> the status of ITS in its work and that of its subsidiary bodies</w:t>
      </w:r>
      <w:r w:rsidR="001D2891" w:rsidRPr="00AB5A76">
        <w:rPr>
          <w:lang w:val="en-GB"/>
        </w:rPr>
        <w:t>,</w:t>
      </w:r>
      <w:r w:rsidR="00F43BC1" w:rsidRPr="00AB5A76">
        <w:rPr>
          <w:lang w:val="en-GB"/>
        </w:rPr>
        <w:t xml:space="preserve"> and </w:t>
      </w:r>
      <w:r w:rsidR="00F43BC1" w:rsidRPr="00AB5A76">
        <w:rPr>
          <w:b/>
          <w:lang w:val="en-GB"/>
        </w:rPr>
        <w:t>decided to</w:t>
      </w:r>
      <w:r w:rsidR="00F43BC1" w:rsidRPr="00AB5A76">
        <w:rPr>
          <w:lang w:val="en-GB"/>
        </w:rPr>
        <w:t xml:space="preserve"> (a) </w:t>
      </w:r>
      <w:r w:rsidR="00F43BC1" w:rsidRPr="00AB5A76">
        <w:rPr>
          <w:b/>
          <w:lang w:val="en-GB"/>
        </w:rPr>
        <w:t>encourage</w:t>
      </w:r>
      <w:r w:rsidR="00F43BC1" w:rsidRPr="00AB5A76">
        <w:rPr>
          <w:lang w:val="en-GB"/>
        </w:rPr>
        <w:t xml:space="preserve"> ITS activities linked to</w:t>
      </w:r>
      <w:r w:rsidR="00E96AEE" w:rsidRPr="00AB5A76">
        <w:rPr>
          <w:lang w:val="en-GB"/>
        </w:rPr>
        <w:t xml:space="preserve"> transport </w:t>
      </w:r>
      <w:r w:rsidR="00F43BC1" w:rsidRPr="00AB5A76">
        <w:rPr>
          <w:lang w:val="en-GB"/>
        </w:rPr>
        <w:t xml:space="preserve"> infrastructure and </w:t>
      </w:r>
      <w:r w:rsidR="00E96AEE" w:rsidRPr="00AB5A76">
        <w:rPr>
          <w:lang w:val="en-GB"/>
        </w:rPr>
        <w:t>services</w:t>
      </w:r>
      <w:r w:rsidR="00F43BC1" w:rsidRPr="00AB5A76">
        <w:rPr>
          <w:lang w:val="en-GB"/>
        </w:rPr>
        <w:t xml:space="preserve">, (b) </w:t>
      </w:r>
      <w:r w:rsidR="009C1A0B" w:rsidRPr="00AB5A76">
        <w:rPr>
          <w:b/>
          <w:lang w:val="en-GB"/>
        </w:rPr>
        <w:t>consider</w:t>
      </w:r>
      <w:r w:rsidR="009C1A0B" w:rsidRPr="00AB5A76">
        <w:rPr>
          <w:lang w:val="en-GB"/>
        </w:rPr>
        <w:t xml:space="preserve"> ways to address ITS issues in a</w:t>
      </w:r>
      <w:r w:rsidR="00E96AEE" w:rsidRPr="00AB5A76">
        <w:rPr>
          <w:lang w:val="en-GB"/>
        </w:rPr>
        <w:t xml:space="preserve"> much more</w:t>
      </w:r>
      <w:r w:rsidR="009C1A0B" w:rsidRPr="00AB5A76">
        <w:rPr>
          <w:lang w:val="en-GB"/>
        </w:rPr>
        <w:t xml:space="preserve"> integrated </w:t>
      </w:r>
      <w:r w:rsidR="00E96AEE" w:rsidRPr="00AB5A76">
        <w:rPr>
          <w:lang w:val="en-GB"/>
        </w:rPr>
        <w:t xml:space="preserve">manner </w:t>
      </w:r>
      <w:r w:rsidR="009C1A0B" w:rsidRPr="00AB5A76">
        <w:rPr>
          <w:lang w:val="en-GB"/>
        </w:rPr>
        <w:t xml:space="preserve">(c) </w:t>
      </w:r>
      <w:r w:rsidR="004F1A1D" w:rsidRPr="00AB5A76">
        <w:rPr>
          <w:lang w:val="en-GB"/>
        </w:rPr>
        <w:t xml:space="preserve">in </w:t>
      </w:r>
      <w:r w:rsidR="002E10BB" w:rsidRPr="00AB5A76">
        <w:rPr>
          <w:lang w:val="en-GB"/>
        </w:rPr>
        <w:t>line with</w:t>
      </w:r>
      <w:r w:rsidR="004F1A1D" w:rsidRPr="00AB5A76">
        <w:rPr>
          <w:lang w:val="en-GB"/>
        </w:rPr>
        <w:t xml:space="preserve"> the Ministerial Resolution</w:t>
      </w:r>
      <w:r w:rsidR="002E10BB" w:rsidRPr="00AB5A76">
        <w:rPr>
          <w:lang w:val="en-GB"/>
        </w:rPr>
        <w:t xml:space="preserve"> “Embracing the new era for sustainable inland transport and mobility”, </w:t>
      </w:r>
      <w:r w:rsidR="002E10BB" w:rsidRPr="00AB5A76">
        <w:rPr>
          <w:b/>
          <w:lang w:val="en-GB"/>
        </w:rPr>
        <w:t>scale up and speed up</w:t>
      </w:r>
      <w:r w:rsidR="002E10BB" w:rsidRPr="00AB5A76">
        <w:rPr>
          <w:lang w:val="en-GB"/>
        </w:rPr>
        <w:t xml:space="preserve"> </w:t>
      </w:r>
      <w:r w:rsidR="009C1A0B" w:rsidRPr="00AB5A76">
        <w:rPr>
          <w:lang w:val="en-GB"/>
        </w:rPr>
        <w:t xml:space="preserve">regulatory and other initiatives </w:t>
      </w:r>
      <w:r w:rsidR="008C1682" w:rsidRPr="00AB5A76">
        <w:rPr>
          <w:lang w:val="en-GB"/>
        </w:rPr>
        <w:t xml:space="preserve">in </w:t>
      </w:r>
      <w:r w:rsidR="009C1A0B" w:rsidRPr="00AB5A76">
        <w:rPr>
          <w:lang w:val="en-GB"/>
        </w:rPr>
        <w:t>WP.1 and WP.29 on automated</w:t>
      </w:r>
      <w:r w:rsidR="00D87A70" w:rsidRPr="00AB5A76">
        <w:rPr>
          <w:lang w:val="en-GB"/>
        </w:rPr>
        <w:t>, connected and autonomous</w:t>
      </w:r>
      <w:r w:rsidR="009C1A0B" w:rsidRPr="00AB5A76">
        <w:rPr>
          <w:lang w:val="en-GB"/>
        </w:rPr>
        <w:t xml:space="preserve"> vehicles</w:t>
      </w:r>
      <w:r w:rsidR="001D2891" w:rsidRPr="00AB5A76">
        <w:rPr>
          <w:lang w:val="en-GB"/>
        </w:rPr>
        <w:t xml:space="preserve"> </w:t>
      </w:r>
      <w:r w:rsidR="008C1682" w:rsidRPr="00AB5A76">
        <w:rPr>
          <w:lang w:val="en-GB"/>
        </w:rPr>
        <w:t xml:space="preserve">which </w:t>
      </w:r>
      <w:r w:rsidR="009C1A0B" w:rsidRPr="00AB5A76">
        <w:rPr>
          <w:lang w:val="en-GB"/>
        </w:rPr>
        <w:t>aim</w:t>
      </w:r>
      <w:r w:rsidR="001D2891" w:rsidRPr="00AB5A76">
        <w:rPr>
          <w:lang w:val="en-GB"/>
        </w:rPr>
        <w:t xml:space="preserve"> to </w:t>
      </w:r>
      <w:r w:rsidR="009C1A0B" w:rsidRPr="00AB5A76">
        <w:rPr>
          <w:lang w:val="en-GB"/>
        </w:rPr>
        <w:t>provid</w:t>
      </w:r>
      <w:r w:rsidR="001D2891" w:rsidRPr="00AB5A76">
        <w:rPr>
          <w:lang w:val="en-GB"/>
        </w:rPr>
        <w:t>e</w:t>
      </w:r>
      <w:r w:rsidR="009C1A0B" w:rsidRPr="00AB5A76">
        <w:rPr>
          <w:lang w:val="en-GB"/>
        </w:rPr>
        <w:t xml:space="preserve"> better road safety, environmental protection, energy efficiency and traffic management; (d) </w:t>
      </w:r>
      <w:r w:rsidR="009C1A0B" w:rsidRPr="00AB5A76">
        <w:rPr>
          <w:b/>
          <w:lang w:val="en-GB"/>
        </w:rPr>
        <w:t>welcome</w:t>
      </w:r>
      <w:r w:rsidR="009C1A0B" w:rsidRPr="00AB5A76">
        <w:rPr>
          <w:lang w:val="en-GB"/>
        </w:rPr>
        <w:t xml:space="preserve"> the ongoing work undertaken </w:t>
      </w:r>
      <w:r w:rsidR="00086148" w:rsidRPr="00AB5A76">
        <w:rPr>
          <w:lang w:val="en-GB"/>
        </w:rPr>
        <w:t xml:space="preserve">in </w:t>
      </w:r>
      <w:r w:rsidR="009C1A0B" w:rsidRPr="00AB5A76">
        <w:rPr>
          <w:lang w:val="en-GB"/>
        </w:rPr>
        <w:t>the Informal Expert Group</w:t>
      </w:r>
      <w:r w:rsidR="004F1A1D" w:rsidRPr="00AB5A76">
        <w:rPr>
          <w:lang w:val="en-GB"/>
        </w:rPr>
        <w:t>s</w:t>
      </w:r>
      <w:r w:rsidR="009C1A0B" w:rsidRPr="00AB5A76">
        <w:rPr>
          <w:lang w:val="en-GB"/>
        </w:rPr>
        <w:t xml:space="preserve"> on Automated Driving</w:t>
      </w:r>
      <w:r w:rsidR="008C1682" w:rsidRPr="00AB5A76">
        <w:rPr>
          <w:lang w:val="en-GB"/>
        </w:rPr>
        <w:t>;</w:t>
      </w:r>
      <w:r w:rsidR="009C1A0B" w:rsidRPr="00AB5A76">
        <w:rPr>
          <w:lang w:val="en-GB"/>
        </w:rPr>
        <w:t xml:space="preserve"> and (e) </w:t>
      </w:r>
      <w:r w:rsidR="009C1A0B" w:rsidRPr="00AB5A76">
        <w:rPr>
          <w:b/>
          <w:lang w:val="en-GB"/>
        </w:rPr>
        <w:t>consider</w:t>
      </w:r>
      <w:r w:rsidR="009C1A0B" w:rsidRPr="00AB5A76">
        <w:rPr>
          <w:lang w:val="en-GB"/>
        </w:rPr>
        <w:t xml:space="preserve"> ways to address ITS issues in an inclusive approach </w:t>
      </w:r>
      <w:r w:rsidR="00135C2E" w:rsidRPr="00AB5A76">
        <w:rPr>
          <w:lang w:val="en-GB"/>
        </w:rPr>
        <w:t xml:space="preserve">that would </w:t>
      </w:r>
      <w:r w:rsidR="009C1A0B" w:rsidRPr="00AB5A76">
        <w:rPr>
          <w:lang w:val="en-GB"/>
        </w:rPr>
        <w:t>address current road</w:t>
      </w:r>
      <w:r w:rsidR="008C1682" w:rsidRPr="00AB5A76">
        <w:rPr>
          <w:lang w:val="en-GB"/>
        </w:rPr>
        <w:t xml:space="preserve"> </w:t>
      </w:r>
      <w:r w:rsidR="009C1A0B" w:rsidRPr="00AB5A76">
        <w:rPr>
          <w:lang w:val="en-GB"/>
        </w:rPr>
        <w:t>blocks</w:t>
      </w:r>
      <w:r w:rsidR="00E96AEE" w:rsidRPr="00AB5A76">
        <w:rPr>
          <w:lang w:val="en-GB"/>
        </w:rPr>
        <w:t>, as well as potential risks with new technologies</w:t>
      </w:r>
      <w:r w:rsidR="00136BBA">
        <w:rPr>
          <w:lang w:val="en-GB"/>
        </w:rPr>
        <w:t>;</w:t>
      </w:r>
    </w:p>
    <w:p w14:paraId="13130CDC" w14:textId="2775B32C" w:rsidR="00F43BC1" w:rsidRPr="00AB5A76" w:rsidRDefault="00F43BC1" w:rsidP="00F43BC1">
      <w:pPr>
        <w:pStyle w:val="SingleTxtG"/>
        <w:rPr>
          <w:lang w:val="en-GB"/>
        </w:rPr>
      </w:pPr>
      <w:r w:rsidRPr="00AB5A76">
        <w:rPr>
          <w:lang w:val="en-GB"/>
        </w:rPr>
        <w:t>16.</w:t>
      </w:r>
      <w:r w:rsidRPr="00AB5A76">
        <w:rPr>
          <w:lang w:val="en-GB"/>
        </w:rPr>
        <w:tab/>
      </w:r>
      <w:r w:rsidRPr="00AB5A76">
        <w:rPr>
          <w:b/>
          <w:lang w:val="en-GB"/>
        </w:rPr>
        <w:t>Expressed its support</w:t>
      </w:r>
      <w:r w:rsidRPr="00AB5A76">
        <w:rPr>
          <w:lang w:val="en-GB"/>
        </w:rPr>
        <w:t xml:space="preserve"> </w:t>
      </w:r>
      <w:r w:rsidR="00086148" w:rsidRPr="00AB5A76">
        <w:rPr>
          <w:lang w:val="en-GB"/>
        </w:rPr>
        <w:t xml:space="preserve">for </w:t>
      </w:r>
      <w:r w:rsidRPr="00AB5A76">
        <w:rPr>
          <w:lang w:val="en-GB"/>
        </w:rPr>
        <w:t xml:space="preserve">the ongoing work to further harmonize ITS-related activities in the subsidiary bodies of </w:t>
      </w:r>
      <w:r w:rsidR="00113DD4" w:rsidRPr="00AB5A76">
        <w:rPr>
          <w:lang w:val="en-GB"/>
        </w:rPr>
        <w:t xml:space="preserve">the </w:t>
      </w:r>
      <w:r w:rsidR="00476CE8" w:rsidRPr="00AB5A76">
        <w:rPr>
          <w:lang w:val="en-GB"/>
        </w:rPr>
        <w:t>Committee</w:t>
      </w:r>
      <w:r w:rsidRPr="00AB5A76">
        <w:rPr>
          <w:lang w:val="en-GB"/>
        </w:rPr>
        <w:t xml:space="preserve"> </w:t>
      </w:r>
      <w:r w:rsidR="0056555A" w:rsidRPr="00AB5A76">
        <w:rPr>
          <w:lang w:val="en-GB"/>
        </w:rPr>
        <w:t xml:space="preserve">with </w:t>
      </w:r>
      <w:r w:rsidRPr="00AB5A76">
        <w:rPr>
          <w:lang w:val="en-GB"/>
        </w:rPr>
        <w:t>a holistic approach;</w:t>
      </w:r>
    </w:p>
    <w:p w14:paraId="31BE8AE8" w14:textId="77777777" w:rsidR="00136BBA" w:rsidRDefault="00F43BC1" w:rsidP="00F43BC1">
      <w:pPr>
        <w:pStyle w:val="SingleTxtG"/>
        <w:rPr>
          <w:lang w:val="en-GB"/>
        </w:rPr>
      </w:pPr>
      <w:r w:rsidRPr="00AB5A76">
        <w:rPr>
          <w:lang w:val="en-GB"/>
        </w:rPr>
        <w:t>17.</w:t>
      </w:r>
      <w:r w:rsidRPr="00AB5A76">
        <w:rPr>
          <w:lang w:val="en-GB"/>
        </w:rPr>
        <w:tab/>
      </w:r>
      <w:r w:rsidR="0056555A" w:rsidRPr="00AB5A76">
        <w:rPr>
          <w:b/>
          <w:lang w:val="en-GB"/>
        </w:rPr>
        <w:t>Noted</w:t>
      </w:r>
      <w:r w:rsidR="0056555A" w:rsidRPr="00AB5A76">
        <w:rPr>
          <w:lang w:val="en-GB"/>
        </w:rPr>
        <w:t xml:space="preserve"> </w:t>
      </w:r>
      <w:r w:rsidRPr="00AB5A76">
        <w:rPr>
          <w:lang w:val="en-GB"/>
        </w:rPr>
        <w:t xml:space="preserve">information about future United Nations actions in landlocked developing countries and the expected role of the Regional Commissions following the adoption of the Vienna Programme of Action for 2014-2024, </w:t>
      </w:r>
      <w:r w:rsidRPr="00AB5A76">
        <w:rPr>
          <w:b/>
          <w:lang w:val="en-GB"/>
        </w:rPr>
        <w:t>invited</w:t>
      </w:r>
      <w:r w:rsidRPr="00AB5A76">
        <w:rPr>
          <w:lang w:val="en-GB"/>
        </w:rPr>
        <w:t xml:space="preserve"> landlocked transition economies in the ECE region to share their vision </w:t>
      </w:r>
      <w:r w:rsidR="00086148" w:rsidRPr="00AB5A76">
        <w:rPr>
          <w:lang w:val="en-GB"/>
        </w:rPr>
        <w:t xml:space="preserve">for </w:t>
      </w:r>
      <w:r w:rsidRPr="00AB5A76">
        <w:rPr>
          <w:lang w:val="en-GB"/>
        </w:rPr>
        <w:t>improving access to the sea</w:t>
      </w:r>
      <w:r w:rsidR="00136BBA">
        <w:rPr>
          <w:lang w:val="en-GB"/>
        </w:rPr>
        <w:t>;</w:t>
      </w:r>
    </w:p>
    <w:p w14:paraId="67A4051A" w14:textId="756D47FE" w:rsidR="008B650A" w:rsidRPr="00AB5A76" w:rsidRDefault="00F0309B" w:rsidP="008B650A">
      <w:pPr>
        <w:pStyle w:val="SingleTxtG"/>
        <w:rPr>
          <w:rFonts w:eastAsia="Times New Roman"/>
          <w:lang w:val="en-GB"/>
        </w:rPr>
      </w:pPr>
      <w:r w:rsidRPr="00E8561E">
        <w:rPr>
          <w:bCs/>
          <w:lang w:val="en-GB"/>
        </w:rPr>
        <w:t>18</w:t>
      </w:r>
      <w:r w:rsidR="00D67DC3" w:rsidRPr="00E8561E">
        <w:rPr>
          <w:bCs/>
          <w:lang w:val="en-GB"/>
        </w:rPr>
        <w:t>.</w:t>
      </w:r>
      <w:r w:rsidR="00D67DC3" w:rsidRPr="00AB5A76">
        <w:rPr>
          <w:b/>
          <w:bCs/>
          <w:lang w:val="en-GB"/>
        </w:rPr>
        <w:t xml:space="preserve"> </w:t>
      </w:r>
      <w:r w:rsidR="00E8561E">
        <w:rPr>
          <w:b/>
          <w:bCs/>
          <w:lang w:val="en-GB"/>
        </w:rPr>
        <w:tab/>
      </w:r>
      <w:r w:rsidR="00D67DC3" w:rsidRPr="00AB5A76">
        <w:rPr>
          <w:b/>
          <w:bCs/>
          <w:lang w:val="en-GB"/>
        </w:rPr>
        <w:t xml:space="preserve">Invited </w:t>
      </w:r>
      <w:r w:rsidR="00D67DC3" w:rsidRPr="00AB5A76">
        <w:rPr>
          <w:lang w:val="en-GB"/>
        </w:rPr>
        <w:t xml:space="preserve">its subsidiary bodies to consider </w:t>
      </w:r>
      <w:r w:rsidR="008C1682" w:rsidRPr="00AB5A76">
        <w:rPr>
          <w:lang w:val="en-GB"/>
        </w:rPr>
        <w:t xml:space="preserve">how to </w:t>
      </w:r>
      <w:r w:rsidR="00D67DC3" w:rsidRPr="00AB5A76">
        <w:rPr>
          <w:lang w:val="en-GB"/>
        </w:rPr>
        <w:t xml:space="preserve">interact with UIC on </w:t>
      </w:r>
      <w:r w:rsidR="008B650A" w:rsidRPr="00AB5A76">
        <w:rPr>
          <w:lang w:val="en-GB"/>
        </w:rPr>
        <w:t xml:space="preserve">rail </w:t>
      </w:r>
      <w:r w:rsidR="00D67DC3" w:rsidRPr="00AB5A76">
        <w:rPr>
          <w:lang w:val="en-GB"/>
        </w:rPr>
        <w:t>transport security issues</w:t>
      </w:r>
      <w:r w:rsidR="008C1682" w:rsidRPr="00AB5A76">
        <w:rPr>
          <w:lang w:val="en-GB"/>
        </w:rPr>
        <w:t>;</w:t>
      </w:r>
    </w:p>
    <w:p w14:paraId="3A5D18D1" w14:textId="6F1A45B7" w:rsidR="00136BBA" w:rsidRDefault="00F0309B" w:rsidP="008B650A">
      <w:pPr>
        <w:pStyle w:val="SingleTxtG"/>
        <w:rPr>
          <w:lang w:val="en-GB"/>
        </w:rPr>
      </w:pPr>
      <w:r w:rsidRPr="00E8561E">
        <w:rPr>
          <w:bCs/>
          <w:lang w:val="en-GB"/>
        </w:rPr>
        <w:t>19</w:t>
      </w:r>
      <w:r w:rsidR="00D67DC3" w:rsidRPr="00E8561E">
        <w:rPr>
          <w:bCs/>
          <w:lang w:val="en-GB"/>
        </w:rPr>
        <w:t>.</w:t>
      </w:r>
      <w:r w:rsidR="00D67DC3" w:rsidRPr="00AB5A76">
        <w:rPr>
          <w:b/>
          <w:bCs/>
          <w:lang w:val="en-GB"/>
        </w:rPr>
        <w:t xml:space="preserve"> </w:t>
      </w:r>
      <w:r w:rsidR="00E8561E">
        <w:rPr>
          <w:b/>
          <w:bCs/>
          <w:lang w:val="en-GB"/>
        </w:rPr>
        <w:tab/>
      </w:r>
      <w:r w:rsidR="00B410DD" w:rsidRPr="00AB5A76">
        <w:rPr>
          <w:b/>
          <w:bCs/>
          <w:lang w:val="en-GB"/>
        </w:rPr>
        <w:t xml:space="preserve">Requested </w:t>
      </w:r>
      <w:r w:rsidR="00B410DD" w:rsidRPr="00AB5A76">
        <w:rPr>
          <w:lang w:val="en-GB"/>
        </w:rPr>
        <w:t xml:space="preserve">the secretariat to </w:t>
      </w:r>
      <w:r w:rsidR="008C1682" w:rsidRPr="00AB5A76">
        <w:rPr>
          <w:lang w:val="en-GB"/>
        </w:rPr>
        <w:t>re</w:t>
      </w:r>
      <w:r w:rsidR="00B410DD" w:rsidRPr="00AB5A76">
        <w:rPr>
          <w:lang w:val="en-GB"/>
        </w:rPr>
        <w:t>organize a</w:t>
      </w:r>
      <w:r w:rsidR="008C1682" w:rsidRPr="00AB5A76">
        <w:rPr>
          <w:lang w:val="en-GB"/>
        </w:rPr>
        <w:t xml:space="preserve"> </w:t>
      </w:r>
      <w:r w:rsidR="008B650A" w:rsidRPr="00AB5A76">
        <w:rPr>
          <w:lang w:val="en-GB"/>
        </w:rPr>
        <w:t>T</w:t>
      </w:r>
      <w:r w:rsidR="00B410DD" w:rsidRPr="00AB5A76">
        <w:rPr>
          <w:lang w:val="en-GB"/>
        </w:rPr>
        <w:t xml:space="preserve">ransport </w:t>
      </w:r>
      <w:r w:rsidR="008B650A" w:rsidRPr="00AB5A76">
        <w:rPr>
          <w:lang w:val="en-GB"/>
        </w:rPr>
        <w:t>S</w:t>
      </w:r>
      <w:r w:rsidR="00B410DD" w:rsidRPr="00AB5A76">
        <w:rPr>
          <w:lang w:val="en-GB"/>
        </w:rPr>
        <w:t xml:space="preserve">ecurity </w:t>
      </w:r>
      <w:r w:rsidR="008B650A" w:rsidRPr="00AB5A76">
        <w:rPr>
          <w:lang w:val="en-GB"/>
        </w:rPr>
        <w:t>D</w:t>
      </w:r>
      <w:r w:rsidR="00B410DD" w:rsidRPr="00AB5A76">
        <w:rPr>
          <w:lang w:val="en-GB"/>
        </w:rPr>
        <w:t xml:space="preserve">iscussion </w:t>
      </w:r>
      <w:r w:rsidR="008B650A" w:rsidRPr="00AB5A76">
        <w:rPr>
          <w:lang w:val="en-GB"/>
        </w:rPr>
        <w:t>F</w:t>
      </w:r>
      <w:r w:rsidR="00B410DD" w:rsidRPr="00AB5A76">
        <w:rPr>
          <w:lang w:val="en-GB"/>
        </w:rPr>
        <w:t>or</w:t>
      </w:r>
      <w:r w:rsidR="000A4B5D" w:rsidRPr="00AB5A76">
        <w:rPr>
          <w:lang w:val="en-GB"/>
        </w:rPr>
        <w:t>u</w:t>
      </w:r>
      <w:r w:rsidR="00B410DD" w:rsidRPr="00AB5A76">
        <w:rPr>
          <w:lang w:val="en-GB"/>
        </w:rPr>
        <w:t>m in 2017</w:t>
      </w:r>
      <w:r w:rsidR="00136BBA">
        <w:rPr>
          <w:lang w:val="en-GB"/>
        </w:rPr>
        <w:t>;</w:t>
      </w:r>
    </w:p>
    <w:p w14:paraId="7F2B1F14" w14:textId="5CBAB74C" w:rsidR="00136BBA" w:rsidRDefault="00F0309B" w:rsidP="009F271A">
      <w:pPr>
        <w:pStyle w:val="SingleTxtG"/>
        <w:rPr>
          <w:lang w:val="en-GB"/>
        </w:rPr>
      </w:pPr>
      <w:r w:rsidRPr="00AB5A76">
        <w:rPr>
          <w:lang w:val="en-GB"/>
        </w:rPr>
        <w:t>20</w:t>
      </w:r>
      <w:r w:rsidR="00D67DC3" w:rsidRPr="00AB5A76">
        <w:rPr>
          <w:b/>
          <w:bCs/>
          <w:lang w:val="en-GB"/>
        </w:rPr>
        <w:t xml:space="preserve">. </w:t>
      </w:r>
      <w:r w:rsidR="00E8561E">
        <w:rPr>
          <w:b/>
          <w:bCs/>
          <w:lang w:val="en-GB"/>
        </w:rPr>
        <w:tab/>
      </w:r>
      <w:r w:rsidR="00D67DC3" w:rsidRPr="00AB5A76">
        <w:rPr>
          <w:b/>
          <w:lang w:val="en-GB"/>
        </w:rPr>
        <w:t>Expressed its support</w:t>
      </w:r>
      <w:r w:rsidR="00D67DC3" w:rsidRPr="00AB5A76">
        <w:rPr>
          <w:lang w:val="en-GB"/>
        </w:rPr>
        <w:t xml:space="preserve"> for the TEM Strategic Plan 2017-2021, RSA/RSI on the TEM Network Report and the status of the TER High-Speed Master Plan, and for the activities carried out in the two projects and </w:t>
      </w:r>
      <w:r w:rsidR="00D67DC3" w:rsidRPr="00AB5A76">
        <w:rPr>
          <w:b/>
          <w:bCs/>
          <w:lang w:val="en-GB"/>
        </w:rPr>
        <w:t xml:space="preserve">requested </w:t>
      </w:r>
      <w:r w:rsidR="00D67DC3" w:rsidRPr="00AB5A76">
        <w:rPr>
          <w:lang w:val="en-GB"/>
        </w:rPr>
        <w:t>SC.2 and the TER Project to intensify work on develop</w:t>
      </w:r>
      <w:r w:rsidR="008C1682" w:rsidRPr="00AB5A76">
        <w:rPr>
          <w:lang w:val="en-GB"/>
        </w:rPr>
        <w:t>ing</w:t>
      </w:r>
      <w:r w:rsidR="00D67DC3" w:rsidRPr="00AB5A76">
        <w:rPr>
          <w:lang w:val="en-GB"/>
        </w:rPr>
        <w:t xml:space="preserve"> the TER High-Speed Master Plan in the TER region</w:t>
      </w:r>
      <w:r w:rsidR="00136BBA">
        <w:rPr>
          <w:lang w:val="en-GB"/>
        </w:rPr>
        <w:t>;</w:t>
      </w:r>
    </w:p>
    <w:p w14:paraId="156E5976" w14:textId="7CFC72A6" w:rsidR="00E33DDC" w:rsidRDefault="00F0309B" w:rsidP="009F271A">
      <w:pPr>
        <w:pStyle w:val="SingleTxtG"/>
        <w:rPr>
          <w:lang w:val="en-GB"/>
        </w:rPr>
      </w:pPr>
      <w:r w:rsidRPr="00AB5A76">
        <w:rPr>
          <w:lang w:val="en-GB"/>
        </w:rPr>
        <w:t>21</w:t>
      </w:r>
      <w:r w:rsidR="00B2702E" w:rsidRPr="00AB5A76">
        <w:rPr>
          <w:b/>
          <w:bCs/>
          <w:lang w:val="en-GB"/>
        </w:rPr>
        <w:t xml:space="preserve">. </w:t>
      </w:r>
      <w:r w:rsidR="00E8561E">
        <w:rPr>
          <w:b/>
          <w:bCs/>
          <w:lang w:val="en-GB"/>
        </w:rPr>
        <w:tab/>
      </w:r>
      <w:r w:rsidR="00B2702E" w:rsidRPr="00AB5A76">
        <w:rPr>
          <w:b/>
          <w:bCs/>
          <w:lang w:val="en-GB"/>
        </w:rPr>
        <w:t>Welcomed</w:t>
      </w:r>
      <w:r w:rsidR="00B2702E" w:rsidRPr="00AB5A76">
        <w:rPr>
          <w:lang w:val="en-GB"/>
        </w:rPr>
        <w:t xml:space="preserve"> progress in completing phase III of the Euro-Asian Transport Links (EATL) project. </w:t>
      </w:r>
      <w:r w:rsidR="00B2702E" w:rsidRPr="00AB5A76">
        <w:rPr>
          <w:b/>
          <w:bCs/>
          <w:lang w:val="en-GB"/>
        </w:rPr>
        <w:t>Noting</w:t>
      </w:r>
      <w:r w:rsidR="00B2702E" w:rsidRPr="00AB5A76">
        <w:rPr>
          <w:lang w:val="en-GB"/>
        </w:rPr>
        <w:t xml:space="preserve"> the need </w:t>
      </w:r>
      <w:r w:rsidR="008C1682" w:rsidRPr="00AB5A76">
        <w:rPr>
          <w:lang w:val="en-GB"/>
        </w:rPr>
        <w:t xml:space="preserve">to </w:t>
      </w:r>
      <w:r w:rsidR="00B2702E" w:rsidRPr="00AB5A76">
        <w:rPr>
          <w:lang w:val="en-GB"/>
        </w:rPr>
        <w:t>execut</w:t>
      </w:r>
      <w:r w:rsidR="008C1682" w:rsidRPr="00AB5A76">
        <w:rPr>
          <w:lang w:val="en-GB"/>
        </w:rPr>
        <w:t>e</w:t>
      </w:r>
      <w:r w:rsidR="00B2702E" w:rsidRPr="00AB5A76">
        <w:rPr>
          <w:lang w:val="en-GB"/>
        </w:rPr>
        <w:t xml:space="preserve"> the project mandate (ECE/TRANS/WP.5/GE.2/2013/1), </w:t>
      </w:r>
      <w:r w:rsidR="00B2702E" w:rsidRPr="00AB5A76">
        <w:rPr>
          <w:b/>
          <w:bCs/>
          <w:lang w:val="en-GB"/>
        </w:rPr>
        <w:t>urged</w:t>
      </w:r>
      <w:r w:rsidR="00B2702E" w:rsidRPr="00AB5A76">
        <w:rPr>
          <w:lang w:val="en-GB"/>
        </w:rPr>
        <w:t xml:space="preserve"> WP.5 to hold an international conference on operationalization of the Euro-Asian transport links, as stipulated in the mandate, including the implementation of the recommendations presented in the final report of the EATL phase III project</w:t>
      </w:r>
      <w:r w:rsidR="00EF6D2F" w:rsidRPr="00AB5A76">
        <w:rPr>
          <w:lang w:val="en-GB"/>
        </w:rPr>
        <w:t>, within existing resources or through extrabudgetary funds</w:t>
      </w:r>
      <w:r w:rsidR="00E33DDC">
        <w:rPr>
          <w:lang w:val="en-GB"/>
        </w:rPr>
        <w:t>;</w:t>
      </w:r>
    </w:p>
    <w:p w14:paraId="57F9D512" w14:textId="404CEE9C" w:rsidR="009F271A" w:rsidRPr="00AB5A76" w:rsidRDefault="00F0309B" w:rsidP="005B0C58">
      <w:pPr>
        <w:pStyle w:val="SingleTxtG"/>
        <w:rPr>
          <w:lang w:val="en-GB"/>
        </w:rPr>
      </w:pPr>
      <w:r w:rsidRPr="00AB5A76">
        <w:rPr>
          <w:lang w:val="en-GB"/>
        </w:rPr>
        <w:t>22</w:t>
      </w:r>
      <w:r w:rsidR="009F271A" w:rsidRPr="00AB5A76">
        <w:rPr>
          <w:lang w:val="en-GB"/>
        </w:rPr>
        <w:t>.</w:t>
      </w:r>
      <w:r w:rsidR="00AB3657" w:rsidRPr="00AB5A76">
        <w:rPr>
          <w:lang w:val="en-GB"/>
        </w:rPr>
        <w:t xml:space="preserve">  </w:t>
      </w:r>
      <w:r w:rsidR="00E8561E">
        <w:rPr>
          <w:lang w:val="en-GB"/>
        </w:rPr>
        <w:tab/>
      </w:r>
      <w:r w:rsidR="00AB3657" w:rsidRPr="00AB5A76">
        <w:rPr>
          <w:b/>
          <w:bCs/>
          <w:lang w:val="en-GB"/>
        </w:rPr>
        <w:t>Expressed its support</w:t>
      </w:r>
      <w:r w:rsidR="00AB3657" w:rsidRPr="00AB5A76">
        <w:rPr>
          <w:lang w:val="en-GB"/>
        </w:rPr>
        <w:t xml:space="preserve"> for the most recent developments in the work carried out by the World Forum for Harmonization of Vehicle Regulations (WP.29) and its six subsidiary Working Parties, as well as  the Administrative Committee of the 1958 Agreement, the Administrative Committee of the 1997 Agreement</w:t>
      </w:r>
      <w:r w:rsidR="008C1682" w:rsidRPr="00AB5A76">
        <w:rPr>
          <w:lang w:val="en-GB"/>
        </w:rPr>
        <w:t>,</w:t>
      </w:r>
      <w:r w:rsidR="00AB3657" w:rsidRPr="00AB5A76">
        <w:rPr>
          <w:lang w:val="en-GB"/>
        </w:rPr>
        <w:t xml:space="preserve"> and the Executive Committee of the 1998 Agreement. </w:t>
      </w:r>
      <w:r w:rsidR="00AB3657" w:rsidRPr="00AB5A76">
        <w:rPr>
          <w:b/>
          <w:bCs/>
          <w:lang w:val="en-GB"/>
        </w:rPr>
        <w:t>Endorsed</w:t>
      </w:r>
      <w:r w:rsidR="00AB3657" w:rsidRPr="00AB5A76">
        <w:rPr>
          <w:lang w:val="en-GB"/>
        </w:rPr>
        <w:t xml:space="preserve"> the activities listed in ECE/TRANS/2017/10.  </w:t>
      </w:r>
      <w:r w:rsidR="00AB3657" w:rsidRPr="00AB5A76">
        <w:rPr>
          <w:b/>
          <w:bCs/>
          <w:lang w:val="en-GB"/>
        </w:rPr>
        <w:t>Reiterated</w:t>
      </w:r>
      <w:r w:rsidR="00AB3657" w:rsidRPr="00AB5A76">
        <w:rPr>
          <w:lang w:val="en-GB"/>
        </w:rPr>
        <w:t xml:space="preserve"> </w:t>
      </w:r>
      <w:r w:rsidR="00AB3657" w:rsidRPr="00AB5A76">
        <w:rPr>
          <w:b/>
          <w:bCs/>
          <w:lang w:val="en-GB"/>
        </w:rPr>
        <w:t>its support</w:t>
      </w:r>
      <w:r w:rsidR="00AB3657" w:rsidRPr="00AB5A76">
        <w:rPr>
          <w:lang w:val="en-GB"/>
        </w:rPr>
        <w:t xml:space="preserve"> for hosting DETA at </w:t>
      </w:r>
      <w:r w:rsidR="00AB3657" w:rsidRPr="00E8561E">
        <w:rPr>
          <w:lang w:val="en-GB"/>
        </w:rPr>
        <w:t xml:space="preserve">ECE. </w:t>
      </w:r>
      <w:r w:rsidR="00AB3657" w:rsidRPr="00E8561E">
        <w:rPr>
          <w:b/>
          <w:bCs/>
          <w:lang w:val="en-GB"/>
        </w:rPr>
        <w:t xml:space="preserve">Requested the UNECE secretariat to allocate budget resources </w:t>
      </w:r>
      <w:r w:rsidR="00AB3657" w:rsidRPr="00E8561E">
        <w:rPr>
          <w:lang w:val="en-GB"/>
        </w:rPr>
        <w:t xml:space="preserve">from the United Nations regular budget earmarked for hosting DETA, starting </w:t>
      </w:r>
      <w:r w:rsidR="008C1682" w:rsidRPr="00E8561E">
        <w:rPr>
          <w:lang w:val="en-GB"/>
        </w:rPr>
        <w:t xml:space="preserve">with </w:t>
      </w:r>
      <w:r w:rsidR="00AB3657" w:rsidRPr="00E8561E">
        <w:rPr>
          <w:lang w:val="en-GB"/>
        </w:rPr>
        <w:t xml:space="preserve">the 2018-2019 biennium. </w:t>
      </w:r>
      <w:r w:rsidR="00AB3657" w:rsidRPr="00AB5A76">
        <w:rPr>
          <w:lang w:val="en-GB"/>
        </w:rPr>
        <w:t xml:space="preserve">The Committee instructed </w:t>
      </w:r>
      <w:r w:rsidR="008C1682" w:rsidRPr="00AB5A76">
        <w:rPr>
          <w:lang w:val="en-GB"/>
        </w:rPr>
        <w:t>the C</w:t>
      </w:r>
      <w:r w:rsidR="00AB3657" w:rsidRPr="00AB5A76">
        <w:rPr>
          <w:lang w:val="en-GB"/>
        </w:rPr>
        <w:t xml:space="preserve">hair to add the issue of the financing of DETA from the regular budget </w:t>
      </w:r>
      <w:r w:rsidR="00E8561E">
        <w:rPr>
          <w:lang w:val="en-GB"/>
        </w:rPr>
        <w:t>(</w:t>
      </w:r>
      <w:r w:rsidR="00AB3657" w:rsidRPr="00AB5A76">
        <w:rPr>
          <w:lang w:val="en-GB"/>
        </w:rPr>
        <w:t>approximately USD 45,000 p.a.</w:t>
      </w:r>
      <w:r w:rsidR="00E8561E">
        <w:rPr>
          <w:lang w:val="en-GB"/>
        </w:rPr>
        <w:t>)</w:t>
      </w:r>
      <w:r w:rsidR="00AB3657" w:rsidRPr="00AB5A76">
        <w:rPr>
          <w:lang w:val="en-GB"/>
        </w:rPr>
        <w:t xml:space="preserve"> in his report to EXCOM, </w:t>
      </w:r>
      <w:r w:rsidR="008C1682" w:rsidRPr="00AB5A76">
        <w:rPr>
          <w:lang w:val="en-GB"/>
        </w:rPr>
        <w:t xml:space="preserve">and </w:t>
      </w:r>
      <w:r w:rsidR="00AB3657" w:rsidRPr="00AB5A76">
        <w:rPr>
          <w:lang w:val="en-GB"/>
        </w:rPr>
        <w:t>underlin</w:t>
      </w:r>
      <w:r w:rsidR="008C1682" w:rsidRPr="00AB5A76">
        <w:rPr>
          <w:lang w:val="en-GB"/>
        </w:rPr>
        <w:t>e</w:t>
      </w:r>
      <w:r w:rsidR="00AB3657" w:rsidRPr="00AB5A76">
        <w:rPr>
          <w:lang w:val="en-GB"/>
        </w:rPr>
        <w:t xml:space="preserve"> the legal obligations of the third revision of the 1958 Agreement and its possible negative impact on road safety, in case of </w:t>
      </w:r>
      <w:r w:rsidR="00762439" w:rsidRPr="00AB5A76">
        <w:rPr>
          <w:lang w:val="en-GB"/>
        </w:rPr>
        <w:t xml:space="preserve">any </w:t>
      </w:r>
      <w:r w:rsidR="00AB3657" w:rsidRPr="00AB5A76">
        <w:rPr>
          <w:lang w:val="en-GB"/>
        </w:rPr>
        <w:t>delays</w:t>
      </w:r>
      <w:r w:rsidR="00AC26C9">
        <w:rPr>
          <w:lang w:val="en-GB"/>
        </w:rPr>
        <w:t>;</w:t>
      </w:r>
      <w:r w:rsidR="001E02E3" w:rsidRPr="00AB5A76">
        <w:rPr>
          <w:lang w:val="en-GB"/>
        </w:rPr>
        <w:t xml:space="preserve"> </w:t>
      </w:r>
    </w:p>
    <w:p w14:paraId="1DB51C4B" w14:textId="77777777" w:rsidR="00136BBA" w:rsidRDefault="00F0309B" w:rsidP="005B0C58">
      <w:pPr>
        <w:pStyle w:val="SingleTxtG"/>
        <w:rPr>
          <w:lang w:val="en-GB"/>
        </w:rPr>
      </w:pPr>
      <w:r w:rsidRPr="00AB5A76">
        <w:rPr>
          <w:rFonts w:eastAsia="Times New Roman"/>
          <w:lang w:val="en-GB"/>
        </w:rPr>
        <w:lastRenderedPageBreak/>
        <w:t>23</w:t>
      </w:r>
      <w:r w:rsidR="005B0C58" w:rsidRPr="00AB5A76">
        <w:rPr>
          <w:lang w:val="en-GB"/>
        </w:rPr>
        <w:t>.</w:t>
      </w:r>
      <w:r w:rsidR="005B0C58" w:rsidRPr="00AB5A76">
        <w:rPr>
          <w:lang w:val="en-GB"/>
        </w:rPr>
        <w:tab/>
        <w:t xml:space="preserve">In order to allow the work of the Group of Experts on Road Signs and Signals to continue, </w:t>
      </w:r>
      <w:r w:rsidR="005B0C58" w:rsidRPr="00AB5A76">
        <w:rPr>
          <w:b/>
          <w:lang w:val="en-GB"/>
        </w:rPr>
        <w:t xml:space="preserve">approved </w:t>
      </w:r>
      <w:r w:rsidR="005B0C58" w:rsidRPr="00AB5A76">
        <w:rPr>
          <w:lang w:val="en-GB"/>
        </w:rPr>
        <w:t>the WP.1 decision to extend the mandate of the Group of Experts on Road Signs and Signals to 31 December 2017 (ECE/TRANS/WP.1/155, paras. 22-26)</w:t>
      </w:r>
      <w:r w:rsidR="00136BBA">
        <w:rPr>
          <w:lang w:val="en-GB"/>
        </w:rPr>
        <w:t>;</w:t>
      </w:r>
    </w:p>
    <w:p w14:paraId="70A3F0FC" w14:textId="77777777" w:rsidR="00136BBA" w:rsidRDefault="00F0309B" w:rsidP="009C1A0B">
      <w:pPr>
        <w:pStyle w:val="SingleTxtG"/>
        <w:rPr>
          <w:lang w:val="en-GB"/>
        </w:rPr>
      </w:pPr>
      <w:r w:rsidRPr="00AB5A76">
        <w:rPr>
          <w:lang w:val="en-GB"/>
        </w:rPr>
        <w:t>24</w:t>
      </w:r>
      <w:r w:rsidR="009C1A0B" w:rsidRPr="00AB5A76">
        <w:rPr>
          <w:lang w:val="en-GB"/>
        </w:rPr>
        <w:t>.</w:t>
      </w:r>
      <w:r w:rsidR="009C1A0B" w:rsidRPr="00AB5A76">
        <w:rPr>
          <w:lang w:val="en-GB"/>
        </w:rPr>
        <w:tab/>
      </w:r>
      <w:r w:rsidR="009C1A0B" w:rsidRPr="00AB5A76">
        <w:rPr>
          <w:b/>
          <w:lang w:val="en-GB"/>
        </w:rPr>
        <w:t>Took note</w:t>
      </w:r>
      <w:r w:rsidR="009C1A0B" w:rsidRPr="00AB5A76">
        <w:rPr>
          <w:lang w:val="en-GB"/>
        </w:rPr>
        <w:t xml:space="preserve"> of secretariat efforts to seek external funds to create an electronic version of the 1968 Convention on Road Signs and Signals (e-CORSS) and, in this regard, it </w:t>
      </w:r>
      <w:r w:rsidR="009C1A0B" w:rsidRPr="00AB5A76">
        <w:rPr>
          <w:b/>
          <w:lang w:val="en-GB"/>
        </w:rPr>
        <w:t>welcomed</w:t>
      </w:r>
      <w:r w:rsidR="009C1A0B" w:rsidRPr="00AB5A76">
        <w:rPr>
          <w:lang w:val="en-GB"/>
        </w:rPr>
        <w:t xml:space="preserve"> an in-kind contribution by “The Late Easa Al-Yousifi Charity Foundation” of Kuwait</w:t>
      </w:r>
      <w:r w:rsidR="00136BBA">
        <w:rPr>
          <w:lang w:val="en-GB"/>
        </w:rPr>
        <w:t>;</w:t>
      </w:r>
    </w:p>
    <w:p w14:paraId="0BA81EC7" w14:textId="77777777" w:rsidR="00136BBA" w:rsidRDefault="00F0309B" w:rsidP="005B0C58">
      <w:pPr>
        <w:pStyle w:val="SingleTxtG"/>
        <w:rPr>
          <w:lang w:val="en-GB"/>
        </w:rPr>
      </w:pPr>
      <w:r w:rsidRPr="00AB5A76">
        <w:rPr>
          <w:lang w:val="en-GB"/>
        </w:rPr>
        <w:t>25</w:t>
      </w:r>
      <w:r w:rsidR="005B0C58" w:rsidRPr="00AB5A76">
        <w:rPr>
          <w:lang w:val="en-GB"/>
        </w:rPr>
        <w:t>.</w:t>
      </w:r>
      <w:r w:rsidR="005B0C58" w:rsidRPr="00AB5A76">
        <w:rPr>
          <w:lang w:val="en-GB"/>
        </w:rPr>
        <w:tab/>
      </w:r>
      <w:r w:rsidR="005B0C58" w:rsidRPr="00AB5A76">
        <w:rPr>
          <w:b/>
          <w:lang w:val="en-GB"/>
        </w:rPr>
        <w:t>Welcomed</w:t>
      </w:r>
      <w:r w:rsidR="005B0C58" w:rsidRPr="00AB5A76">
        <w:rPr>
          <w:lang w:val="en-GB"/>
        </w:rPr>
        <w:t xml:space="preserve"> the interest of the Government of the Republic of Korea in becoming </w:t>
      </w:r>
      <w:r w:rsidR="00135C2E" w:rsidRPr="00AB5A76">
        <w:rPr>
          <w:lang w:val="en-GB"/>
        </w:rPr>
        <w:t xml:space="preserve">a </w:t>
      </w:r>
      <w:r w:rsidR="005B0C58" w:rsidRPr="00AB5A76">
        <w:rPr>
          <w:lang w:val="en-GB"/>
        </w:rPr>
        <w:t xml:space="preserve">full WP.1 participant with voting rights and </w:t>
      </w:r>
      <w:r w:rsidR="005B0C58" w:rsidRPr="00AB5A76">
        <w:rPr>
          <w:b/>
          <w:lang w:val="en-GB"/>
        </w:rPr>
        <w:t>agreed to</w:t>
      </w:r>
      <w:r w:rsidR="005B0C58" w:rsidRPr="00AB5A76">
        <w:rPr>
          <w:lang w:val="en-GB"/>
        </w:rPr>
        <w:t xml:space="preserve"> </w:t>
      </w:r>
      <w:r w:rsidR="00135C2E" w:rsidRPr="00AB5A76">
        <w:rPr>
          <w:lang w:val="en-GB"/>
        </w:rPr>
        <w:t xml:space="preserve">the </w:t>
      </w:r>
      <w:r w:rsidR="005B0C58" w:rsidRPr="00AB5A76">
        <w:rPr>
          <w:lang w:val="en-GB"/>
        </w:rPr>
        <w:t>request (ECE/TRANS/2017/12)</w:t>
      </w:r>
      <w:r w:rsidR="00136BBA">
        <w:rPr>
          <w:lang w:val="en-GB"/>
        </w:rPr>
        <w:t>;</w:t>
      </w:r>
    </w:p>
    <w:p w14:paraId="7112CFA4" w14:textId="77777777" w:rsidR="00136BBA" w:rsidRDefault="00F0309B" w:rsidP="005B0C58">
      <w:pPr>
        <w:pStyle w:val="SingleTxtG"/>
        <w:rPr>
          <w:lang w:val="en-GB"/>
        </w:rPr>
      </w:pPr>
      <w:r w:rsidRPr="00AB5A76">
        <w:rPr>
          <w:lang w:val="en-GB"/>
        </w:rPr>
        <w:t>26</w:t>
      </w:r>
      <w:r w:rsidR="005B0C58" w:rsidRPr="00AB5A76">
        <w:rPr>
          <w:lang w:val="en-GB"/>
        </w:rPr>
        <w:t>.</w:t>
      </w:r>
      <w:r w:rsidR="005B0C58" w:rsidRPr="00AB5A76">
        <w:rPr>
          <w:lang w:val="en-GB"/>
        </w:rPr>
        <w:tab/>
      </w:r>
      <w:r w:rsidR="005B0C58" w:rsidRPr="00AB5A76">
        <w:rPr>
          <w:b/>
          <w:lang w:val="en-GB"/>
        </w:rPr>
        <w:t>Endorsed</w:t>
      </w:r>
      <w:r w:rsidR="005B0C58" w:rsidRPr="00AB5A76">
        <w:rPr>
          <w:lang w:val="en-GB"/>
        </w:rPr>
        <w:t xml:space="preserve"> the request of WP.1 to change its name to </w:t>
      </w:r>
      <w:r w:rsidR="00086148" w:rsidRPr="00AB5A76">
        <w:rPr>
          <w:lang w:val="en-GB"/>
        </w:rPr>
        <w:t>“</w:t>
      </w:r>
      <w:r w:rsidR="005B0C58" w:rsidRPr="00AB5A76">
        <w:rPr>
          <w:lang w:val="en-GB"/>
        </w:rPr>
        <w:t>Global Forum for Road Traffic Safety</w:t>
      </w:r>
      <w:r w:rsidR="00086148" w:rsidRPr="00AB5A76">
        <w:rPr>
          <w:lang w:val="en-GB"/>
        </w:rPr>
        <w:t>”</w:t>
      </w:r>
      <w:r w:rsidR="005B0C58" w:rsidRPr="00AB5A76">
        <w:rPr>
          <w:lang w:val="en-GB"/>
        </w:rPr>
        <w:t xml:space="preserve"> (WP.1) (ECE/TRANS/WP.1/155, para. 39), in order to better reflect the global scope of United Nations road safety conventions</w:t>
      </w:r>
      <w:r w:rsidR="00136BBA">
        <w:rPr>
          <w:lang w:val="en-GB"/>
        </w:rPr>
        <w:t>;</w:t>
      </w:r>
    </w:p>
    <w:p w14:paraId="246938CA" w14:textId="20A4BD75" w:rsidR="00136BBA" w:rsidRDefault="00F0309B" w:rsidP="005B0C58">
      <w:pPr>
        <w:pStyle w:val="SingleTxtG"/>
        <w:rPr>
          <w:lang w:val="en-GB"/>
        </w:rPr>
      </w:pPr>
      <w:r w:rsidRPr="00AB5A76">
        <w:rPr>
          <w:lang w:val="en-GB"/>
        </w:rPr>
        <w:t>27</w:t>
      </w:r>
      <w:r w:rsidR="005B0C58" w:rsidRPr="00AB5A76">
        <w:rPr>
          <w:lang w:val="en-GB"/>
        </w:rPr>
        <w:t>.</w:t>
      </w:r>
      <w:r w:rsidR="005B0C58" w:rsidRPr="00AB5A76">
        <w:rPr>
          <w:lang w:val="en-GB"/>
        </w:rPr>
        <w:tab/>
      </w:r>
      <w:r w:rsidR="005B0C58" w:rsidRPr="00AB5A76">
        <w:rPr>
          <w:b/>
          <w:lang w:val="en-GB"/>
        </w:rPr>
        <w:t>Further</w:t>
      </w:r>
      <w:r w:rsidR="005B0C58" w:rsidRPr="00AB5A76">
        <w:rPr>
          <w:lang w:val="en-GB"/>
        </w:rPr>
        <w:t xml:space="preserve"> </w:t>
      </w:r>
      <w:r w:rsidR="005B0C58" w:rsidRPr="00AB5A76">
        <w:rPr>
          <w:b/>
          <w:lang w:val="en-GB"/>
        </w:rPr>
        <w:t>endorsed</w:t>
      </w:r>
      <w:r w:rsidR="005B0C58" w:rsidRPr="00AB5A76">
        <w:rPr>
          <w:lang w:val="en-GB"/>
        </w:rPr>
        <w:t xml:space="preserve"> a special resolution (ECE/TRANS/2017/13) prepared and adopted by WP.1 (ECE/TRANS/WP.1/155, Annex III) in response to </w:t>
      </w:r>
      <w:r w:rsidR="00F045DF" w:rsidRPr="00AB5A76">
        <w:rPr>
          <w:lang w:val="en-GB"/>
        </w:rPr>
        <w:t xml:space="preserve">the </w:t>
      </w:r>
      <w:r w:rsidR="005B0C58" w:rsidRPr="00AB5A76">
        <w:rPr>
          <w:lang w:val="en-GB"/>
        </w:rPr>
        <w:t xml:space="preserve">invitation </w:t>
      </w:r>
      <w:r w:rsidR="008C1682" w:rsidRPr="00AB5A76">
        <w:rPr>
          <w:lang w:val="en-GB"/>
        </w:rPr>
        <w:t xml:space="preserve">of the Committee </w:t>
      </w:r>
      <w:r w:rsidR="005B0C58" w:rsidRPr="00AB5A76">
        <w:rPr>
          <w:lang w:val="en-GB"/>
        </w:rPr>
        <w:t>in 2016 (ECE/TRANS/254</w:t>
      </w:r>
      <w:r w:rsidR="00135C2E" w:rsidRPr="00AB5A76">
        <w:rPr>
          <w:lang w:val="en-GB"/>
        </w:rPr>
        <w:t>,</w:t>
      </w:r>
      <w:r w:rsidR="005B0C58" w:rsidRPr="00AB5A76">
        <w:rPr>
          <w:lang w:val="en-GB"/>
        </w:rPr>
        <w:t xml:space="preserve"> para.</w:t>
      </w:r>
      <w:r w:rsidR="008C1682" w:rsidRPr="00AB5A76">
        <w:rPr>
          <w:lang w:val="en-GB"/>
        </w:rPr>
        <w:t xml:space="preserve"> </w:t>
      </w:r>
      <w:r w:rsidR="005B0C58" w:rsidRPr="00AB5A76">
        <w:rPr>
          <w:lang w:val="en-GB"/>
        </w:rPr>
        <w:t xml:space="preserve">147) and </w:t>
      </w:r>
      <w:r w:rsidR="005B0C58" w:rsidRPr="00AB5A76">
        <w:rPr>
          <w:b/>
          <w:lang w:val="en-GB"/>
        </w:rPr>
        <w:t>expressed its wish that it be</w:t>
      </w:r>
      <w:r w:rsidR="005B0C58" w:rsidRPr="00AB5A76">
        <w:rPr>
          <w:lang w:val="en-GB"/>
        </w:rPr>
        <w:t xml:space="preserve"> </w:t>
      </w:r>
      <w:r w:rsidR="005B0C58" w:rsidRPr="00AB5A76">
        <w:rPr>
          <w:b/>
          <w:lang w:val="en-GB"/>
        </w:rPr>
        <w:t>presented</w:t>
      </w:r>
      <w:r w:rsidR="005B0C58" w:rsidRPr="00AB5A76">
        <w:rPr>
          <w:lang w:val="en-GB"/>
        </w:rPr>
        <w:t xml:space="preserve"> at the </w:t>
      </w:r>
      <w:r w:rsidR="004D15DD">
        <w:rPr>
          <w:lang w:val="en-GB"/>
        </w:rPr>
        <w:t>sixty-seventh</w:t>
      </w:r>
      <w:r w:rsidR="005B0C58" w:rsidRPr="00AB5A76">
        <w:rPr>
          <w:lang w:val="en-GB"/>
        </w:rPr>
        <w:t xml:space="preserve"> session of the Economic Commission for Europe in 2017</w:t>
      </w:r>
      <w:r w:rsidR="00136BBA">
        <w:rPr>
          <w:lang w:val="en-GB"/>
        </w:rPr>
        <w:t>;</w:t>
      </w:r>
    </w:p>
    <w:p w14:paraId="4D6F2708" w14:textId="0362669A" w:rsidR="00E33DDC" w:rsidRDefault="00F0309B" w:rsidP="001E02E3">
      <w:pPr>
        <w:pStyle w:val="SingleTxtG"/>
        <w:rPr>
          <w:rFonts w:eastAsia="Times New Roman"/>
          <w:lang w:val="en-GB"/>
        </w:rPr>
      </w:pPr>
      <w:r w:rsidRPr="00AB5A76">
        <w:rPr>
          <w:lang w:val="en-GB"/>
        </w:rPr>
        <w:t>28</w:t>
      </w:r>
      <w:r w:rsidR="004F35D7" w:rsidRPr="00AB5A76">
        <w:rPr>
          <w:lang w:val="en-GB"/>
        </w:rPr>
        <w:t>.</w:t>
      </w:r>
      <w:r w:rsidR="00E8561E">
        <w:rPr>
          <w:lang w:val="en-GB"/>
        </w:rPr>
        <w:tab/>
      </w:r>
      <w:r w:rsidR="00414F5E" w:rsidRPr="00AB5A76">
        <w:rPr>
          <w:b/>
          <w:lang w:val="en-GB"/>
        </w:rPr>
        <w:t>E</w:t>
      </w:r>
      <w:r w:rsidR="00317051" w:rsidRPr="00AB5A76">
        <w:rPr>
          <w:b/>
          <w:lang w:val="en-GB"/>
        </w:rPr>
        <w:t>xpressed its strong support</w:t>
      </w:r>
      <w:r w:rsidR="00317051" w:rsidRPr="00AB5A76">
        <w:rPr>
          <w:lang w:val="en-GB"/>
        </w:rPr>
        <w:t xml:space="preserve"> for </w:t>
      </w:r>
      <w:r w:rsidR="00113DD4" w:rsidRPr="00AB5A76">
        <w:rPr>
          <w:lang w:val="en-GB"/>
        </w:rPr>
        <w:t>improving road safety and considered it important that finance</w:t>
      </w:r>
      <w:r w:rsidR="008C1682" w:rsidRPr="00AB5A76">
        <w:rPr>
          <w:lang w:val="en-GB"/>
        </w:rPr>
        <w:t>s</w:t>
      </w:r>
      <w:r w:rsidR="00113DD4" w:rsidRPr="00AB5A76">
        <w:rPr>
          <w:lang w:val="en-GB"/>
        </w:rPr>
        <w:t xml:space="preserve"> for road safety </w:t>
      </w:r>
      <w:r w:rsidR="008C1682" w:rsidRPr="00AB5A76">
        <w:rPr>
          <w:lang w:val="en-GB"/>
        </w:rPr>
        <w:t xml:space="preserve">are </w:t>
      </w:r>
      <w:r w:rsidR="00113DD4" w:rsidRPr="00AB5A76">
        <w:rPr>
          <w:lang w:val="en-GB"/>
        </w:rPr>
        <w:t>ensured. In this regard, welcomed the prepar</w:t>
      </w:r>
      <w:r w:rsidR="00C833EF" w:rsidRPr="00AB5A76">
        <w:rPr>
          <w:lang w:val="en-GB"/>
        </w:rPr>
        <w:t>ations</w:t>
      </w:r>
      <w:r w:rsidR="00113DD4" w:rsidRPr="00AB5A76">
        <w:rPr>
          <w:lang w:val="en-GB"/>
        </w:rPr>
        <w:t xml:space="preserve"> for </w:t>
      </w:r>
      <w:r w:rsidR="008C1682" w:rsidRPr="00AB5A76">
        <w:rPr>
          <w:lang w:val="en-GB"/>
        </w:rPr>
        <w:t>establish</w:t>
      </w:r>
      <w:r w:rsidR="00C833EF" w:rsidRPr="00AB5A76">
        <w:rPr>
          <w:lang w:val="en-GB"/>
        </w:rPr>
        <w:t>ing</w:t>
      </w:r>
      <w:r w:rsidR="008C1682" w:rsidRPr="00AB5A76">
        <w:rPr>
          <w:lang w:val="en-GB"/>
        </w:rPr>
        <w:t xml:space="preserve"> the </w:t>
      </w:r>
      <w:r w:rsidR="00086148" w:rsidRPr="00AB5A76">
        <w:rPr>
          <w:lang w:val="en-GB"/>
        </w:rPr>
        <w:t xml:space="preserve">United Nations </w:t>
      </w:r>
      <w:r w:rsidR="00317051" w:rsidRPr="00AB5A76">
        <w:rPr>
          <w:lang w:val="en-GB"/>
        </w:rPr>
        <w:t>Road Safety Fund</w:t>
      </w:r>
      <w:r w:rsidR="00470536" w:rsidRPr="00AB5A76">
        <w:rPr>
          <w:lang w:val="en-GB"/>
        </w:rPr>
        <w:t>;</w:t>
      </w:r>
      <w:r w:rsidR="00317051" w:rsidRPr="00AB5A76">
        <w:rPr>
          <w:lang w:val="en-GB"/>
        </w:rPr>
        <w:t xml:space="preserve"> </w:t>
      </w:r>
      <w:r w:rsidR="00113DD4" w:rsidRPr="00AB5A76">
        <w:rPr>
          <w:b/>
          <w:lang w:val="en-GB"/>
        </w:rPr>
        <w:t>appreciated</w:t>
      </w:r>
      <w:r w:rsidR="00317051" w:rsidRPr="00AB5A76">
        <w:rPr>
          <w:lang w:val="en-GB"/>
        </w:rPr>
        <w:t xml:space="preserve"> the </w:t>
      </w:r>
      <w:r w:rsidR="00113DD4" w:rsidRPr="00AB5A76">
        <w:rPr>
          <w:lang w:val="en-GB"/>
        </w:rPr>
        <w:t xml:space="preserve">draft </w:t>
      </w:r>
      <w:r w:rsidR="00317051" w:rsidRPr="00AB5A76">
        <w:rPr>
          <w:lang w:val="en-GB"/>
        </w:rPr>
        <w:t xml:space="preserve">paper </w:t>
      </w:r>
      <w:r w:rsidR="00113DD4" w:rsidRPr="00AB5A76">
        <w:rPr>
          <w:lang w:val="en-GB"/>
        </w:rPr>
        <w:t xml:space="preserve">submitted by the UNECE Executive Secretary </w:t>
      </w:r>
      <w:r w:rsidR="00317051" w:rsidRPr="00AB5A76">
        <w:rPr>
          <w:lang w:val="en-GB"/>
        </w:rPr>
        <w:t>on the possible ways for doing so and (</w:t>
      </w:r>
      <w:r w:rsidR="00E8561E">
        <w:rPr>
          <w:lang w:val="en-GB"/>
        </w:rPr>
        <w:t>a</w:t>
      </w:r>
      <w:r w:rsidR="00317051" w:rsidRPr="00AB5A76">
        <w:rPr>
          <w:lang w:val="en-GB"/>
        </w:rPr>
        <w:t xml:space="preserve">) </w:t>
      </w:r>
      <w:r w:rsidR="00317051" w:rsidRPr="00AB5A76">
        <w:rPr>
          <w:b/>
          <w:lang w:val="en-GB"/>
        </w:rPr>
        <w:t>asked</w:t>
      </w:r>
      <w:r w:rsidR="00317051" w:rsidRPr="00AB5A76">
        <w:rPr>
          <w:lang w:val="en-GB"/>
        </w:rPr>
        <w:t xml:space="preserve"> for more detail</w:t>
      </w:r>
      <w:r w:rsidR="004937A6" w:rsidRPr="00AB5A76">
        <w:rPr>
          <w:lang w:val="en-GB"/>
        </w:rPr>
        <w:t xml:space="preserve">s on </w:t>
      </w:r>
      <w:r w:rsidR="00317051" w:rsidRPr="00AB5A76">
        <w:rPr>
          <w:lang w:val="en-GB"/>
        </w:rPr>
        <w:t>the concrete steps and their implications,</w:t>
      </w:r>
      <w:r w:rsidR="00C833EF" w:rsidRPr="00AB5A76">
        <w:rPr>
          <w:lang w:val="en-GB"/>
        </w:rPr>
        <w:t xml:space="preserve"> </w:t>
      </w:r>
      <w:r w:rsidR="00317051" w:rsidRPr="00AB5A76">
        <w:rPr>
          <w:lang w:val="en-GB"/>
        </w:rPr>
        <w:t>(</w:t>
      </w:r>
      <w:r w:rsidR="00E8561E">
        <w:rPr>
          <w:lang w:val="en-GB"/>
        </w:rPr>
        <w:t>b</w:t>
      </w:r>
      <w:r w:rsidR="00317051" w:rsidRPr="00AB5A76">
        <w:rPr>
          <w:lang w:val="en-GB"/>
        </w:rPr>
        <w:t xml:space="preserve">) </w:t>
      </w:r>
      <w:r w:rsidR="00317051" w:rsidRPr="00AB5A76">
        <w:rPr>
          <w:b/>
          <w:lang w:val="en-GB"/>
        </w:rPr>
        <w:t>invited</w:t>
      </w:r>
      <w:r w:rsidR="00317051" w:rsidRPr="00AB5A76">
        <w:rPr>
          <w:lang w:val="en-GB"/>
        </w:rPr>
        <w:t xml:space="preserve"> WP.1 to offer substantive and technical support to governments and other road safety stakeholders in their consultation and</w:t>
      </w:r>
      <w:r w:rsidR="004937A6" w:rsidRPr="00AB5A76">
        <w:rPr>
          <w:lang w:val="en-GB"/>
        </w:rPr>
        <w:t xml:space="preserve"> </w:t>
      </w:r>
      <w:r w:rsidR="00317051" w:rsidRPr="00AB5A76">
        <w:rPr>
          <w:lang w:val="en-GB"/>
        </w:rPr>
        <w:t xml:space="preserve">review of the </w:t>
      </w:r>
      <w:r w:rsidR="00113DD4" w:rsidRPr="00AB5A76">
        <w:rPr>
          <w:lang w:val="en-GB"/>
        </w:rPr>
        <w:t xml:space="preserve"> draft </w:t>
      </w:r>
      <w:r w:rsidR="00317051" w:rsidRPr="00AB5A76">
        <w:rPr>
          <w:lang w:val="en-GB"/>
        </w:rPr>
        <w:t>proposal on establish</w:t>
      </w:r>
      <w:r w:rsidR="004937A6" w:rsidRPr="00AB5A76">
        <w:rPr>
          <w:lang w:val="en-GB"/>
        </w:rPr>
        <w:t>ing</w:t>
      </w:r>
      <w:r w:rsidR="00317051" w:rsidRPr="00AB5A76">
        <w:rPr>
          <w:lang w:val="en-GB"/>
        </w:rPr>
        <w:t xml:space="preserve"> the </w:t>
      </w:r>
      <w:r w:rsidR="00086148" w:rsidRPr="00AB5A76">
        <w:rPr>
          <w:lang w:val="en-GB"/>
        </w:rPr>
        <w:t xml:space="preserve">United Nations </w:t>
      </w:r>
      <w:r w:rsidR="00317051" w:rsidRPr="00AB5A76">
        <w:rPr>
          <w:lang w:val="en-GB"/>
        </w:rPr>
        <w:t xml:space="preserve">Road Safety Fund. </w:t>
      </w:r>
      <w:r w:rsidR="00113DD4" w:rsidRPr="00AB5A76">
        <w:rPr>
          <w:lang w:val="en-GB"/>
        </w:rPr>
        <w:t xml:space="preserve">The Committee </w:t>
      </w:r>
      <w:r w:rsidR="00113DD4" w:rsidRPr="00AB5A76">
        <w:rPr>
          <w:b/>
          <w:lang w:val="en-GB"/>
        </w:rPr>
        <w:t xml:space="preserve">welcomed </w:t>
      </w:r>
      <w:r w:rsidR="00317051" w:rsidRPr="00AB5A76">
        <w:rPr>
          <w:lang w:val="en-GB"/>
        </w:rPr>
        <w:t xml:space="preserve">the </w:t>
      </w:r>
      <w:r w:rsidR="00470536" w:rsidRPr="00AB5A76">
        <w:rPr>
          <w:b/>
          <w:lang w:val="en-GB"/>
        </w:rPr>
        <w:t>transmission</w:t>
      </w:r>
      <w:r w:rsidR="00470536" w:rsidRPr="00AB5A76">
        <w:rPr>
          <w:lang w:val="en-GB"/>
        </w:rPr>
        <w:t xml:space="preserve"> of the </w:t>
      </w:r>
      <w:r w:rsidR="00317051" w:rsidRPr="00AB5A76">
        <w:rPr>
          <w:lang w:val="en-GB"/>
        </w:rPr>
        <w:t xml:space="preserve">proposal to the Secretary-General for review and submission to the </w:t>
      </w:r>
      <w:r w:rsidR="00086148" w:rsidRPr="00AB5A76">
        <w:rPr>
          <w:lang w:val="en-GB"/>
        </w:rPr>
        <w:t xml:space="preserve">United Nations </w:t>
      </w:r>
      <w:r w:rsidR="00317051" w:rsidRPr="00AB5A76">
        <w:rPr>
          <w:lang w:val="en-GB"/>
        </w:rPr>
        <w:t>General Assembly</w:t>
      </w:r>
      <w:r w:rsidR="00113DD4" w:rsidRPr="00AB5A76">
        <w:rPr>
          <w:lang w:val="en-GB"/>
        </w:rPr>
        <w:t xml:space="preserve"> after thorough consultations</w:t>
      </w:r>
      <w:r w:rsidR="00470536" w:rsidRPr="00AB5A76">
        <w:rPr>
          <w:lang w:val="en-GB"/>
        </w:rPr>
        <w:t>,</w:t>
      </w:r>
      <w:r w:rsidR="00113DD4" w:rsidRPr="00AB5A76">
        <w:rPr>
          <w:lang w:val="en-GB"/>
        </w:rPr>
        <w:t xml:space="preserve"> and to facilitate it </w:t>
      </w:r>
      <w:r w:rsidR="00113DD4" w:rsidRPr="00AB5A76">
        <w:rPr>
          <w:b/>
          <w:lang w:val="en-GB"/>
        </w:rPr>
        <w:t>invited participating delegates and all other road safety stakeholders</w:t>
      </w:r>
      <w:r w:rsidR="00113DD4" w:rsidRPr="00AB5A76">
        <w:rPr>
          <w:lang w:val="en-GB"/>
        </w:rPr>
        <w:t xml:space="preserve"> to stay engaged in the consultation process</w:t>
      </w:r>
      <w:r w:rsidR="00E8561E">
        <w:rPr>
          <w:lang w:val="en-GB"/>
        </w:rPr>
        <w:t>.</w:t>
      </w:r>
      <w:r w:rsidR="00FC533F" w:rsidRPr="00AB5A76">
        <w:rPr>
          <w:lang w:val="en-GB"/>
        </w:rPr>
        <w:t xml:space="preserve"> </w:t>
      </w:r>
      <w:r w:rsidR="0064533E" w:rsidRPr="00AB5A76">
        <w:rPr>
          <w:rFonts w:eastAsia="Times New Roman"/>
          <w:lang w:val="en-GB"/>
        </w:rPr>
        <w:t xml:space="preserve">The Committee </w:t>
      </w:r>
      <w:r w:rsidR="0064533E" w:rsidRPr="00E8561E">
        <w:rPr>
          <w:rFonts w:eastAsia="Times New Roman"/>
          <w:b/>
          <w:lang w:val="en-GB"/>
        </w:rPr>
        <w:t>asked</w:t>
      </w:r>
      <w:r w:rsidR="0064533E" w:rsidRPr="00AB5A76">
        <w:rPr>
          <w:rFonts w:eastAsia="Times New Roman"/>
          <w:lang w:val="en-GB"/>
        </w:rPr>
        <w:t xml:space="preserve"> for further information on the timetable</w:t>
      </w:r>
      <w:r w:rsidR="00E33DDC">
        <w:rPr>
          <w:rFonts w:eastAsia="Times New Roman"/>
          <w:lang w:val="en-GB"/>
        </w:rPr>
        <w:t>;</w:t>
      </w:r>
    </w:p>
    <w:p w14:paraId="6D099A7B" w14:textId="4B35E898" w:rsidR="00136BBA" w:rsidRDefault="00F0309B" w:rsidP="002D713D">
      <w:pPr>
        <w:pStyle w:val="SingleTxtG"/>
        <w:rPr>
          <w:lang w:val="en-GB"/>
        </w:rPr>
      </w:pPr>
      <w:r w:rsidRPr="00AB5A76">
        <w:rPr>
          <w:lang w:val="en-GB"/>
        </w:rPr>
        <w:t>29</w:t>
      </w:r>
      <w:r w:rsidR="00CC3B51" w:rsidRPr="00AB5A76">
        <w:rPr>
          <w:lang w:val="en-GB"/>
        </w:rPr>
        <w:t>.</w:t>
      </w:r>
      <w:r w:rsidR="00E702DE" w:rsidRPr="00AB5A76">
        <w:rPr>
          <w:lang w:val="en-GB"/>
        </w:rPr>
        <w:t xml:space="preserve"> </w:t>
      </w:r>
      <w:r w:rsidR="00162038">
        <w:rPr>
          <w:lang w:val="en-GB"/>
        </w:rPr>
        <w:tab/>
      </w:r>
      <w:r w:rsidR="002D713D" w:rsidRPr="00AB5A76">
        <w:rPr>
          <w:b/>
          <w:bCs/>
          <w:lang w:val="en-GB"/>
        </w:rPr>
        <w:t>Took note</w:t>
      </w:r>
      <w:r w:rsidR="002D713D" w:rsidRPr="00AB5A76">
        <w:rPr>
          <w:lang w:val="en-GB"/>
        </w:rPr>
        <w:t xml:space="preserve"> </w:t>
      </w:r>
      <w:r w:rsidR="00E702DE" w:rsidRPr="00AB5A76">
        <w:rPr>
          <w:lang w:val="en-GB"/>
        </w:rPr>
        <w:t xml:space="preserve">the initiative by the Special Envoy and ECE </w:t>
      </w:r>
      <w:r w:rsidR="00CC3B51" w:rsidRPr="00AB5A76">
        <w:rPr>
          <w:lang w:val="en-GB"/>
        </w:rPr>
        <w:t xml:space="preserve">for </w:t>
      </w:r>
      <w:r w:rsidR="00E702DE" w:rsidRPr="00AB5A76">
        <w:rPr>
          <w:lang w:val="en-GB"/>
        </w:rPr>
        <w:t xml:space="preserve">a voluntary commitment </w:t>
      </w:r>
      <w:r w:rsidR="00CC3B51" w:rsidRPr="00AB5A76">
        <w:rPr>
          <w:lang w:val="en-GB"/>
        </w:rPr>
        <w:t xml:space="preserve">from </w:t>
      </w:r>
      <w:r w:rsidR="00E702DE" w:rsidRPr="00AB5A76">
        <w:rPr>
          <w:lang w:val="en-GB"/>
        </w:rPr>
        <w:t xml:space="preserve">the automotive industry to </w:t>
      </w:r>
      <w:r w:rsidR="00CC3B51" w:rsidRPr="00AB5A76">
        <w:rPr>
          <w:lang w:val="en-GB"/>
        </w:rPr>
        <w:t xml:space="preserve">only </w:t>
      </w:r>
      <w:r w:rsidR="00470536" w:rsidRPr="00AB5A76">
        <w:rPr>
          <w:lang w:val="en-GB"/>
        </w:rPr>
        <w:t xml:space="preserve">put </w:t>
      </w:r>
      <w:r w:rsidR="00CC3B51" w:rsidRPr="00AB5A76">
        <w:rPr>
          <w:lang w:val="en-GB"/>
        </w:rPr>
        <w:t xml:space="preserve">vehicles </w:t>
      </w:r>
      <w:r w:rsidR="00E702DE" w:rsidRPr="00AB5A76">
        <w:rPr>
          <w:lang w:val="en-GB"/>
        </w:rPr>
        <w:t xml:space="preserve">on </w:t>
      </w:r>
      <w:r w:rsidR="004937A6" w:rsidRPr="00AB5A76">
        <w:rPr>
          <w:lang w:val="en-GB"/>
        </w:rPr>
        <w:t xml:space="preserve">worldwide </w:t>
      </w:r>
      <w:r w:rsidR="00E702DE" w:rsidRPr="00AB5A76">
        <w:rPr>
          <w:lang w:val="en-GB"/>
        </w:rPr>
        <w:t>market</w:t>
      </w:r>
      <w:r w:rsidR="00CC3B51" w:rsidRPr="00AB5A76">
        <w:rPr>
          <w:lang w:val="en-GB"/>
        </w:rPr>
        <w:t>s which</w:t>
      </w:r>
      <w:r w:rsidR="00E702DE" w:rsidRPr="00AB5A76">
        <w:rPr>
          <w:lang w:val="en-GB"/>
        </w:rPr>
        <w:t xml:space="preserve"> comply with a defined minimum set of </w:t>
      </w:r>
      <w:r w:rsidR="00086148" w:rsidRPr="00AB5A76">
        <w:rPr>
          <w:lang w:val="en-GB"/>
        </w:rPr>
        <w:t xml:space="preserve">United Nations </w:t>
      </w:r>
      <w:r w:rsidR="00470536" w:rsidRPr="00AB5A76">
        <w:rPr>
          <w:lang w:val="en-GB"/>
        </w:rPr>
        <w:t>vehicle safety regulations</w:t>
      </w:r>
      <w:r w:rsidR="00136BBA">
        <w:rPr>
          <w:lang w:val="en-GB"/>
        </w:rPr>
        <w:t>;</w:t>
      </w:r>
    </w:p>
    <w:p w14:paraId="36B152AA" w14:textId="4629FBAE" w:rsidR="00136BBA" w:rsidRDefault="00F0309B" w:rsidP="009C1A0B">
      <w:pPr>
        <w:pStyle w:val="SingleTxtG"/>
        <w:rPr>
          <w:lang w:val="en-GB"/>
        </w:rPr>
      </w:pPr>
      <w:r w:rsidRPr="00AB5A76">
        <w:rPr>
          <w:lang w:val="en-GB"/>
        </w:rPr>
        <w:t>30</w:t>
      </w:r>
      <w:r w:rsidR="009C1A0B" w:rsidRPr="00AB5A76">
        <w:rPr>
          <w:lang w:val="en-GB"/>
        </w:rPr>
        <w:t>.</w:t>
      </w:r>
      <w:r w:rsidR="009C1A0B" w:rsidRPr="00AB5A76">
        <w:rPr>
          <w:lang w:val="en-GB"/>
        </w:rPr>
        <w:tab/>
      </w:r>
      <w:r w:rsidR="009C1A0B" w:rsidRPr="00AB5A76">
        <w:rPr>
          <w:b/>
          <w:lang w:val="en-GB"/>
        </w:rPr>
        <w:t>Took note</w:t>
      </w:r>
      <w:r w:rsidR="009C1A0B" w:rsidRPr="00AB5A76">
        <w:rPr>
          <w:lang w:val="en-GB"/>
        </w:rPr>
        <w:t xml:space="preserve"> of ECE/TRANS/2017/15 and </w:t>
      </w:r>
      <w:r w:rsidR="007F7DD9" w:rsidRPr="00AB5A76">
        <w:rPr>
          <w:b/>
          <w:lang w:val="en-GB"/>
        </w:rPr>
        <w:t xml:space="preserve">welcomed </w:t>
      </w:r>
      <w:r w:rsidR="007F7DD9" w:rsidRPr="00AB5A76">
        <w:rPr>
          <w:lang w:val="en-GB"/>
        </w:rPr>
        <w:t>the</w:t>
      </w:r>
      <w:r w:rsidR="00113DD4" w:rsidRPr="00AB5A76">
        <w:rPr>
          <w:lang w:val="en-GB"/>
        </w:rPr>
        <w:t xml:space="preserve"> extension of the appointment </w:t>
      </w:r>
      <w:r w:rsidR="007F7DD9" w:rsidRPr="00AB5A76">
        <w:rPr>
          <w:lang w:val="en-GB"/>
        </w:rPr>
        <w:t>of the</w:t>
      </w:r>
      <w:r w:rsidR="009C1A0B" w:rsidRPr="00AB5A76">
        <w:rPr>
          <w:lang w:val="en-GB"/>
        </w:rPr>
        <w:t xml:space="preserve"> Special Envoy</w:t>
      </w:r>
      <w:r w:rsidR="00A0143C" w:rsidRPr="00AB5A76">
        <w:rPr>
          <w:lang w:val="en-GB"/>
        </w:rPr>
        <w:t xml:space="preserve"> </w:t>
      </w:r>
      <w:r w:rsidR="00113DD4" w:rsidRPr="00AB5A76">
        <w:rPr>
          <w:lang w:val="en-GB"/>
        </w:rPr>
        <w:t>for another year</w:t>
      </w:r>
      <w:r w:rsidR="009C1A0B" w:rsidRPr="00AB5A76">
        <w:rPr>
          <w:lang w:val="en-GB"/>
        </w:rPr>
        <w:t xml:space="preserve">, </w:t>
      </w:r>
      <w:r w:rsidR="005D0329" w:rsidRPr="00AB5A76">
        <w:rPr>
          <w:lang w:val="en-GB"/>
        </w:rPr>
        <w:t xml:space="preserve">which </w:t>
      </w:r>
      <w:r w:rsidR="007F7DD9" w:rsidRPr="00AB5A76">
        <w:rPr>
          <w:lang w:val="en-GB"/>
        </w:rPr>
        <w:t>will ensure</w:t>
      </w:r>
      <w:r w:rsidR="009C1A0B" w:rsidRPr="00AB5A76">
        <w:rPr>
          <w:lang w:val="en-GB"/>
        </w:rPr>
        <w:t xml:space="preserve"> </w:t>
      </w:r>
      <w:r w:rsidR="00CC3B51" w:rsidRPr="00AB5A76">
        <w:rPr>
          <w:lang w:val="en-GB"/>
        </w:rPr>
        <w:t xml:space="preserve">a </w:t>
      </w:r>
      <w:r w:rsidR="009C1A0B" w:rsidRPr="00AB5A76">
        <w:rPr>
          <w:lang w:val="en-GB"/>
        </w:rPr>
        <w:t xml:space="preserve">continuation of the important work and momentum built so far by the Special Envoy </w:t>
      </w:r>
      <w:r w:rsidR="00CC3B51" w:rsidRPr="00AB5A76">
        <w:rPr>
          <w:lang w:val="en-GB"/>
        </w:rPr>
        <w:t xml:space="preserve">in improving </w:t>
      </w:r>
      <w:r w:rsidR="009C1A0B" w:rsidRPr="00AB5A76">
        <w:rPr>
          <w:lang w:val="en-GB"/>
        </w:rPr>
        <w:t>road safety and promot</w:t>
      </w:r>
      <w:r w:rsidR="00CC3B51" w:rsidRPr="00AB5A76">
        <w:rPr>
          <w:lang w:val="en-GB"/>
        </w:rPr>
        <w:t>ing</w:t>
      </w:r>
      <w:r w:rsidR="009C1A0B" w:rsidRPr="00AB5A76">
        <w:rPr>
          <w:lang w:val="en-GB"/>
        </w:rPr>
        <w:t xml:space="preserve"> United Nations road safety legal instruments</w:t>
      </w:r>
      <w:r w:rsidR="00136BBA">
        <w:rPr>
          <w:lang w:val="en-GB"/>
        </w:rPr>
        <w:t>;</w:t>
      </w:r>
    </w:p>
    <w:p w14:paraId="1D2C5ED3" w14:textId="67BDE96C" w:rsidR="004643F3" w:rsidRPr="00AB5A76" w:rsidRDefault="00F0309B" w:rsidP="004643F3">
      <w:pPr>
        <w:pStyle w:val="SingleTxtG"/>
        <w:rPr>
          <w:lang w:val="en-GB"/>
        </w:rPr>
      </w:pPr>
      <w:r w:rsidRPr="00AB5A76">
        <w:rPr>
          <w:lang w:val="en-GB"/>
        </w:rPr>
        <w:t>31</w:t>
      </w:r>
      <w:r w:rsidR="004643F3" w:rsidRPr="00AB5A76">
        <w:rPr>
          <w:lang w:val="en-GB"/>
        </w:rPr>
        <w:t>.</w:t>
      </w:r>
      <w:r w:rsidR="004643F3" w:rsidRPr="00AB5A76">
        <w:rPr>
          <w:lang w:val="en-GB"/>
        </w:rPr>
        <w:tab/>
      </w:r>
      <w:r w:rsidR="004643F3" w:rsidRPr="00AB5A76">
        <w:rPr>
          <w:b/>
          <w:lang w:val="en-GB"/>
        </w:rPr>
        <w:t>Took note</w:t>
      </w:r>
      <w:r w:rsidR="004643F3" w:rsidRPr="00AB5A76">
        <w:rPr>
          <w:lang w:val="en-GB"/>
        </w:rPr>
        <w:t xml:space="preserve"> of the presentation</w:t>
      </w:r>
      <w:r w:rsidR="005D0329" w:rsidRPr="00AB5A76">
        <w:rPr>
          <w:lang w:val="en-GB"/>
        </w:rPr>
        <w:t>s</w:t>
      </w:r>
      <w:r w:rsidR="004643F3" w:rsidRPr="00AB5A76">
        <w:rPr>
          <w:lang w:val="en-GB"/>
        </w:rPr>
        <w:t xml:space="preserve"> on road safety </w:t>
      </w:r>
      <w:r w:rsidR="005D0329" w:rsidRPr="00AB5A76">
        <w:rPr>
          <w:lang w:val="en-GB"/>
        </w:rPr>
        <w:t xml:space="preserve">global </w:t>
      </w:r>
      <w:r w:rsidR="004643F3" w:rsidRPr="00AB5A76">
        <w:rPr>
          <w:lang w:val="en-GB"/>
        </w:rPr>
        <w:t xml:space="preserve">targets </w:t>
      </w:r>
      <w:r w:rsidR="00CC3B51" w:rsidRPr="00AB5A76">
        <w:rPr>
          <w:lang w:val="en-GB"/>
        </w:rPr>
        <w:t>(</w:t>
      </w:r>
      <w:r w:rsidR="005D0329" w:rsidRPr="00AB5A76">
        <w:rPr>
          <w:lang w:val="en-GB"/>
        </w:rPr>
        <w:t>under different agenda items</w:t>
      </w:r>
      <w:r w:rsidR="00CC3B51" w:rsidRPr="00AB5A76">
        <w:rPr>
          <w:lang w:val="en-GB"/>
        </w:rPr>
        <w:t>)</w:t>
      </w:r>
      <w:r w:rsidR="005D0329" w:rsidRPr="00AB5A76">
        <w:rPr>
          <w:lang w:val="en-GB"/>
        </w:rPr>
        <w:t xml:space="preserve"> </w:t>
      </w:r>
      <w:r w:rsidR="00470536" w:rsidRPr="00AB5A76">
        <w:rPr>
          <w:lang w:val="en-GB"/>
        </w:rPr>
        <w:t xml:space="preserve">that will be </w:t>
      </w:r>
      <w:r w:rsidR="005D0329" w:rsidRPr="00AB5A76">
        <w:rPr>
          <w:lang w:val="en-GB"/>
        </w:rPr>
        <w:t>monitor</w:t>
      </w:r>
      <w:r w:rsidR="00470536" w:rsidRPr="00AB5A76">
        <w:rPr>
          <w:lang w:val="en-GB"/>
        </w:rPr>
        <w:t>ed</w:t>
      </w:r>
      <w:r w:rsidR="005D0329" w:rsidRPr="00AB5A76">
        <w:rPr>
          <w:lang w:val="en-GB"/>
        </w:rPr>
        <w:t xml:space="preserve"> at a global level by </w:t>
      </w:r>
      <w:r w:rsidR="00E8561E">
        <w:rPr>
          <w:lang w:val="en-GB"/>
        </w:rPr>
        <w:t>the United Nations Department of Economic and Social Affairs</w:t>
      </w:r>
      <w:r w:rsidR="00470536" w:rsidRPr="00AB5A76">
        <w:rPr>
          <w:lang w:val="en-GB"/>
        </w:rPr>
        <w:t>,</w:t>
      </w:r>
      <w:r w:rsidR="005D0329" w:rsidRPr="00AB5A76">
        <w:rPr>
          <w:lang w:val="en-GB"/>
        </w:rPr>
        <w:t xml:space="preserve"> </w:t>
      </w:r>
      <w:r w:rsidR="00470536" w:rsidRPr="00AB5A76">
        <w:rPr>
          <w:lang w:val="en-GB"/>
        </w:rPr>
        <w:t xml:space="preserve">and which </w:t>
      </w:r>
      <w:r w:rsidR="005D0329" w:rsidRPr="00AB5A76">
        <w:rPr>
          <w:lang w:val="en-GB"/>
        </w:rPr>
        <w:t xml:space="preserve">focus on the </w:t>
      </w:r>
      <w:r w:rsidR="00E8561E">
        <w:rPr>
          <w:lang w:val="en-GB"/>
        </w:rPr>
        <w:t>S</w:t>
      </w:r>
      <w:r w:rsidR="00470536" w:rsidRPr="00AB5A76">
        <w:rPr>
          <w:lang w:val="en-GB"/>
        </w:rPr>
        <w:t xml:space="preserve">ustainable </w:t>
      </w:r>
      <w:r w:rsidR="00E8561E">
        <w:rPr>
          <w:lang w:val="en-GB"/>
        </w:rPr>
        <w:t>D</w:t>
      </w:r>
      <w:r w:rsidR="00470536" w:rsidRPr="00AB5A76">
        <w:rPr>
          <w:lang w:val="en-GB"/>
        </w:rPr>
        <w:t xml:space="preserve">evelopment </w:t>
      </w:r>
      <w:r w:rsidR="00E8561E">
        <w:rPr>
          <w:lang w:val="en-GB"/>
        </w:rPr>
        <w:t>G</w:t>
      </w:r>
      <w:r w:rsidR="00470536" w:rsidRPr="00AB5A76">
        <w:rPr>
          <w:lang w:val="en-GB"/>
        </w:rPr>
        <w:t>oals,</w:t>
      </w:r>
      <w:r w:rsidR="005D0329" w:rsidRPr="00AB5A76">
        <w:rPr>
          <w:lang w:val="en-GB"/>
        </w:rPr>
        <w:t xml:space="preserve"> and also in the global tracking framework under development by the transport community led by the World Bank, as well as by WHO </w:t>
      </w:r>
      <w:r w:rsidR="00470536" w:rsidRPr="00AB5A76">
        <w:rPr>
          <w:lang w:val="en-GB"/>
        </w:rPr>
        <w:t xml:space="preserve">the </w:t>
      </w:r>
      <w:r w:rsidR="005D0329" w:rsidRPr="00AB5A76">
        <w:rPr>
          <w:lang w:val="en-GB"/>
        </w:rPr>
        <w:t xml:space="preserve">meticulous </w:t>
      </w:r>
      <w:r w:rsidR="00470536" w:rsidRPr="00AB5A76">
        <w:rPr>
          <w:lang w:val="en-GB"/>
        </w:rPr>
        <w:t xml:space="preserve">collection of </w:t>
      </w:r>
      <w:r w:rsidR="005D0329" w:rsidRPr="00AB5A76">
        <w:rPr>
          <w:lang w:val="en-GB"/>
        </w:rPr>
        <w:t xml:space="preserve">data </w:t>
      </w:r>
      <w:r w:rsidR="00470536" w:rsidRPr="00AB5A76">
        <w:rPr>
          <w:lang w:val="en-GB"/>
        </w:rPr>
        <w:t xml:space="preserve">for </w:t>
      </w:r>
      <w:r w:rsidR="005D0329" w:rsidRPr="00AB5A76">
        <w:rPr>
          <w:lang w:val="en-GB"/>
        </w:rPr>
        <w:t xml:space="preserve">the series of the Global Status reports; </w:t>
      </w:r>
      <w:r w:rsidR="005D0329" w:rsidRPr="00AB5A76">
        <w:rPr>
          <w:b/>
          <w:bCs/>
          <w:lang w:val="en-GB"/>
        </w:rPr>
        <w:t>R</w:t>
      </w:r>
      <w:r w:rsidR="004643F3" w:rsidRPr="00AB5A76">
        <w:rPr>
          <w:b/>
          <w:lang w:val="en-GB"/>
        </w:rPr>
        <w:t>equested</w:t>
      </w:r>
      <w:r w:rsidR="004643F3" w:rsidRPr="00AB5A76">
        <w:rPr>
          <w:lang w:val="en-GB"/>
        </w:rPr>
        <w:t xml:space="preserve"> </w:t>
      </w:r>
      <w:r w:rsidR="005D0329" w:rsidRPr="00AB5A76">
        <w:rPr>
          <w:lang w:val="en-GB"/>
        </w:rPr>
        <w:t xml:space="preserve">the secretariat and the relevant </w:t>
      </w:r>
      <w:r w:rsidR="00470536" w:rsidRPr="00AB5A76">
        <w:rPr>
          <w:lang w:val="en-GB"/>
        </w:rPr>
        <w:t>W</w:t>
      </w:r>
      <w:r w:rsidR="005D0329" w:rsidRPr="00AB5A76">
        <w:rPr>
          <w:lang w:val="en-GB"/>
        </w:rPr>
        <w:t xml:space="preserve">orking </w:t>
      </w:r>
      <w:r w:rsidR="00470536" w:rsidRPr="00AB5A76">
        <w:rPr>
          <w:lang w:val="en-GB"/>
        </w:rPr>
        <w:t>P</w:t>
      </w:r>
      <w:r w:rsidR="005D0329" w:rsidRPr="00AB5A76">
        <w:rPr>
          <w:lang w:val="en-GB"/>
        </w:rPr>
        <w:t xml:space="preserve">arties, especially </w:t>
      </w:r>
      <w:r w:rsidR="004643F3" w:rsidRPr="00AB5A76">
        <w:rPr>
          <w:lang w:val="en-GB"/>
        </w:rPr>
        <w:t>WP.6, WP.1</w:t>
      </w:r>
      <w:r w:rsidR="005D0329" w:rsidRPr="00AB5A76">
        <w:rPr>
          <w:lang w:val="en-GB"/>
        </w:rPr>
        <w:t xml:space="preserve"> and </w:t>
      </w:r>
      <w:r w:rsidR="004643F3" w:rsidRPr="00AB5A76">
        <w:rPr>
          <w:lang w:val="en-GB"/>
        </w:rPr>
        <w:t xml:space="preserve"> WP.29 to provide substantive comments</w:t>
      </w:r>
      <w:r w:rsidR="005D0329" w:rsidRPr="00AB5A76">
        <w:rPr>
          <w:lang w:val="en-GB"/>
        </w:rPr>
        <w:t xml:space="preserve"> and continue contributing to all three initiatives</w:t>
      </w:r>
      <w:r w:rsidR="004643F3" w:rsidRPr="00AB5A76">
        <w:rPr>
          <w:lang w:val="en-GB"/>
        </w:rPr>
        <w:t xml:space="preserve">, </w:t>
      </w:r>
      <w:r w:rsidR="00CC3B51" w:rsidRPr="00AB5A76">
        <w:rPr>
          <w:lang w:val="en-GB"/>
        </w:rPr>
        <w:t xml:space="preserve">and </w:t>
      </w:r>
      <w:r w:rsidR="00470536" w:rsidRPr="00AB5A76">
        <w:rPr>
          <w:lang w:val="en-GB"/>
        </w:rPr>
        <w:t xml:space="preserve">in </w:t>
      </w:r>
      <w:r w:rsidR="004643F3" w:rsidRPr="00AB5A76">
        <w:rPr>
          <w:lang w:val="en-GB"/>
        </w:rPr>
        <w:t>particular</w:t>
      </w:r>
      <w:r w:rsidR="00CC3B51" w:rsidRPr="00AB5A76">
        <w:rPr>
          <w:lang w:val="en-GB"/>
        </w:rPr>
        <w:t>,</w:t>
      </w:r>
      <w:r w:rsidR="004643F3" w:rsidRPr="00AB5A76">
        <w:rPr>
          <w:lang w:val="en-GB"/>
        </w:rPr>
        <w:t xml:space="preserve"> </w:t>
      </w:r>
      <w:r w:rsidR="00470536" w:rsidRPr="00AB5A76">
        <w:rPr>
          <w:lang w:val="en-GB"/>
        </w:rPr>
        <w:t xml:space="preserve">to </w:t>
      </w:r>
      <w:r w:rsidR="004643F3" w:rsidRPr="00AB5A76">
        <w:rPr>
          <w:lang w:val="en-GB"/>
        </w:rPr>
        <w:t>emphasiz</w:t>
      </w:r>
      <w:r w:rsidR="00CC3B51" w:rsidRPr="00AB5A76">
        <w:rPr>
          <w:lang w:val="en-GB"/>
        </w:rPr>
        <w:t>e</w:t>
      </w:r>
      <w:r w:rsidR="004643F3" w:rsidRPr="00AB5A76">
        <w:rPr>
          <w:lang w:val="en-GB"/>
        </w:rPr>
        <w:t xml:space="preserve"> </w:t>
      </w:r>
      <w:r w:rsidR="00F32E78" w:rsidRPr="00AB5A76">
        <w:rPr>
          <w:lang w:val="en-GB"/>
        </w:rPr>
        <w:t xml:space="preserve">the </w:t>
      </w:r>
      <w:r w:rsidR="00221704" w:rsidRPr="00AB5A76">
        <w:rPr>
          <w:lang w:val="en-GB"/>
        </w:rPr>
        <w:t xml:space="preserve">importance of </w:t>
      </w:r>
      <w:r w:rsidR="00F32E78" w:rsidRPr="00AB5A76">
        <w:rPr>
          <w:lang w:val="en-GB"/>
        </w:rPr>
        <w:t>inclu</w:t>
      </w:r>
      <w:r w:rsidR="00470536" w:rsidRPr="00AB5A76">
        <w:rPr>
          <w:lang w:val="en-GB"/>
        </w:rPr>
        <w:t>ding</w:t>
      </w:r>
      <w:r w:rsidR="00F32E78" w:rsidRPr="00AB5A76">
        <w:rPr>
          <w:lang w:val="en-GB"/>
        </w:rPr>
        <w:t xml:space="preserve"> </w:t>
      </w:r>
      <w:r w:rsidR="004643F3" w:rsidRPr="00AB5A76">
        <w:rPr>
          <w:lang w:val="en-GB"/>
        </w:rPr>
        <w:t xml:space="preserve">targets related to the accession and effective implementation of United Nations road safety legal instruments administered </w:t>
      </w:r>
      <w:r w:rsidR="00CC3B51" w:rsidRPr="00AB5A76">
        <w:rPr>
          <w:lang w:val="en-GB"/>
        </w:rPr>
        <w:t xml:space="preserve">by </w:t>
      </w:r>
      <w:r w:rsidR="004643F3" w:rsidRPr="00AB5A76">
        <w:rPr>
          <w:lang w:val="en-GB"/>
        </w:rPr>
        <w:t>the Committee;</w:t>
      </w:r>
    </w:p>
    <w:p w14:paraId="3002F551" w14:textId="77777777" w:rsidR="00136BBA" w:rsidRDefault="00F0309B" w:rsidP="009A33CF">
      <w:pPr>
        <w:pStyle w:val="SingleTxtG"/>
        <w:rPr>
          <w:lang w:val="en-GB"/>
        </w:rPr>
      </w:pPr>
      <w:r w:rsidRPr="00AB5A76">
        <w:rPr>
          <w:lang w:val="en-GB"/>
        </w:rPr>
        <w:t>32</w:t>
      </w:r>
      <w:r w:rsidR="009C1A0B" w:rsidRPr="00AB5A76">
        <w:rPr>
          <w:lang w:val="en-GB"/>
        </w:rPr>
        <w:t>.</w:t>
      </w:r>
      <w:r w:rsidR="009C1A0B" w:rsidRPr="00AB5A76">
        <w:rPr>
          <w:lang w:val="en-GB"/>
        </w:rPr>
        <w:tab/>
      </w:r>
      <w:r w:rsidR="009C1A0B" w:rsidRPr="00AB5A76">
        <w:rPr>
          <w:b/>
          <w:lang w:val="en-GB"/>
        </w:rPr>
        <w:t>Noting that</w:t>
      </w:r>
      <w:r w:rsidR="009C1A0B" w:rsidRPr="00AB5A76">
        <w:rPr>
          <w:lang w:val="en-GB"/>
        </w:rPr>
        <w:t xml:space="preserve"> the number of Contracting Parties to the Additional Protocol to the CMR Convention (e-CMR) stands at </w:t>
      </w:r>
      <w:r w:rsidR="00357CEF" w:rsidRPr="00AB5A76">
        <w:rPr>
          <w:lang w:val="en-GB"/>
        </w:rPr>
        <w:t>11</w:t>
      </w:r>
      <w:r w:rsidR="009C1A0B" w:rsidRPr="00AB5A76">
        <w:rPr>
          <w:lang w:val="en-GB"/>
        </w:rPr>
        <w:t xml:space="preserve">, </w:t>
      </w:r>
      <w:r w:rsidR="009C1A0B" w:rsidRPr="00AB5A76">
        <w:rPr>
          <w:b/>
          <w:lang w:val="en-GB"/>
        </w:rPr>
        <w:t>encouraged</w:t>
      </w:r>
      <w:r w:rsidR="009C1A0B" w:rsidRPr="00AB5A76">
        <w:rPr>
          <w:lang w:val="en-GB"/>
        </w:rPr>
        <w:t xml:space="preserve"> more States to accede to the Additional Protocol</w:t>
      </w:r>
      <w:r w:rsidR="009A33CF" w:rsidRPr="00AB5A76">
        <w:rPr>
          <w:lang w:val="en-GB"/>
        </w:rPr>
        <w:t>, in line with the Ministerial Resolution</w:t>
      </w:r>
      <w:r w:rsidR="00521AD7" w:rsidRPr="00AB5A76">
        <w:rPr>
          <w:lang w:val="en-GB"/>
        </w:rPr>
        <w:t>,</w:t>
      </w:r>
      <w:r w:rsidR="009A33CF" w:rsidRPr="00AB5A76">
        <w:rPr>
          <w:lang w:val="en-GB"/>
        </w:rPr>
        <w:t xml:space="preserve"> </w:t>
      </w:r>
      <w:r w:rsidR="009C1A0B" w:rsidRPr="00AB5A76">
        <w:rPr>
          <w:lang w:val="en-GB"/>
        </w:rPr>
        <w:t xml:space="preserve">and </w:t>
      </w:r>
      <w:r w:rsidR="009C1A0B" w:rsidRPr="00AB5A76">
        <w:rPr>
          <w:b/>
          <w:lang w:val="en-GB"/>
        </w:rPr>
        <w:t>urged</w:t>
      </w:r>
      <w:r w:rsidR="009C1A0B" w:rsidRPr="00AB5A76">
        <w:rPr>
          <w:lang w:val="en-GB"/>
        </w:rPr>
        <w:t xml:space="preserve"> the </w:t>
      </w:r>
      <w:r w:rsidR="00357CEF" w:rsidRPr="00AB5A76">
        <w:rPr>
          <w:lang w:val="en-GB"/>
        </w:rPr>
        <w:t xml:space="preserve">current </w:t>
      </w:r>
      <w:r w:rsidR="009C1A0B" w:rsidRPr="00AB5A76">
        <w:rPr>
          <w:lang w:val="en-GB"/>
        </w:rPr>
        <w:lastRenderedPageBreak/>
        <w:t xml:space="preserve">Contracting Parties to begin work </w:t>
      </w:r>
      <w:r w:rsidR="004937A6" w:rsidRPr="00AB5A76">
        <w:rPr>
          <w:lang w:val="en-GB"/>
        </w:rPr>
        <w:t xml:space="preserve">on operationalizing </w:t>
      </w:r>
      <w:r w:rsidR="009C1A0B" w:rsidRPr="00AB5A76">
        <w:rPr>
          <w:lang w:val="en-GB"/>
        </w:rPr>
        <w:t>e-CMR (Article 5 of the CMR Convention)</w:t>
      </w:r>
      <w:r w:rsidR="009A33CF" w:rsidRPr="00AB5A76">
        <w:rPr>
          <w:lang w:val="en-GB"/>
        </w:rPr>
        <w:t xml:space="preserve"> and to share the experience</w:t>
      </w:r>
      <w:r w:rsidR="00470536" w:rsidRPr="00AB5A76">
        <w:rPr>
          <w:lang w:val="en-GB"/>
        </w:rPr>
        <w:t>s</w:t>
      </w:r>
      <w:r w:rsidR="009A33CF" w:rsidRPr="00AB5A76">
        <w:rPr>
          <w:lang w:val="en-GB"/>
        </w:rPr>
        <w:t xml:space="preserve"> of the pilot projects</w:t>
      </w:r>
      <w:r w:rsidR="00136BBA">
        <w:rPr>
          <w:lang w:val="en-GB"/>
        </w:rPr>
        <w:t>;</w:t>
      </w:r>
    </w:p>
    <w:p w14:paraId="53FDB31C" w14:textId="6B04F7B6" w:rsidR="00136BBA" w:rsidRDefault="00F0309B" w:rsidP="005B0C58">
      <w:pPr>
        <w:pStyle w:val="SingleTxtG"/>
        <w:rPr>
          <w:lang w:val="en-GB"/>
        </w:rPr>
      </w:pPr>
      <w:r w:rsidRPr="00AB5A76">
        <w:rPr>
          <w:lang w:val="en-GB"/>
        </w:rPr>
        <w:t>33</w:t>
      </w:r>
      <w:r w:rsidR="005B0C58" w:rsidRPr="00AB5A76">
        <w:rPr>
          <w:lang w:val="en-GB"/>
        </w:rPr>
        <w:t>.</w:t>
      </w:r>
      <w:r w:rsidR="005B0C58" w:rsidRPr="00AB5A76">
        <w:rPr>
          <w:lang w:val="en-GB"/>
        </w:rPr>
        <w:tab/>
      </w:r>
      <w:r w:rsidR="005B0C58" w:rsidRPr="00AB5A76">
        <w:rPr>
          <w:b/>
          <w:lang w:val="en-GB"/>
        </w:rPr>
        <w:t>Endorsed</w:t>
      </w:r>
      <w:r w:rsidR="005B0C58" w:rsidRPr="00AB5A76">
        <w:rPr>
          <w:lang w:val="en-GB"/>
        </w:rPr>
        <w:t xml:space="preserve"> a special resolution (ECE/TRANS/2017/16) prepared and adopted by SC.1 (ECE/TRANS/SC.1/406, Annex III) in response to</w:t>
      </w:r>
      <w:r w:rsidR="00F045DF" w:rsidRPr="00AB5A76">
        <w:rPr>
          <w:lang w:val="en-GB"/>
        </w:rPr>
        <w:t xml:space="preserve"> the</w:t>
      </w:r>
      <w:r w:rsidR="005B0C58" w:rsidRPr="00AB5A76">
        <w:rPr>
          <w:lang w:val="en-GB"/>
        </w:rPr>
        <w:t xml:space="preserve"> </w:t>
      </w:r>
      <w:r w:rsidR="00476CE8" w:rsidRPr="00AB5A76">
        <w:rPr>
          <w:lang w:val="en-GB"/>
        </w:rPr>
        <w:t>Committee</w:t>
      </w:r>
      <w:r w:rsidR="004937A6" w:rsidRPr="00AB5A76">
        <w:rPr>
          <w:lang w:val="en-GB"/>
        </w:rPr>
        <w:t>’s</w:t>
      </w:r>
      <w:r w:rsidR="005B0C58" w:rsidRPr="00AB5A76">
        <w:rPr>
          <w:lang w:val="en-GB"/>
        </w:rPr>
        <w:t xml:space="preserve"> invitation in 2016 (ECE/TRANS/254</w:t>
      </w:r>
      <w:r w:rsidR="004937A6" w:rsidRPr="00AB5A76">
        <w:rPr>
          <w:lang w:val="en-GB"/>
        </w:rPr>
        <w:t>,</w:t>
      </w:r>
      <w:r w:rsidR="005B0C58" w:rsidRPr="00AB5A76">
        <w:rPr>
          <w:lang w:val="en-GB"/>
        </w:rPr>
        <w:t xml:space="preserve"> para.147) and </w:t>
      </w:r>
      <w:r w:rsidR="005B0C58" w:rsidRPr="00AB5A76">
        <w:rPr>
          <w:b/>
          <w:lang w:val="en-GB"/>
        </w:rPr>
        <w:t>expressed its wish that it be</w:t>
      </w:r>
      <w:r w:rsidR="005B0C58" w:rsidRPr="00AB5A76">
        <w:rPr>
          <w:lang w:val="en-GB"/>
        </w:rPr>
        <w:t xml:space="preserve"> </w:t>
      </w:r>
      <w:r w:rsidR="005B0C58" w:rsidRPr="00AB5A76">
        <w:rPr>
          <w:b/>
          <w:lang w:val="en-GB"/>
        </w:rPr>
        <w:t>presented</w:t>
      </w:r>
      <w:r w:rsidR="005B0C58" w:rsidRPr="00AB5A76">
        <w:rPr>
          <w:lang w:val="en-GB"/>
        </w:rPr>
        <w:t xml:space="preserve"> at the </w:t>
      </w:r>
      <w:r w:rsidR="004D15DD">
        <w:rPr>
          <w:lang w:val="en-GB"/>
        </w:rPr>
        <w:t>sixty-seventh</w:t>
      </w:r>
      <w:r w:rsidR="005B0C58" w:rsidRPr="00AB5A76">
        <w:rPr>
          <w:lang w:val="en-GB"/>
        </w:rPr>
        <w:t xml:space="preserve"> session of the Economic Commission for Europe in 2017</w:t>
      </w:r>
      <w:r w:rsidR="00136BBA">
        <w:rPr>
          <w:lang w:val="en-GB"/>
        </w:rPr>
        <w:t>;</w:t>
      </w:r>
    </w:p>
    <w:p w14:paraId="36F8BEC5" w14:textId="71E3F885" w:rsidR="00E33DDC" w:rsidRDefault="00F0309B" w:rsidP="009F271A">
      <w:pPr>
        <w:pStyle w:val="SingleTxtG"/>
        <w:rPr>
          <w:rFonts w:eastAsia="Times New Roman"/>
          <w:lang w:val="en-GB"/>
        </w:rPr>
      </w:pPr>
      <w:r w:rsidRPr="00162038">
        <w:rPr>
          <w:lang w:val="en-GB"/>
        </w:rPr>
        <w:t>34</w:t>
      </w:r>
      <w:r w:rsidR="00E34AE2" w:rsidRPr="00162038">
        <w:rPr>
          <w:lang w:val="en-GB"/>
        </w:rPr>
        <w:t>.</w:t>
      </w:r>
      <w:r w:rsidR="00E34AE2" w:rsidRPr="00AB5A76">
        <w:rPr>
          <w:lang w:val="en-GB"/>
        </w:rPr>
        <w:t xml:space="preserve"> </w:t>
      </w:r>
      <w:r w:rsidR="00162038">
        <w:rPr>
          <w:lang w:val="en-GB"/>
        </w:rPr>
        <w:tab/>
      </w:r>
      <w:r w:rsidR="00E34AE2" w:rsidRPr="00AB5A76">
        <w:rPr>
          <w:b/>
          <w:bCs/>
          <w:lang w:val="en-GB"/>
        </w:rPr>
        <w:t>Agreed to extend</w:t>
      </w:r>
      <w:r w:rsidR="00E34AE2" w:rsidRPr="00AB5A76">
        <w:rPr>
          <w:lang w:val="en-GB"/>
        </w:rPr>
        <w:t xml:space="preserve"> the mandate of the AETR Group of Experts until 30 June </w:t>
      </w:r>
      <w:r w:rsidR="00387F14" w:rsidRPr="00AB5A76">
        <w:rPr>
          <w:lang w:val="en-GB"/>
        </w:rPr>
        <w:t>2019</w:t>
      </w:r>
      <w:r w:rsidR="00E33DDC">
        <w:rPr>
          <w:rFonts w:eastAsia="Times New Roman"/>
          <w:lang w:val="en-GB"/>
        </w:rPr>
        <w:t>;</w:t>
      </w:r>
    </w:p>
    <w:p w14:paraId="1998DDD6" w14:textId="30739273" w:rsidR="00E33DDC" w:rsidRDefault="00F0309B" w:rsidP="009F271A">
      <w:pPr>
        <w:pStyle w:val="SingleTxtG"/>
        <w:rPr>
          <w:lang w:val="en-GB"/>
        </w:rPr>
      </w:pPr>
      <w:r w:rsidRPr="00AB5A76">
        <w:rPr>
          <w:lang w:val="en-GB"/>
        </w:rPr>
        <w:t>35</w:t>
      </w:r>
      <w:r w:rsidR="00E34AE2" w:rsidRPr="00AB5A76">
        <w:rPr>
          <w:lang w:val="en-GB"/>
        </w:rPr>
        <w:t xml:space="preserve">. </w:t>
      </w:r>
      <w:r w:rsidR="00162038">
        <w:rPr>
          <w:lang w:val="en-GB"/>
        </w:rPr>
        <w:tab/>
      </w:r>
      <w:r w:rsidR="00E34AE2" w:rsidRPr="00AB5A76">
        <w:rPr>
          <w:b/>
          <w:bCs/>
          <w:lang w:val="en-GB"/>
        </w:rPr>
        <w:t>Urged</w:t>
      </w:r>
      <w:r w:rsidR="00E34AE2" w:rsidRPr="00AB5A76">
        <w:rPr>
          <w:lang w:val="en-GB"/>
        </w:rPr>
        <w:t xml:space="preserve"> all involved governments to reach a quick and mutually beneficial resolution of all outstanding issues related to the AETR Agreement and the draft OmniBus agreement</w:t>
      </w:r>
      <w:r w:rsidR="00E33DDC">
        <w:rPr>
          <w:lang w:val="en-GB"/>
        </w:rPr>
        <w:t>;</w:t>
      </w:r>
    </w:p>
    <w:p w14:paraId="43D531F8" w14:textId="7386DF45" w:rsidR="00136BBA" w:rsidRDefault="00F0309B" w:rsidP="00432EBB">
      <w:pPr>
        <w:pStyle w:val="SingleTxtG"/>
        <w:rPr>
          <w:lang w:val="en-GB"/>
        </w:rPr>
      </w:pPr>
      <w:r w:rsidRPr="00AB5A76">
        <w:rPr>
          <w:lang w:val="en-GB"/>
        </w:rPr>
        <w:t>36</w:t>
      </w:r>
      <w:r w:rsidR="008561B2" w:rsidRPr="00AB5A76">
        <w:rPr>
          <w:b/>
          <w:lang w:val="en-GB"/>
        </w:rPr>
        <w:t xml:space="preserve">. </w:t>
      </w:r>
      <w:r w:rsidR="00162038">
        <w:rPr>
          <w:b/>
          <w:lang w:val="en-GB"/>
        </w:rPr>
        <w:tab/>
      </w:r>
      <w:r w:rsidR="00CE6B7C" w:rsidRPr="00AB5A76">
        <w:rPr>
          <w:lang w:val="en-GB"/>
        </w:rPr>
        <w:t xml:space="preserve">Was </w:t>
      </w:r>
      <w:r w:rsidR="00CE6B7C" w:rsidRPr="00AB5A76">
        <w:rPr>
          <w:b/>
          <w:lang w:val="en-GB"/>
        </w:rPr>
        <w:t>informed</w:t>
      </w:r>
      <w:r w:rsidR="00CE6B7C" w:rsidRPr="00AB5A76">
        <w:rPr>
          <w:lang w:val="en-GB"/>
        </w:rPr>
        <w:t xml:space="preserve"> about work on railway transport in SC.2</w:t>
      </w:r>
      <w:r w:rsidR="005B1978" w:rsidRPr="00AB5A76">
        <w:rPr>
          <w:lang w:val="en-GB"/>
        </w:rPr>
        <w:t>,</w:t>
      </w:r>
      <w:r w:rsidR="00CE6B7C" w:rsidRPr="00AB5A76">
        <w:rPr>
          <w:lang w:val="en-GB"/>
        </w:rPr>
        <w:t xml:space="preserve"> </w:t>
      </w:r>
      <w:r w:rsidR="005B1978" w:rsidRPr="00AB5A76">
        <w:rPr>
          <w:lang w:val="en-GB"/>
        </w:rPr>
        <w:t xml:space="preserve">i.e. </w:t>
      </w:r>
      <w:r w:rsidR="00CE6B7C" w:rsidRPr="00AB5A76">
        <w:rPr>
          <w:lang w:val="en-GB"/>
        </w:rPr>
        <w:t>develop</w:t>
      </w:r>
      <w:r w:rsidR="005B1978" w:rsidRPr="00AB5A76">
        <w:rPr>
          <w:lang w:val="en-GB"/>
        </w:rPr>
        <w:t>ing</w:t>
      </w:r>
      <w:r w:rsidR="00CE6B7C" w:rsidRPr="00AB5A76">
        <w:rPr>
          <w:lang w:val="en-GB"/>
        </w:rPr>
        <w:t xml:space="preserve"> an international rail security observatory, the action plan for implementing annex 9 to the Harmonization Convention, and the road map </w:t>
      </w:r>
      <w:r w:rsidR="005B1978" w:rsidRPr="00AB5A76">
        <w:rPr>
          <w:lang w:val="en-GB"/>
        </w:rPr>
        <w:t xml:space="preserve">on </w:t>
      </w:r>
      <w:r w:rsidR="00CE6B7C" w:rsidRPr="00AB5A76">
        <w:rPr>
          <w:lang w:val="en-GB"/>
        </w:rPr>
        <w:t xml:space="preserve">finalizing the new convention on facilitating the crossing of frontiers for passengers and baggage carried by rail; </w:t>
      </w:r>
      <w:r w:rsidR="005B1978" w:rsidRPr="00AB5A76">
        <w:rPr>
          <w:lang w:val="en-GB"/>
        </w:rPr>
        <w:t>On the road map</w:t>
      </w:r>
      <w:r w:rsidR="00CE6B7C" w:rsidRPr="00AB5A76">
        <w:rPr>
          <w:lang w:val="en-GB"/>
        </w:rPr>
        <w:t xml:space="preserve">, </w:t>
      </w:r>
      <w:r w:rsidR="00CE6B7C" w:rsidRPr="00AB5A76">
        <w:rPr>
          <w:b/>
          <w:lang w:val="en-GB"/>
        </w:rPr>
        <w:t>gave the following guidance</w:t>
      </w:r>
      <w:r w:rsidR="00CE6B7C" w:rsidRPr="00AB5A76">
        <w:rPr>
          <w:lang w:val="en-GB"/>
        </w:rPr>
        <w:t xml:space="preserve">: further to a substantial review of the draft by WP.30 at its 145th session (February 2017); (a) the secretariat, in March 2017, </w:t>
      </w:r>
      <w:r w:rsidR="00CE6B7C" w:rsidRPr="00AB5A76">
        <w:rPr>
          <w:b/>
          <w:lang w:val="en-GB"/>
        </w:rPr>
        <w:t>should circulate</w:t>
      </w:r>
      <w:r w:rsidR="00CE6B7C" w:rsidRPr="00AB5A76">
        <w:rPr>
          <w:lang w:val="en-GB"/>
        </w:rPr>
        <w:t xml:space="preserve"> the amended draft to WP.30 and to the </w:t>
      </w:r>
      <w:r w:rsidR="005B1978" w:rsidRPr="00AB5A76">
        <w:rPr>
          <w:lang w:val="en-GB"/>
        </w:rPr>
        <w:t xml:space="preserve">Treaty Section of the </w:t>
      </w:r>
      <w:r w:rsidR="00CE6B7C" w:rsidRPr="00AB5A76">
        <w:rPr>
          <w:lang w:val="en-GB"/>
        </w:rPr>
        <w:t xml:space="preserve">Office of Legal Affairs for further review: (b) WP.30 </w:t>
      </w:r>
      <w:r w:rsidR="00CE6B7C" w:rsidRPr="00AB5A76">
        <w:rPr>
          <w:b/>
          <w:lang w:val="en-GB"/>
        </w:rPr>
        <w:t>should finalize</w:t>
      </w:r>
      <w:r w:rsidR="00CE6B7C" w:rsidRPr="00AB5A76">
        <w:rPr>
          <w:lang w:val="en-GB"/>
        </w:rPr>
        <w:t xml:space="preserve"> its comments on the draft by June 2017; (c) the secretariat </w:t>
      </w:r>
      <w:r w:rsidR="00CE6B7C" w:rsidRPr="00AB5A76">
        <w:rPr>
          <w:b/>
          <w:lang w:val="en-GB"/>
        </w:rPr>
        <w:t>should circulate</w:t>
      </w:r>
      <w:r w:rsidR="00CE6B7C" w:rsidRPr="00AB5A76">
        <w:rPr>
          <w:lang w:val="en-GB"/>
        </w:rPr>
        <w:t xml:space="preserve"> the final text to WP.30 and SC.2 by July 2017; (d)</w:t>
      </w:r>
      <w:r w:rsidR="005B1978" w:rsidRPr="00AB5A76">
        <w:rPr>
          <w:lang w:val="en-GB"/>
        </w:rPr>
        <w:t xml:space="preserve"> </w:t>
      </w:r>
      <w:r w:rsidR="00CE6B7C" w:rsidRPr="00AB5A76">
        <w:rPr>
          <w:lang w:val="en-GB"/>
        </w:rPr>
        <w:t xml:space="preserve">so that WP.30 </w:t>
      </w:r>
      <w:r w:rsidR="00CE6B7C" w:rsidRPr="00AB5A76">
        <w:rPr>
          <w:b/>
          <w:lang w:val="en-GB"/>
        </w:rPr>
        <w:t>could  adopt</w:t>
      </w:r>
      <w:r w:rsidR="00CE6B7C" w:rsidRPr="00AB5A76">
        <w:rPr>
          <w:lang w:val="en-GB"/>
        </w:rPr>
        <w:t xml:space="preserve"> the final text at its 147th session (October 2017; (e) SC.2 </w:t>
      </w:r>
      <w:r w:rsidR="00CE6B7C" w:rsidRPr="00AB5A76">
        <w:rPr>
          <w:b/>
          <w:lang w:val="en-GB"/>
        </w:rPr>
        <w:t>could  adopt</w:t>
      </w:r>
      <w:r w:rsidR="00CE6B7C" w:rsidRPr="00AB5A76">
        <w:rPr>
          <w:lang w:val="en-GB"/>
        </w:rPr>
        <w:t xml:space="preserve"> the final text at its seventieth session in November 2017; and (g) the Committee </w:t>
      </w:r>
      <w:r w:rsidR="00CE6B7C" w:rsidRPr="00AB5A76">
        <w:rPr>
          <w:b/>
          <w:lang w:val="en-GB"/>
        </w:rPr>
        <w:t>could consider endorsing</w:t>
      </w:r>
      <w:r w:rsidR="00CE6B7C" w:rsidRPr="00AB5A76">
        <w:rPr>
          <w:lang w:val="en-GB"/>
        </w:rPr>
        <w:t xml:space="preserve"> the final text at its eightieth session (February 2018)</w:t>
      </w:r>
      <w:r w:rsidR="00136BBA">
        <w:rPr>
          <w:lang w:val="en-GB"/>
        </w:rPr>
        <w:t>;</w:t>
      </w:r>
    </w:p>
    <w:p w14:paraId="2032E8EE" w14:textId="77777777" w:rsidR="00136BBA" w:rsidRDefault="00F0309B" w:rsidP="002E6585">
      <w:pPr>
        <w:pStyle w:val="SingleTxtG"/>
        <w:rPr>
          <w:lang w:val="en-GB"/>
        </w:rPr>
      </w:pPr>
      <w:r w:rsidRPr="00AB5A76">
        <w:rPr>
          <w:lang w:val="en-GB"/>
        </w:rPr>
        <w:t>37</w:t>
      </w:r>
      <w:r w:rsidR="008D2059" w:rsidRPr="00AB5A76">
        <w:rPr>
          <w:lang w:val="en-GB"/>
        </w:rPr>
        <w:t>.</w:t>
      </w:r>
      <w:r w:rsidR="008D2059" w:rsidRPr="00AB5A76">
        <w:rPr>
          <w:lang w:val="en-GB"/>
        </w:rPr>
        <w:tab/>
      </w:r>
      <w:r w:rsidR="008D2059" w:rsidRPr="00AB5A76">
        <w:rPr>
          <w:b/>
          <w:lang w:val="en-GB"/>
        </w:rPr>
        <w:t>Approved</w:t>
      </w:r>
      <w:r w:rsidR="008D2059" w:rsidRPr="00AB5A76">
        <w:rPr>
          <w:lang w:val="en-GB"/>
        </w:rPr>
        <w:t xml:space="preserve"> the request of SC.2 to extend the mandate of the Group of Experts </w:t>
      </w:r>
      <w:r w:rsidR="005B1978" w:rsidRPr="00AB5A76">
        <w:rPr>
          <w:lang w:val="en-GB"/>
        </w:rPr>
        <w:t>t</w:t>
      </w:r>
      <w:r w:rsidR="008D2059" w:rsidRPr="00AB5A76">
        <w:rPr>
          <w:lang w:val="en-GB"/>
        </w:rPr>
        <w:t>owards Unified Railway Law based on the same Terms of Reference (ECE/TRANS/2016/18) for one more year</w:t>
      </w:r>
      <w:r w:rsidR="002E6585" w:rsidRPr="00AB5A76">
        <w:rPr>
          <w:lang w:val="en-GB"/>
        </w:rPr>
        <w:t>,</w:t>
      </w:r>
      <w:r w:rsidR="00D90CFA" w:rsidRPr="00AB5A76">
        <w:rPr>
          <w:lang w:val="en-GB"/>
        </w:rPr>
        <w:t xml:space="preserve"> </w:t>
      </w:r>
      <w:r w:rsidR="002E6585" w:rsidRPr="00AB5A76">
        <w:rPr>
          <w:lang w:val="en-GB"/>
        </w:rPr>
        <w:t>in order to finalize the draft legal provisions</w:t>
      </w:r>
      <w:r w:rsidR="00136BBA">
        <w:rPr>
          <w:lang w:val="en-GB"/>
        </w:rPr>
        <w:t>;</w:t>
      </w:r>
    </w:p>
    <w:p w14:paraId="1F0A3746" w14:textId="389FE286" w:rsidR="00136BBA" w:rsidRDefault="00F0309B" w:rsidP="009442C6">
      <w:pPr>
        <w:pStyle w:val="SingleTxtG"/>
        <w:rPr>
          <w:lang w:val="en-GB"/>
        </w:rPr>
      </w:pPr>
      <w:r w:rsidRPr="00AB5A76">
        <w:rPr>
          <w:lang w:val="en-GB"/>
        </w:rPr>
        <w:t>38</w:t>
      </w:r>
      <w:r w:rsidR="009442C6" w:rsidRPr="00AB5A76">
        <w:rPr>
          <w:lang w:val="en-GB"/>
        </w:rPr>
        <w:t>.</w:t>
      </w:r>
      <w:r w:rsidR="009442C6" w:rsidRPr="00AB5A76">
        <w:rPr>
          <w:lang w:val="en-GB"/>
        </w:rPr>
        <w:tab/>
      </w:r>
      <w:r w:rsidR="009442C6" w:rsidRPr="00AB5A76">
        <w:rPr>
          <w:b/>
          <w:lang w:val="en-GB"/>
        </w:rPr>
        <w:t xml:space="preserve">Adopted </w:t>
      </w:r>
      <w:r w:rsidR="007A7484" w:rsidRPr="00AB5A76">
        <w:rPr>
          <w:b/>
          <w:lang w:val="en-GB"/>
        </w:rPr>
        <w:t xml:space="preserve">as amended </w:t>
      </w:r>
      <w:r w:rsidR="005B1978" w:rsidRPr="00162038">
        <w:rPr>
          <w:lang w:val="en-GB"/>
        </w:rPr>
        <w:t>the</w:t>
      </w:r>
      <w:r w:rsidR="005B1978" w:rsidRPr="00AB5A76">
        <w:rPr>
          <w:b/>
          <w:lang w:val="en-GB"/>
        </w:rPr>
        <w:t xml:space="preserve"> </w:t>
      </w:r>
      <w:r w:rsidR="009442C6" w:rsidRPr="00AB5A76">
        <w:rPr>
          <w:lang w:val="en-GB"/>
        </w:rPr>
        <w:t xml:space="preserve">Resolution “On International Rail Passenger Traffic on the route East-West” and </w:t>
      </w:r>
      <w:r w:rsidR="009442C6" w:rsidRPr="00AB5A76">
        <w:rPr>
          <w:b/>
          <w:lang w:val="en-GB"/>
        </w:rPr>
        <w:t>expressed its wish that it be</w:t>
      </w:r>
      <w:r w:rsidR="009442C6" w:rsidRPr="00AB5A76">
        <w:rPr>
          <w:lang w:val="en-GB"/>
        </w:rPr>
        <w:t xml:space="preserve"> </w:t>
      </w:r>
      <w:r w:rsidR="009442C6" w:rsidRPr="00AB5A76">
        <w:rPr>
          <w:b/>
          <w:lang w:val="en-GB"/>
        </w:rPr>
        <w:t>presented</w:t>
      </w:r>
      <w:r w:rsidR="009442C6" w:rsidRPr="00AB5A76">
        <w:rPr>
          <w:lang w:val="en-GB"/>
        </w:rPr>
        <w:t xml:space="preserve"> at the </w:t>
      </w:r>
      <w:r w:rsidR="004D15DD">
        <w:rPr>
          <w:lang w:val="en-GB"/>
        </w:rPr>
        <w:t>sixty-seventh</w:t>
      </w:r>
      <w:r w:rsidR="009442C6" w:rsidRPr="00AB5A76">
        <w:rPr>
          <w:lang w:val="en-GB"/>
        </w:rPr>
        <w:t xml:space="preserve"> session of the Economic Commission for Europe in 2017; </w:t>
      </w:r>
      <w:r w:rsidR="009442C6" w:rsidRPr="00AB5A76">
        <w:rPr>
          <w:b/>
          <w:lang w:val="en-GB"/>
        </w:rPr>
        <w:t>Requested</w:t>
      </w:r>
      <w:r w:rsidR="009442C6" w:rsidRPr="00AB5A76">
        <w:rPr>
          <w:lang w:val="en-GB"/>
        </w:rPr>
        <w:t xml:space="preserve"> SC.2 to regularly address in its agenda the topic of international rail passenger traffic especially on the route East-West</w:t>
      </w:r>
      <w:r w:rsidR="00136BBA">
        <w:rPr>
          <w:lang w:val="en-GB"/>
        </w:rPr>
        <w:t>;</w:t>
      </w:r>
    </w:p>
    <w:p w14:paraId="5B303D57" w14:textId="77777777" w:rsidR="00136BBA" w:rsidRDefault="00F0309B" w:rsidP="009442C6">
      <w:pPr>
        <w:pStyle w:val="SingleTxtG"/>
        <w:rPr>
          <w:lang w:val="en-GB"/>
        </w:rPr>
      </w:pPr>
      <w:r w:rsidRPr="00162038">
        <w:rPr>
          <w:lang w:val="en-GB"/>
        </w:rPr>
        <w:t>39</w:t>
      </w:r>
      <w:r w:rsidR="00256A31" w:rsidRPr="00162038">
        <w:rPr>
          <w:lang w:val="en-GB"/>
        </w:rPr>
        <w:t>.</w:t>
      </w:r>
      <w:r w:rsidR="00256A31" w:rsidRPr="00162038">
        <w:rPr>
          <w:lang w:val="en-GB"/>
        </w:rPr>
        <w:tab/>
      </w:r>
      <w:r w:rsidR="00256A31" w:rsidRPr="00AB5A76">
        <w:rPr>
          <w:b/>
          <w:lang w:val="en-GB"/>
        </w:rPr>
        <w:t>Requested</w:t>
      </w:r>
      <w:r w:rsidR="00256A31" w:rsidRPr="00AB5A76">
        <w:rPr>
          <w:lang w:val="en-GB"/>
        </w:rPr>
        <w:t xml:space="preserve"> WP.24</w:t>
      </w:r>
      <w:r w:rsidR="00CB4CC5" w:rsidRPr="00AB5A76">
        <w:rPr>
          <w:lang w:val="en-GB"/>
        </w:rPr>
        <w:t>, as indicated in the Ministerial Resolution,</w:t>
      </w:r>
      <w:r w:rsidR="00256A31" w:rsidRPr="00AB5A76">
        <w:rPr>
          <w:lang w:val="en-GB"/>
        </w:rPr>
        <w:t xml:space="preserve"> to continue strengthening its activities on the important role of intermodality, logistics and digitalization of transport</w:t>
      </w:r>
      <w:r w:rsidR="00CB4CC5" w:rsidRPr="00AB5A76">
        <w:rPr>
          <w:lang w:val="en-GB"/>
        </w:rPr>
        <w:t xml:space="preserve"> documents </w:t>
      </w:r>
      <w:r w:rsidR="00256A31" w:rsidRPr="00AB5A76">
        <w:rPr>
          <w:lang w:val="en-GB"/>
        </w:rPr>
        <w:t>in sustainable transport, on the communication of innovative and cutting</w:t>
      </w:r>
      <w:r w:rsidR="005B1978" w:rsidRPr="00AB5A76">
        <w:rPr>
          <w:lang w:val="en-GB"/>
        </w:rPr>
        <w:t>-</w:t>
      </w:r>
      <w:r w:rsidR="00256A31" w:rsidRPr="00AB5A76">
        <w:rPr>
          <w:lang w:val="en-GB"/>
        </w:rPr>
        <w:t xml:space="preserve">edge good practices in the field, as well as on the promotion of </w:t>
      </w:r>
      <w:r w:rsidR="005B1978" w:rsidRPr="00AB5A76">
        <w:rPr>
          <w:lang w:val="en-GB"/>
        </w:rPr>
        <w:t xml:space="preserve">the roles of </w:t>
      </w:r>
      <w:r w:rsidR="00256A31" w:rsidRPr="00AB5A76">
        <w:rPr>
          <w:lang w:val="en-GB"/>
        </w:rPr>
        <w:t>countries</w:t>
      </w:r>
      <w:r w:rsidR="005B1978" w:rsidRPr="00AB5A76">
        <w:rPr>
          <w:lang w:val="en-GB"/>
        </w:rPr>
        <w:t xml:space="preserve"> </w:t>
      </w:r>
      <w:r w:rsidR="00256A31" w:rsidRPr="00AB5A76">
        <w:rPr>
          <w:lang w:val="en-GB"/>
        </w:rPr>
        <w:t>in global supply chains by developing National Master Plans</w:t>
      </w:r>
      <w:r w:rsidR="00136BBA">
        <w:rPr>
          <w:lang w:val="en-GB"/>
        </w:rPr>
        <w:t>;</w:t>
      </w:r>
    </w:p>
    <w:p w14:paraId="08B50E53" w14:textId="77777777" w:rsidR="00136BBA" w:rsidRDefault="00F0309B" w:rsidP="008D2059">
      <w:pPr>
        <w:pStyle w:val="SingleTxtG"/>
        <w:rPr>
          <w:lang w:val="en-GB"/>
        </w:rPr>
      </w:pPr>
      <w:r w:rsidRPr="00AB5A76">
        <w:rPr>
          <w:lang w:val="en-GB"/>
        </w:rPr>
        <w:t>40</w:t>
      </w:r>
      <w:r w:rsidR="008D2059" w:rsidRPr="00AB5A76">
        <w:rPr>
          <w:lang w:val="en-GB"/>
        </w:rPr>
        <w:t>.</w:t>
      </w:r>
      <w:r w:rsidR="008D2059" w:rsidRPr="00AB5A76">
        <w:rPr>
          <w:lang w:val="en-GB"/>
        </w:rPr>
        <w:tab/>
      </w:r>
      <w:r w:rsidR="008D2059" w:rsidRPr="00AB5A76">
        <w:rPr>
          <w:b/>
          <w:lang w:val="en-GB"/>
        </w:rPr>
        <w:t>Welcomed</w:t>
      </w:r>
      <w:r w:rsidR="008D2059" w:rsidRPr="00AB5A76">
        <w:rPr>
          <w:lang w:val="en-GB"/>
        </w:rPr>
        <w:t xml:space="preserve"> </w:t>
      </w:r>
      <w:r w:rsidR="008D2059" w:rsidRPr="00AB5A76">
        <w:rPr>
          <w:b/>
          <w:lang w:val="en-GB"/>
        </w:rPr>
        <w:t>information</w:t>
      </w:r>
      <w:r w:rsidR="008D2059" w:rsidRPr="00AB5A76">
        <w:rPr>
          <w:lang w:val="en-GB"/>
        </w:rPr>
        <w:t xml:space="preserve"> about the adoption of the SC.3 </w:t>
      </w:r>
      <w:r w:rsidR="00CC3B51" w:rsidRPr="00AB5A76">
        <w:rPr>
          <w:lang w:val="en-GB"/>
        </w:rPr>
        <w:t xml:space="preserve">strategy </w:t>
      </w:r>
      <w:r w:rsidR="008D2059" w:rsidRPr="00AB5A76">
        <w:rPr>
          <w:lang w:val="en-GB"/>
        </w:rPr>
        <w:t xml:space="preserve">for 2016-2021 (ECE/TRANS/2017/20) and </w:t>
      </w:r>
      <w:r w:rsidR="008D2059" w:rsidRPr="00AB5A76">
        <w:rPr>
          <w:b/>
          <w:lang w:val="en-GB"/>
        </w:rPr>
        <w:t>decided to</w:t>
      </w:r>
      <w:r w:rsidR="008D2059" w:rsidRPr="00AB5A76">
        <w:rPr>
          <w:lang w:val="en-GB"/>
        </w:rPr>
        <w:t xml:space="preserve"> </w:t>
      </w:r>
      <w:r w:rsidR="008D2059" w:rsidRPr="00AB5A76">
        <w:rPr>
          <w:b/>
          <w:lang w:val="en-GB"/>
        </w:rPr>
        <w:t>endorse</w:t>
      </w:r>
      <w:r w:rsidR="008D2059" w:rsidRPr="00AB5A76">
        <w:rPr>
          <w:lang w:val="en-GB"/>
        </w:rPr>
        <w:t xml:space="preserve"> it. It also </w:t>
      </w:r>
      <w:r w:rsidR="008D2059" w:rsidRPr="00AB5A76">
        <w:rPr>
          <w:b/>
          <w:lang w:val="en-GB"/>
        </w:rPr>
        <w:t>provided guidance</w:t>
      </w:r>
      <w:r w:rsidR="008D2059" w:rsidRPr="00AB5A76">
        <w:rPr>
          <w:lang w:val="en-GB"/>
        </w:rPr>
        <w:t xml:space="preserve"> to SC.3 on implementi</w:t>
      </w:r>
      <w:r w:rsidR="00CC3B51" w:rsidRPr="00AB5A76">
        <w:rPr>
          <w:lang w:val="en-GB"/>
        </w:rPr>
        <w:t>ng</w:t>
      </w:r>
      <w:r w:rsidR="008D2059" w:rsidRPr="00AB5A76">
        <w:rPr>
          <w:lang w:val="en-GB"/>
        </w:rPr>
        <w:t xml:space="preserve"> the strategy and on enhancing the role of SC.3 and its subsidiary bodies</w:t>
      </w:r>
      <w:r w:rsidR="00136BBA">
        <w:rPr>
          <w:lang w:val="en-GB"/>
        </w:rPr>
        <w:t>;</w:t>
      </w:r>
    </w:p>
    <w:p w14:paraId="22E25C8F" w14:textId="77777777" w:rsidR="00136BBA" w:rsidRDefault="00F0309B" w:rsidP="008D2059">
      <w:pPr>
        <w:pStyle w:val="SingleTxtG"/>
        <w:rPr>
          <w:lang w:val="en-GB"/>
        </w:rPr>
      </w:pPr>
      <w:r w:rsidRPr="00AB5A76">
        <w:rPr>
          <w:lang w:val="en-GB"/>
        </w:rPr>
        <w:t>41</w:t>
      </w:r>
      <w:r w:rsidR="008D2059" w:rsidRPr="00AB5A76">
        <w:rPr>
          <w:lang w:val="en-GB"/>
        </w:rPr>
        <w:t>.</w:t>
      </w:r>
      <w:r w:rsidR="008D2059" w:rsidRPr="00AB5A76">
        <w:rPr>
          <w:lang w:val="en-GB"/>
        </w:rPr>
        <w:tab/>
      </w:r>
      <w:r w:rsidR="008D2059" w:rsidRPr="00AB5A76">
        <w:rPr>
          <w:b/>
          <w:lang w:val="en-GB"/>
        </w:rPr>
        <w:t>Adopted</w:t>
      </w:r>
      <w:r w:rsidR="008D2059" w:rsidRPr="00AB5A76">
        <w:rPr>
          <w:lang w:val="en-GB"/>
        </w:rPr>
        <w:t xml:space="preserve"> the revised Terms of Reference of SC.3</w:t>
      </w:r>
      <w:r w:rsidR="002B7B83" w:rsidRPr="00AB5A76">
        <w:rPr>
          <w:lang w:val="en-GB"/>
        </w:rPr>
        <w:t>, as</w:t>
      </w:r>
      <w:r w:rsidR="008D2059" w:rsidRPr="00AB5A76">
        <w:rPr>
          <w:lang w:val="en-GB"/>
        </w:rPr>
        <w:t xml:space="preserve"> at its sixtieth session (ECE/TRANS/2017/21)</w:t>
      </w:r>
      <w:r w:rsidR="00136BBA">
        <w:rPr>
          <w:lang w:val="en-GB"/>
        </w:rPr>
        <w:t>;</w:t>
      </w:r>
    </w:p>
    <w:p w14:paraId="43954F8B" w14:textId="03FB63B3" w:rsidR="00E33DDC" w:rsidRDefault="00F0309B" w:rsidP="00432EBB">
      <w:pPr>
        <w:pStyle w:val="SingleTxtG"/>
        <w:rPr>
          <w:lang w:val="en-GB"/>
        </w:rPr>
      </w:pPr>
      <w:r w:rsidRPr="00162038">
        <w:rPr>
          <w:bCs/>
          <w:lang w:val="en-GB"/>
        </w:rPr>
        <w:t>42</w:t>
      </w:r>
      <w:r w:rsidR="007C5D1D" w:rsidRPr="00162038">
        <w:rPr>
          <w:bCs/>
          <w:lang w:val="en-GB"/>
        </w:rPr>
        <w:t>.</w:t>
      </w:r>
      <w:r w:rsidR="007C5D1D" w:rsidRPr="00AB5A76">
        <w:rPr>
          <w:b/>
          <w:bCs/>
          <w:lang w:val="en-GB"/>
        </w:rPr>
        <w:t xml:space="preserve"> </w:t>
      </w:r>
      <w:r w:rsidR="00162038">
        <w:rPr>
          <w:b/>
          <w:bCs/>
          <w:lang w:val="en-GB"/>
        </w:rPr>
        <w:tab/>
      </w:r>
      <w:r w:rsidR="007C5D1D" w:rsidRPr="00AB5A76">
        <w:rPr>
          <w:b/>
          <w:bCs/>
          <w:lang w:val="en-GB"/>
        </w:rPr>
        <w:t xml:space="preserve">Welcomed </w:t>
      </w:r>
      <w:r w:rsidR="007C5D1D" w:rsidRPr="00AB5A76">
        <w:rPr>
          <w:lang w:val="en-GB"/>
        </w:rPr>
        <w:t xml:space="preserve">the outcome of the High-level Conference on Inland Water Transport held on 22 February 2017 and </w:t>
      </w:r>
      <w:r w:rsidR="007C5D1D" w:rsidRPr="00AB5A76">
        <w:rPr>
          <w:b/>
          <w:bCs/>
          <w:lang w:val="en-GB"/>
        </w:rPr>
        <w:t xml:space="preserve">invited </w:t>
      </w:r>
      <w:r w:rsidR="007C5D1D" w:rsidRPr="00AB5A76">
        <w:rPr>
          <w:lang w:val="en-GB"/>
        </w:rPr>
        <w:t>member States to contribute to prepar</w:t>
      </w:r>
      <w:r w:rsidR="005B1978" w:rsidRPr="00AB5A76">
        <w:rPr>
          <w:lang w:val="en-GB"/>
        </w:rPr>
        <w:t>ing</w:t>
      </w:r>
      <w:r w:rsidR="007C5D1D" w:rsidRPr="00AB5A76">
        <w:rPr>
          <w:lang w:val="en-GB"/>
        </w:rPr>
        <w:t xml:space="preserve"> the forthcoming Global Conference on Inland Water Transport</w:t>
      </w:r>
      <w:r w:rsidR="00E33DDC">
        <w:rPr>
          <w:lang w:val="en-GB"/>
        </w:rPr>
        <w:t>;</w:t>
      </w:r>
    </w:p>
    <w:p w14:paraId="2E17D45F" w14:textId="3E75ADB2" w:rsidR="00136BBA" w:rsidRDefault="00F0309B" w:rsidP="004C0194">
      <w:pPr>
        <w:pStyle w:val="SingleTxtG"/>
        <w:rPr>
          <w:lang w:val="en-GB"/>
        </w:rPr>
      </w:pPr>
      <w:r w:rsidRPr="00AB5A76">
        <w:rPr>
          <w:lang w:val="en-GB"/>
        </w:rPr>
        <w:t>43</w:t>
      </w:r>
      <w:r w:rsidR="004C0194" w:rsidRPr="00AB5A76">
        <w:rPr>
          <w:lang w:val="en-GB"/>
        </w:rPr>
        <w:t>.</w:t>
      </w:r>
      <w:r w:rsidR="004C0194" w:rsidRPr="00AB5A76">
        <w:rPr>
          <w:lang w:val="en-GB"/>
        </w:rPr>
        <w:tab/>
      </w:r>
      <w:r w:rsidR="004C0194" w:rsidRPr="00AB5A76">
        <w:rPr>
          <w:b/>
          <w:lang w:val="en-GB"/>
        </w:rPr>
        <w:t>Expressed its</w:t>
      </w:r>
      <w:r w:rsidR="004C0194" w:rsidRPr="00AB5A76">
        <w:rPr>
          <w:lang w:val="en-GB"/>
        </w:rPr>
        <w:t xml:space="preserve"> </w:t>
      </w:r>
      <w:r w:rsidR="004C0194" w:rsidRPr="00AB5A76">
        <w:rPr>
          <w:b/>
          <w:lang w:val="en-GB"/>
        </w:rPr>
        <w:t>support</w:t>
      </w:r>
      <w:r w:rsidR="004C0194" w:rsidRPr="00AB5A76">
        <w:rPr>
          <w:lang w:val="en-GB"/>
        </w:rPr>
        <w:t xml:space="preserve"> for continu</w:t>
      </w:r>
      <w:r w:rsidR="002B7B83" w:rsidRPr="00AB5A76">
        <w:rPr>
          <w:lang w:val="en-GB"/>
        </w:rPr>
        <w:t>ing</w:t>
      </w:r>
      <w:r w:rsidR="004C0194" w:rsidRPr="00AB5A76">
        <w:rPr>
          <w:lang w:val="en-GB"/>
        </w:rPr>
        <w:t xml:space="preserve"> the eTIR project, and to this end</w:t>
      </w:r>
      <w:r w:rsidR="004937A6" w:rsidRPr="00AB5A76">
        <w:rPr>
          <w:lang w:val="en-GB"/>
        </w:rPr>
        <w:t>:</w:t>
      </w:r>
      <w:r w:rsidR="004C0194" w:rsidRPr="00AB5A76">
        <w:rPr>
          <w:lang w:val="en-GB"/>
        </w:rPr>
        <w:t xml:space="preserve"> (a) </w:t>
      </w:r>
      <w:r w:rsidR="004C0194" w:rsidRPr="00AB5A76">
        <w:rPr>
          <w:b/>
          <w:lang w:val="en-GB"/>
        </w:rPr>
        <w:t>decided</w:t>
      </w:r>
      <w:r w:rsidR="004C0194" w:rsidRPr="00AB5A76">
        <w:rPr>
          <w:lang w:val="en-GB"/>
        </w:rPr>
        <w:t xml:space="preserve"> </w:t>
      </w:r>
      <w:r w:rsidR="004C0194" w:rsidRPr="00AB5A76">
        <w:rPr>
          <w:b/>
          <w:lang w:val="en-GB"/>
        </w:rPr>
        <w:t>to</w:t>
      </w:r>
      <w:r w:rsidR="004C0194" w:rsidRPr="00AB5A76">
        <w:rPr>
          <w:lang w:val="en-GB"/>
        </w:rPr>
        <w:t xml:space="preserve"> </w:t>
      </w:r>
      <w:r w:rsidR="004C0194" w:rsidRPr="00AB5A76">
        <w:rPr>
          <w:b/>
          <w:lang w:val="en-GB"/>
        </w:rPr>
        <w:t>prolong</w:t>
      </w:r>
      <w:r w:rsidR="004C0194" w:rsidRPr="00AB5A76">
        <w:rPr>
          <w:lang w:val="en-GB"/>
        </w:rPr>
        <w:t xml:space="preserve"> the mandate of the Ad hoc Expert Group on Conceptual and Technical Aspects of Computerization of the TIR Procedure (WP.30/GE.1) to the year 2017</w:t>
      </w:r>
      <w:r w:rsidR="00FB1075" w:rsidRPr="00AB5A76">
        <w:rPr>
          <w:lang w:val="en-GB"/>
        </w:rPr>
        <w:t>;</w:t>
      </w:r>
      <w:r w:rsidR="004C0194" w:rsidRPr="00AB5A76">
        <w:rPr>
          <w:lang w:val="en-GB"/>
        </w:rPr>
        <w:t xml:space="preserve"> and (b) </w:t>
      </w:r>
      <w:r w:rsidR="004C0194" w:rsidRPr="00AB5A76">
        <w:rPr>
          <w:b/>
          <w:lang w:val="en-GB"/>
        </w:rPr>
        <w:t>considered the issue of financing</w:t>
      </w:r>
      <w:r w:rsidR="004C0194" w:rsidRPr="00AB5A76">
        <w:rPr>
          <w:lang w:val="en-GB"/>
        </w:rPr>
        <w:t xml:space="preserve"> the initial and development costs of the eTIR international system (ECE/TRANS/WP.30/288, paras. 14 and 19)</w:t>
      </w:r>
      <w:r w:rsidR="00FB1075" w:rsidRPr="00AB5A76">
        <w:rPr>
          <w:lang w:val="en-GB"/>
        </w:rPr>
        <w:t>;</w:t>
      </w:r>
      <w:r w:rsidR="004C0194" w:rsidRPr="00AB5A76">
        <w:rPr>
          <w:lang w:val="en-GB"/>
        </w:rPr>
        <w:t xml:space="preserve"> and</w:t>
      </w:r>
      <w:r w:rsidR="004C0194" w:rsidRPr="00AB5A76">
        <w:rPr>
          <w:color w:val="000000"/>
          <w:spacing w:val="-2"/>
          <w:lang w:val="en-GB" w:eastAsia="zh-CN"/>
        </w:rPr>
        <w:t xml:space="preserve"> </w:t>
      </w:r>
      <w:r w:rsidR="00424608" w:rsidRPr="00AB5A76">
        <w:rPr>
          <w:color w:val="000000"/>
          <w:spacing w:val="-2"/>
          <w:lang w:val="en-GB" w:eastAsia="zh-CN"/>
        </w:rPr>
        <w:t xml:space="preserve">(c) </w:t>
      </w:r>
      <w:r w:rsidR="004C0194" w:rsidRPr="00AB5A76">
        <w:rPr>
          <w:color w:val="000000"/>
          <w:spacing w:val="-2"/>
          <w:lang w:val="en-GB" w:eastAsia="zh-CN"/>
        </w:rPr>
        <w:t xml:space="preserve">urged </w:t>
      </w:r>
      <w:r w:rsidR="004C0194" w:rsidRPr="00AB5A76">
        <w:rPr>
          <w:color w:val="000000"/>
          <w:spacing w:val="-2"/>
          <w:lang w:val="en-GB" w:eastAsia="zh-CN"/>
        </w:rPr>
        <w:lastRenderedPageBreak/>
        <w:t xml:space="preserve">Contracting Parties and relevant stakeholders to make every effort to ensure that the required financing for operationalizing the eTIR project </w:t>
      </w:r>
      <w:r w:rsidR="00424608" w:rsidRPr="00AB5A76">
        <w:rPr>
          <w:color w:val="000000"/>
          <w:spacing w:val="-2"/>
          <w:lang w:val="en-GB" w:eastAsia="zh-CN"/>
        </w:rPr>
        <w:t xml:space="preserve">be </w:t>
      </w:r>
      <w:r w:rsidR="004C0194" w:rsidRPr="00AB5A76">
        <w:rPr>
          <w:color w:val="000000"/>
          <w:spacing w:val="-2"/>
          <w:lang w:val="en-GB" w:eastAsia="zh-CN"/>
        </w:rPr>
        <w:t>in place in the shortest possible time</w:t>
      </w:r>
      <w:r w:rsidR="00136BBA">
        <w:rPr>
          <w:lang w:val="en-GB"/>
        </w:rPr>
        <w:t>;</w:t>
      </w:r>
    </w:p>
    <w:p w14:paraId="0D3CDEF3" w14:textId="61059451" w:rsidR="008D2059" w:rsidRPr="00AB5A76" w:rsidRDefault="00F0309B" w:rsidP="008D2059">
      <w:pPr>
        <w:pStyle w:val="SingleTxtG"/>
        <w:rPr>
          <w:rFonts w:eastAsia="Times New Roman"/>
          <w:lang w:val="en-GB"/>
        </w:rPr>
      </w:pPr>
      <w:r w:rsidRPr="00AB5A76">
        <w:rPr>
          <w:lang w:val="en-GB"/>
        </w:rPr>
        <w:t>44</w:t>
      </w:r>
      <w:r w:rsidR="008D2059" w:rsidRPr="00AB5A76">
        <w:rPr>
          <w:lang w:val="en-GB"/>
        </w:rPr>
        <w:t>.</w:t>
      </w:r>
      <w:r w:rsidR="008D2059" w:rsidRPr="00AB5A76">
        <w:rPr>
          <w:lang w:val="en-GB"/>
        </w:rPr>
        <w:tab/>
      </w:r>
      <w:r w:rsidR="008D2059" w:rsidRPr="00AB5A76">
        <w:rPr>
          <w:b/>
          <w:lang w:val="en-GB"/>
        </w:rPr>
        <w:t>Expressed its concern</w:t>
      </w:r>
      <w:r w:rsidR="008D2059" w:rsidRPr="00AB5A76">
        <w:rPr>
          <w:lang w:val="en-GB"/>
        </w:rPr>
        <w:t xml:space="preserve"> that the Protocol amending articles 1 (a), 14 (1) and 14 (3) (b) of the ADR, adopted by the Conference of the Contracting Parties on 28 October 1993, </w:t>
      </w:r>
      <w:r w:rsidR="002B7B83" w:rsidRPr="00AB5A76">
        <w:rPr>
          <w:lang w:val="en-GB"/>
        </w:rPr>
        <w:t xml:space="preserve">had </w:t>
      </w:r>
      <w:r w:rsidR="008D2059" w:rsidRPr="00AB5A76">
        <w:rPr>
          <w:lang w:val="en-GB"/>
        </w:rPr>
        <w:t>not yet entered into force</w:t>
      </w:r>
      <w:r w:rsidR="002B7B83" w:rsidRPr="00AB5A76">
        <w:rPr>
          <w:lang w:val="en-GB"/>
        </w:rPr>
        <w:t>:</w:t>
      </w:r>
      <w:r w:rsidR="008D2059" w:rsidRPr="00AB5A76">
        <w:rPr>
          <w:lang w:val="en-GB"/>
        </w:rPr>
        <w:t xml:space="preserve"> not all Contracting Parties to the ADR have become Parties to </w:t>
      </w:r>
      <w:r w:rsidR="002B7B83" w:rsidRPr="00AB5A76">
        <w:rPr>
          <w:lang w:val="en-GB"/>
        </w:rPr>
        <w:t>the Protocol</w:t>
      </w:r>
      <w:r w:rsidR="008D2059" w:rsidRPr="00AB5A76">
        <w:rPr>
          <w:lang w:val="en-GB"/>
        </w:rPr>
        <w:t xml:space="preserve">. It </w:t>
      </w:r>
      <w:r w:rsidR="008D2059" w:rsidRPr="00AB5A76">
        <w:rPr>
          <w:b/>
          <w:lang w:val="en-GB"/>
        </w:rPr>
        <w:t>urged</w:t>
      </w:r>
      <w:r w:rsidR="008D2059" w:rsidRPr="00AB5A76">
        <w:rPr>
          <w:lang w:val="en-GB"/>
        </w:rPr>
        <w:t xml:space="preserve"> the remaining Contracting Parties (Azerbaijan, Belarus, Bosnia and Herzegovina, Croatia, Georgia, Iceland, Kazakhstan, Malta, Montenegro, Morocco, Tajikistan, the former Yugoslav Republic of Macedonia, Tunisia and Ukraine) to take the necessary steps to allow the Protocol to come into force;</w:t>
      </w:r>
    </w:p>
    <w:p w14:paraId="44FAA8CA" w14:textId="5910B48C" w:rsidR="00E33DDC" w:rsidRDefault="00F0309B" w:rsidP="00432EBB">
      <w:pPr>
        <w:pStyle w:val="SingleTxtG"/>
        <w:rPr>
          <w:lang w:val="en-GB"/>
        </w:rPr>
      </w:pPr>
      <w:r w:rsidRPr="00162038">
        <w:rPr>
          <w:lang w:val="en-GB"/>
        </w:rPr>
        <w:t>45</w:t>
      </w:r>
      <w:r w:rsidR="00623908" w:rsidRPr="00162038">
        <w:rPr>
          <w:lang w:val="en-GB"/>
        </w:rPr>
        <w:t>.</w:t>
      </w:r>
      <w:r w:rsidR="00623908" w:rsidRPr="00AB5A76">
        <w:rPr>
          <w:b/>
          <w:lang w:val="en-GB"/>
        </w:rPr>
        <w:t xml:space="preserve"> </w:t>
      </w:r>
      <w:r w:rsidR="00162038">
        <w:rPr>
          <w:lang w:val="en-GB"/>
        </w:rPr>
        <w:tab/>
      </w:r>
      <w:r w:rsidR="00623908" w:rsidRPr="00AB5A76">
        <w:rPr>
          <w:lang w:val="en-GB"/>
        </w:rPr>
        <w:t>The Committee</w:t>
      </w:r>
      <w:r w:rsidR="00623908" w:rsidRPr="00AB5A76">
        <w:rPr>
          <w:b/>
          <w:bCs/>
          <w:lang w:val="en-GB"/>
        </w:rPr>
        <w:t xml:space="preserve"> invited</w:t>
      </w:r>
      <w:r w:rsidR="00623908" w:rsidRPr="00AB5A76">
        <w:rPr>
          <w:lang w:val="en-GB"/>
        </w:rPr>
        <w:t xml:space="preserve"> the Working Party on the Transport of Dangerous Goods to consider again the possibility to </w:t>
      </w:r>
      <w:r w:rsidR="008E0E7F" w:rsidRPr="00AB5A76">
        <w:rPr>
          <w:lang w:val="en-GB"/>
        </w:rPr>
        <w:t>change the title of ADR</w:t>
      </w:r>
      <w:r w:rsidR="00623908" w:rsidRPr="00AB5A76">
        <w:rPr>
          <w:lang w:val="en-GB"/>
        </w:rPr>
        <w:t xml:space="preserve"> </w:t>
      </w:r>
      <w:r w:rsidR="00FB1075" w:rsidRPr="00AB5A76">
        <w:rPr>
          <w:lang w:val="en-GB"/>
        </w:rPr>
        <w:t>(ECE/</w:t>
      </w:r>
      <w:r w:rsidR="00FB1075" w:rsidRPr="000823B2">
        <w:rPr>
          <w:lang w:val="en-GB"/>
        </w:rPr>
        <w:t>TRANS/</w:t>
      </w:r>
      <w:r w:rsidR="006129B0" w:rsidRPr="000823B2">
        <w:rPr>
          <w:lang w:val="en-GB"/>
        </w:rPr>
        <w:t>2010</w:t>
      </w:r>
      <w:r w:rsidR="000823B2" w:rsidRPr="000823B2">
        <w:rPr>
          <w:lang w:val="en-GB"/>
        </w:rPr>
        <w:t>/2</w:t>
      </w:r>
      <w:r w:rsidR="00FB1075" w:rsidRPr="000823B2">
        <w:rPr>
          <w:lang w:val="en-GB"/>
        </w:rPr>
        <w:t xml:space="preserve">, para. </w:t>
      </w:r>
      <w:r w:rsidR="000823B2">
        <w:rPr>
          <w:lang w:val="en-GB"/>
        </w:rPr>
        <w:t>1</w:t>
      </w:r>
      <w:r w:rsidR="00FB1075" w:rsidRPr="000823B2">
        <w:rPr>
          <w:lang w:val="en-GB"/>
        </w:rPr>
        <w:t>)</w:t>
      </w:r>
      <w:r w:rsidR="00E33DDC" w:rsidRPr="000823B2">
        <w:rPr>
          <w:lang w:val="en-GB"/>
        </w:rPr>
        <w:t>;</w:t>
      </w:r>
    </w:p>
    <w:p w14:paraId="21DD3C06" w14:textId="21B3FA5D" w:rsidR="00623908" w:rsidRPr="00AB5A76" w:rsidRDefault="00F0309B" w:rsidP="00F0309B">
      <w:pPr>
        <w:pStyle w:val="SingleTxtG"/>
        <w:rPr>
          <w:lang w:val="en-GB"/>
        </w:rPr>
      </w:pPr>
      <w:r w:rsidRPr="00162038">
        <w:rPr>
          <w:lang w:val="en-GB"/>
        </w:rPr>
        <w:t>46</w:t>
      </w:r>
      <w:r w:rsidR="00623908" w:rsidRPr="00162038">
        <w:rPr>
          <w:lang w:val="en-GB"/>
        </w:rPr>
        <w:t>.</w:t>
      </w:r>
      <w:r w:rsidR="00623908" w:rsidRPr="00AB5A76">
        <w:rPr>
          <w:b/>
          <w:lang w:val="en-GB"/>
        </w:rPr>
        <w:t xml:space="preserve"> </w:t>
      </w:r>
      <w:r w:rsidR="00162038">
        <w:rPr>
          <w:lang w:val="en-GB"/>
        </w:rPr>
        <w:tab/>
      </w:r>
      <w:r w:rsidR="00623908" w:rsidRPr="00AB5A76">
        <w:rPr>
          <w:lang w:val="en-GB"/>
        </w:rPr>
        <w:t xml:space="preserve">The Committee </w:t>
      </w:r>
      <w:r w:rsidR="00623908" w:rsidRPr="00AB5A76">
        <w:rPr>
          <w:b/>
          <w:lang w:val="en-GB"/>
        </w:rPr>
        <w:t>proposed</w:t>
      </w:r>
      <w:r w:rsidR="00701382" w:rsidRPr="00AB5A76">
        <w:rPr>
          <w:b/>
          <w:lang w:val="en-GB"/>
        </w:rPr>
        <w:t>,</w:t>
      </w:r>
      <w:r w:rsidR="00623908" w:rsidRPr="00AB5A76">
        <w:rPr>
          <w:lang w:val="en-GB"/>
        </w:rPr>
        <w:t xml:space="preserve"> </w:t>
      </w:r>
      <w:r w:rsidR="00701382" w:rsidRPr="00AB5A76">
        <w:rPr>
          <w:lang w:val="en-GB"/>
        </w:rPr>
        <w:t xml:space="preserve">on the basis of a legal analysis prepared by the secretariat, </w:t>
      </w:r>
      <w:r w:rsidR="00E617C1" w:rsidRPr="00AB5A76">
        <w:rPr>
          <w:lang w:val="en-GB"/>
        </w:rPr>
        <w:t xml:space="preserve">subject to the availability of resources, </w:t>
      </w:r>
      <w:r w:rsidR="00623908" w:rsidRPr="00AB5A76">
        <w:rPr>
          <w:lang w:val="en-GB"/>
        </w:rPr>
        <w:t xml:space="preserve">to hold in 2017 a round-table discussion </w:t>
      </w:r>
      <w:r w:rsidR="00FB1075" w:rsidRPr="00AB5A76">
        <w:rPr>
          <w:lang w:val="en-GB"/>
        </w:rPr>
        <w:t xml:space="preserve">on </w:t>
      </w:r>
      <w:r w:rsidR="00623908" w:rsidRPr="00AB5A76">
        <w:rPr>
          <w:lang w:val="en-GB"/>
        </w:rPr>
        <w:t>the challenging aspects of organizing and carrying out the transportation of perishable foodstuffs</w:t>
      </w:r>
      <w:r w:rsidR="00FB1075" w:rsidRPr="00AB5A76">
        <w:rPr>
          <w:lang w:val="en-GB"/>
        </w:rPr>
        <w:t xml:space="preserve"> and to re</w:t>
      </w:r>
      <w:r w:rsidR="00E617C1" w:rsidRPr="00AB5A76">
        <w:rPr>
          <w:lang w:val="en-GB"/>
        </w:rPr>
        <w:t xml:space="preserve">search political, technical and legal solutions to issues that remain </w:t>
      </w:r>
      <w:r w:rsidR="00FB1075" w:rsidRPr="00AB5A76">
        <w:rPr>
          <w:lang w:val="en-GB"/>
        </w:rPr>
        <w:t>un</w:t>
      </w:r>
      <w:r w:rsidR="00E617C1" w:rsidRPr="00AB5A76">
        <w:rPr>
          <w:lang w:val="en-GB"/>
        </w:rPr>
        <w:t>resolved with the ATP Convention</w:t>
      </w:r>
      <w:r w:rsidR="00623908" w:rsidRPr="00AB5A76">
        <w:rPr>
          <w:lang w:val="en-GB"/>
        </w:rPr>
        <w:t>;</w:t>
      </w:r>
    </w:p>
    <w:p w14:paraId="6E09F962" w14:textId="77777777" w:rsidR="00136BBA" w:rsidRDefault="00F0309B" w:rsidP="00F0309B">
      <w:pPr>
        <w:pStyle w:val="SingleTxtG"/>
        <w:rPr>
          <w:lang w:val="en-GB"/>
        </w:rPr>
      </w:pPr>
      <w:r w:rsidRPr="00162038">
        <w:rPr>
          <w:lang w:val="en-GB"/>
        </w:rPr>
        <w:t>47</w:t>
      </w:r>
      <w:r w:rsidR="008D2059" w:rsidRPr="00162038">
        <w:rPr>
          <w:lang w:val="en-GB"/>
        </w:rPr>
        <w:t>.</w:t>
      </w:r>
      <w:r w:rsidR="008D2059" w:rsidRPr="00AB5A76">
        <w:rPr>
          <w:lang w:val="en-GB"/>
        </w:rPr>
        <w:tab/>
      </w:r>
      <w:r w:rsidR="008F0D3E" w:rsidRPr="00AB5A76">
        <w:rPr>
          <w:b/>
          <w:lang w:val="en-GB"/>
        </w:rPr>
        <w:t>Not</w:t>
      </w:r>
      <w:r w:rsidRPr="00AB5A76">
        <w:rPr>
          <w:b/>
          <w:lang w:val="en-GB"/>
        </w:rPr>
        <w:t>ed</w:t>
      </w:r>
      <w:r w:rsidR="008F0D3E" w:rsidRPr="00AB5A76">
        <w:rPr>
          <w:lang w:val="en-GB"/>
        </w:rPr>
        <w:t xml:space="preserve"> the role </w:t>
      </w:r>
      <w:r w:rsidR="008D2059" w:rsidRPr="00AB5A76">
        <w:rPr>
          <w:lang w:val="en-GB"/>
        </w:rPr>
        <w:t>and potential contribution of WP.6 in a global environment where the need for more and higher quality statistics is rapidly increasing</w:t>
      </w:r>
      <w:r w:rsidR="00136BBA">
        <w:rPr>
          <w:lang w:val="en-GB"/>
        </w:rPr>
        <w:t>;</w:t>
      </w:r>
    </w:p>
    <w:p w14:paraId="1531FA63" w14:textId="77777777" w:rsidR="00136BBA" w:rsidRDefault="00F0309B" w:rsidP="008D2059">
      <w:pPr>
        <w:pStyle w:val="SingleTxtG"/>
        <w:rPr>
          <w:lang w:val="en-GB"/>
        </w:rPr>
      </w:pPr>
      <w:r w:rsidRPr="00AB5A76">
        <w:rPr>
          <w:lang w:val="en-GB"/>
        </w:rPr>
        <w:t>48</w:t>
      </w:r>
      <w:r w:rsidR="008D2059" w:rsidRPr="00AB5A76">
        <w:rPr>
          <w:lang w:val="en-GB"/>
        </w:rPr>
        <w:t>.</w:t>
      </w:r>
      <w:r w:rsidR="008D2059" w:rsidRPr="00AB5A76">
        <w:rPr>
          <w:lang w:val="en-GB"/>
        </w:rPr>
        <w:tab/>
      </w:r>
      <w:r w:rsidR="008D2059" w:rsidRPr="00AB5A76">
        <w:rPr>
          <w:b/>
          <w:lang w:val="en-GB"/>
        </w:rPr>
        <w:t>Discussed</w:t>
      </w:r>
      <w:r w:rsidR="008D2059" w:rsidRPr="00AB5A76">
        <w:rPr>
          <w:lang w:val="en-GB"/>
        </w:rPr>
        <w:t xml:space="preserve"> the Annual Report (ECE/TRANS/2017/24) and </w:t>
      </w:r>
      <w:r w:rsidR="008D2059" w:rsidRPr="00AB5A76">
        <w:rPr>
          <w:b/>
          <w:lang w:val="en-GB"/>
        </w:rPr>
        <w:t>provided guidance</w:t>
      </w:r>
      <w:r w:rsidR="008D2059" w:rsidRPr="00AB5A76">
        <w:rPr>
          <w:lang w:val="en-GB"/>
        </w:rPr>
        <w:t xml:space="preserve"> on improving visibility of the results</w:t>
      </w:r>
      <w:r w:rsidR="00136BBA">
        <w:rPr>
          <w:lang w:val="en-GB"/>
        </w:rPr>
        <w:t>;</w:t>
      </w:r>
    </w:p>
    <w:p w14:paraId="1971F92B" w14:textId="77777777" w:rsidR="00136BBA" w:rsidRDefault="00F0309B" w:rsidP="008D2059">
      <w:pPr>
        <w:pStyle w:val="SingleTxtG"/>
        <w:rPr>
          <w:lang w:val="en-GB"/>
        </w:rPr>
      </w:pPr>
      <w:r w:rsidRPr="00AB5A76">
        <w:rPr>
          <w:lang w:val="en-GB"/>
        </w:rPr>
        <w:t>49</w:t>
      </w:r>
      <w:r w:rsidR="008D2059" w:rsidRPr="00AB5A76">
        <w:rPr>
          <w:lang w:val="en-GB"/>
        </w:rPr>
        <w:t>.</w:t>
      </w:r>
      <w:r w:rsidR="008D2059" w:rsidRPr="00AB5A76">
        <w:rPr>
          <w:lang w:val="en-GB"/>
        </w:rPr>
        <w:tab/>
      </w:r>
      <w:r w:rsidR="008D2059" w:rsidRPr="00AB5A76">
        <w:rPr>
          <w:b/>
          <w:lang w:val="en-GB"/>
        </w:rPr>
        <w:t>Approved</w:t>
      </w:r>
      <w:r w:rsidR="008D2059" w:rsidRPr="00AB5A76">
        <w:rPr>
          <w:lang w:val="en-GB"/>
        </w:rPr>
        <w:t xml:space="preserve"> as a whole the reports and related activities of its subsidiary bodies and </w:t>
      </w:r>
      <w:r w:rsidR="008D2059" w:rsidRPr="00AB5A76">
        <w:rPr>
          <w:b/>
          <w:lang w:val="en-GB"/>
        </w:rPr>
        <w:t>requested</w:t>
      </w:r>
      <w:r w:rsidR="008D2059" w:rsidRPr="00AB5A76">
        <w:rPr>
          <w:lang w:val="en-GB"/>
        </w:rPr>
        <w:t xml:space="preserve"> the secretariat to incorporate related references in the complete </w:t>
      </w:r>
      <w:r w:rsidR="00476CE8" w:rsidRPr="00AB5A76">
        <w:rPr>
          <w:lang w:val="en-GB"/>
        </w:rPr>
        <w:t>Committee</w:t>
      </w:r>
      <w:r w:rsidR="008D2059" w:rsidRPr="00AB5A76">
        <w:rPr>
          <w:lang w:val="en-GB"/>
        </w:rPr>
        <w:t xml:space="preserve"> report on the basis of the annotated agenda (ECE/TRANS/269/Add.1)</w:t>
      </w:r>
      <w:r w:rsidR="00136BBA">
        <w:rPr>
          <w:lang w:val="en-GB"/>
        </w:rPr>
        <w:t>;</w:t>
      </w:r>
    </w:p>
    <w:p w14:paraId="2DDA6E02" w14:textId="77777777" w:rsidR="00136BBA" w:rsidRDefault="00F0309B" w:rsidP="008D2059">
      <w:pPr>
        <w:pStyle w:val="SingleTxtG"/>
        <w:rPr>
          <w:lang w:val="en-GB"/>
        </w:rPr>
      </w:pPr>
      <w:r w:rsidRPr="00AB5A76">
        <w:rPr>
          <w:lang w:val="en-GB"/>
        </w:rPr>
        <w:t>50</w:t>
      </w:r>
      <w:r w:rsidR="00430EFB" w:rsidRPr="00AB5A76">
        <w:rPr>
          <w:lang w:val="en-GB"/>
        </w:rPr>
        <w:t>.</w:t>
      </w:r>
      <w:r w:rsidR="00430EFB" w:rsidRPr="00AB5A76">
        <w:rPr>
          <w:lang w:val="en-GB"/>
        </w:rPr>
        <w:tab/>
      </w:r>
      <w:r w:rsidR="00430EFB" w:rsidRPr="00AB5A76">
        <w:rPr>
          <w:b/>
          <w:lang w:val="en-GB"/>
        </w:rPr>
        <w:t>Noted</w:t>
      </w:r>
      <w:r w:rsidR="00430EFB" w:rsidRPr="00AB5A76">
        <w:rPr>
          <w:lang w:val="en-GB"/>
        </w:rPr>
        <w:t xml:space="preserve"> that the adoption of the report of the seventy-ninth session </w:t>
      </w:r>
      <w:r w:rsidR="002B7B83" w:rsidRPr="00AB5A76">
        <w:rPr>
          <w:lang w:val="en-GB"/>
        </w:rPr>
        <w:t xml:space="preserve">would </w:t>
      </w:r>
      <w:r w:rsidR="00430EFB" w:rsidRPr="00AB5A76">
        <w:rPr>
          <w:lang w:val="en-GB"/>
        </w:rPr>
        <w:t xml:space="preserve">be limited to a list of main decisions and that the complete report of the Committee </w:t>
      </w:r>
      <w:r w:rsidR="002B7B83" w:rsidRPr="00AB5A76">
        <w:rPr>
          <w:lang w:val="en-GB"/>
        </w:rPr>
        <w:t xml:space="preserve">would </w:t>
      </w:r>
      <w:r w:rsidR="00430EFB" w:rsidRPr="00AB5A76">
        <w:rPr>
          <w:lang w:val="en-GB"/>
        </w:rPr>
        <w:t>be circulated at a later stage</w:t>
      </w:r>
      <w:r w:rsidR="00136BBA">
        <w:rPr>
          <w:lang w:val="en-GB"/>
        </w:rPr>
        <w:t>;</w:t>
      </w:r>
    </w:p>
    <w:p w14:paraId="346F8473" w14:textId="77777777" w:rsidR="00136BBA" w:rsidRDefault="00F0309B" w:rsidP="008D2059">
      <w:pPr>
        <w:pStyle w:val="SingleTxtG"/>
        <w:rPr>
          <w:lang w:val="en-GB"/>
        </w:rPr>
      </w:pPr>
      <w:r w:rsidRPr="00AB5A76">
        <w:rPr>
          <w:lang w:val="en-GB"/>
        </w:rPr>
        <w:t>51</w:t>
      </w:r>
      <w:r w:rsidR="00430EFB" w:rsidRPr="00AB5A76">
        <w:rPr>
          <w:lang w:val="en-GB"/>
        </w:rPr>
        <w:t>.</w:t>
      </w:r>
      <w:r w:rsidR="00430EFB" w:rsidRPr="00AB5A76">
        <w:rPr>
          <w:lang w:val="en-GB"/>
        </w:rPr>
        <w:tab/>
      </w:r>
      <w:r w:rsidR="00430EFB" w:rsidRPr="00AB5A76">
        <w:rPr>
          <w:b/>
          <w:lang w:val="en-GB"/>
        </w:rPr>
        <w:t xml:space="preserve">Gave guidance to </w:t>
      </w:r>
      <w:r w:rsidR="00430EFB" w:rsidRPr="00AB5A76">
        <w:rPr>
          <w:lang w:val="en-GB"/>
        </w:rPr>
        <w:t>its Chair on the key messages in the report</w:t>
      </w:r>
      <w:r w:rsidR="00424608" w:rsidRPr="00AB5A76">
        <w:rPr>
          <w:lang w:val="en-GB"/>
        </w:rPr>
        <w:t>,</w:t>
      </w:r>
      <w:r w:rsidR="00430EFB" w:rsidRPr="00AB5A76">
        <w:rPr>
          <w:lang w:val="en-GB"/>
        </w:rPr>
        <w:t xml:space="preserve"> to be prepared in consultation with the secretariat</w:t>
      </w:r>
      <w:r w:rsidR="00424608" w:rsidRPr="00AB5A76">
        <w:rPr>
          <w:lang w:val="en-GB"/>
        </w:rPr>
        <w:t>, which would be submitted</w:t>
      </w:r>
      <w:r w:rsidR="00430EFB" w:rsidRPr="00AB5A76">
        <w:rPr>
          <w:lang w:val="en-GB"/>
        </w:rPr>
        <w:t xml:space="preserve"> to the </w:t>
      </w:r>
      <w:r w:rsidR="004937A6" w:rsidRPr="00AB5A76">
        <w:rPr>
          <w:lang w:val="en-GB"/>
        </w:rPr>
        <w:t>ECE</w:t>
      </w:r>
      <w:r w:rsidR="00430EFB" w:rsidRPr="00AB5A76">
        <w:rPr>
          <w:lang w:val="en-GB"/>
        </w:rPr>
        <w:t xml:space="preserve"> Executive Committee at one of its future sessions</w:t>
      </w:r>
      <w:r w:rsidR="00136BBA">
        <w:rPr>
          <w:lang w:val="en-GB"/>
        </w:rPr>
        <w:t>;</w:t>
      </w:r>
    </w:p>
    <w:p w14:paraId="66023D49" w14:textId="77777777" w:rsidR="00136BBA" w:rsidRDefault="00F0309B" w:rsidP="008D2059">
      <w:pPr>
        <w:pStyle w:val="SingleTxtG"/>
        <w:rPr>
          <w:lang w:val="en-GB"/>
        </w:rPr>
      </w:pPr>
      <w:r w:rsidRPr="00AB5A76">
        <w:rPr>
          <w:lang w:val="en-GB"/>
        </w:rPr>
        <w:t>52</w:t>
      </w:r>
      <w:r w:rsidR="00430EFB" w:rsidRPr="00AB5A76">
        <w:rPr>
          <w:lang w:val="en-GB"/>
        </w:rPr>
        <w:t>.</w:t>
      </w:r>
      <w:r w:rsidR="00430EFB" w:rsidRPr="00AB5A76">
        <w:rPr>
          <w:lang w:val="en-GB"/>
        </w:rPr>
        <w:tab/>
      </w:r>
      <w:r w:rsidR="00430EFB" w:rsidRPr="00AB5A76">
        <w:rPr>
          <w:b/>
          <w:lang w:val="en-GB"/>
        </w:rPr>
        <w:t>Considered, endorsed and supported</w:t>
      </w:r>
      <w:r w:rsidR="00430EFB" w:rsidRPr="00AB5A76">
        <w:rPr>
          <w:lang w:val="en-GB"/>
        </w:rPr>
        <w:t xml:space="preserve"> the list of publications for 2018-2019 in the annex of ECE/TRANS/2017/26</w:t>
      </w:r>
      <w:r w:rsidR="00136BBA">
        <w:rPr>
          <w:lang w:val="en-GB"/>
        </w:rPr>
        <w:t>;</w:t>
      </w:r>
    </w:p>
    <w:p w14:paraId="41E6C426" w14:textId="77777777" w:rsidR="00136BBA" w:rsidRDefault="00F0309B" w:rsidP="008D2059">
      <w:pPr>
        <w:pStyle w:val="SingleTxtG"/>
        <w:rPr>
          <w:lang w:val="en-GB"/>
        </w:rPr>
      </w:pPr>
      <w:r w:rsidRPr="00AB5A76">
        <w:rPr>
          <w:lang w:val="en-GB"/>
        </w:rPr>
        <w:t>53</w:t>
      </w:r>
      <w:r w:rsidR="00430EFB" w:rsidRPr="00AB5A76">
        <w:rPr>
          <w:lang w:val="en-GB"/>
        </w:rPr>
        <w:t>.</w:t>
      </w:r>
      <w:r w:rsidR="00430EFB" w:rsidRPr="00AB5A76">
        <w:rPr>
          <w:lang w:val="en-GB"/>
        </w:rPr>
        <w:tab/>
      </w:r>
      <w:r w:rsidR="00534E72" w:rsidRPr="00AB5A76">
        <w:rPr>
          <w:lang w:val="en-GB"/>
        </w:rPr>
        <w:t xml:space="preserve">In light of the reduction of regular budget for consultancy at ECE, it </w:t>
      </w:r>
      <w:r w:rsidR="00430EFB" w:rsidRPr="00AB5A76">
        <w:rPr>
          <w:b/>
          <w:lang w:val="en-GB"/>
        </w:rPr>
        <w:t>considered</w:t>
      </w:r>
      <w:r w:rsidR="00430EFB" w:rsidRPr="00AB5A76">
        <w:rPr>
          <w:lang w:val="en-GB"/>
        </w:rPr>
        <w:t xml:space="preserve"> alternative ways to support the analytical outputs of the subprogramme</w:t>
      </w:r>
      <w:r w:rsidR="003676F2" w:rsidRPr="00AB5A76">
        <w:rPr>
          <w:lang w:val="en-GB"/>
        </w:rPr>
        <w:t>,</w:t>
      </w:r>
      <w:r w:rsidR="00430EFB" w:rsidRPr="00AB5A76">
        <w:rPr>
          <w:lang w:val="en-GB"/>
        </w:rPr>
        <w:t xml:space="preserve"> </w:t>
      </w:r>
      <w:r w:rsidR="00F4703F" w:rsidRPr="00AB5A76">
        <w:rPr>
          <w:lang w:val="en-GB"/>
        </w:rPr>
        <w:t xml:space="preserve">which </w:t>
      </w:r>
      <w:r w:rsidR="00430EFB" w:rsidRPr="00AB5A76">
        <w:rPr>
          <w:lang w:val="en-GB"/>
        </w:rPr>
        <w:t xml:space="preserve">may emerge </w:t>
      </w:r>
      <w:r w:rsidR="00F4703F" w:rsidRPr="00AB5A76">
        <w:rPr>
          <w:lang w:val="en-GB"/>
        </w:rPr>
        <w:t xml:space="preserve">while </w:t>
      </w:r>
      <w:r w:rsidR="00430EFB" w:rsidRPr="00AB5A76">
        <w:rPr>
          <w:lang w:val="en-GB"/>
        </w:rPr>
        <w:t>implement</w:t>
      </w:r>
      <w:r w:rsidR="00F4703F" w:rsidRPr="00AB5A76">
        <w:rPr>
          <w:lang w:val="en-GB"/>
        </w:rPr>
        <w:t>ing</w:t>
      </w:r>
      <w:r w:rsidR="00430EFB" w:rsidRPr="00AB5A76">
        <w:rPr>
          <w:lang w:val="en-GB"/>
        </w:rPr>
        <w:t xml:space="preserve"> the subprogramme</w:t>
      </w:r>
      <w:r w:rsidR="00476CE8" w:rsidRPr="00AB5A76">
        <w:rPr>
          <w:lang w:val="en-GB"/>
        </w:rPr>
        <w:t>’s</w:t>
      </w:r>
      <w:r w:rsidR="00430EFB" w:rsidRPr="00AB5A76">
        <w:rPr>
          <w:lang w:val="en-GB"/>
        </w:rPr>
        <w:t xml:space="preserve"> work programme in 2018-2019</w:t>
      </w:r>
      <w:r w:rsidR="00136BBA">
        <w:rPr>
          <w:lang w:val="en-GB"/>
        </w:rPr>
        <w:t>;</w:t>
      </w:r>
    </w:p>
    <w:p w14:paraId="07BBCD66" w14:textId="77777777" w:rsidR="00136BBA" w:rsidRDefault="00F0309B" w:rsidP="00F0309B">
      <w:pPr>
        <w:pStyle w:val="SingleTxtG"/>
        <w:rPr>
          <w:lang w:val="en-GB"/>
        </w:rPr>
      </w:pPr>
      <w:r w:rsidRPr="00AB5A76">
        <w:rPr>
          <w:lang w:val="en-GB"/>
        </w:rPr>
        <w:t>54</w:t>
      </w:r>
      <w:r w:rsidR="00DD30C0" w:rsidRPr="00AB5A76">
        <w:rPr>
          <w:b/>
          <w:lang w:val="en-GB"/>
        </w:rPr>
        <w:t>.</w:t>
      </w:r>
      <w:r w:rsidR="00DD30C0" w:rsidRPr="00AB5A76">
        <w:rPr>
          <w:b/>
          <w:lang w:val="en-GB"/>
        </w:rPr>
        <w:tab/>
      </w:r>
      <w:r w:rsidR="00DD30C0" w:rsidRPr="00AB5A76">
        <w:rPr>
          <w:b/>
          <w:bCs/>
          <w:lang w:val="en-GB"/>
        </w:rPr>
        <w:t>Considered</w:t>
      </w:r>
      <w:r w:rsidR="00DD30C0" w:rsidRPr="00AB5A76">
        <w:rPr>
          <w:lang w:val="en-GB"/>
        </w:rPr>
        <w:t xml:space="preserve"> and </w:t>
      </w:r>
      <w:r w:rsidR="00DD30C0" w:rsidRPr="00AB5A76">
        <w:rPr>
          <w:b/>
          <w:bCs/>
          <w:lang w:val="en-GB"/>
        </w:rPr>
        <w:t>adopted</w:t>
      </w:r>
      <w:r w:rsidR="00DD30C0" w:rsidRPr="00AB5A76">
        <w:rPr>
          <w:lang w:val="en-GB"/>
        </w:rPr>
        <w:t xml:space="preserve"> the preliminary list of meetings based on proposals made by the Committee’s subsidiary bodies (ECE/TRANS/2017/27)</w:t>
      </w:r>
      <w:r w:rsidR="000557F7" w:rsidRPr="00AB5A76">
        <w:rPr>
          <w:lang w:val="en-GB"/>
        </w:rPr>
        <w:t>, however</w:t>
      </w:r>
      <w:r w:rsidR="003676F2" w:rsidRPr="00AB5A76">
        <w:rPr>
          <w:lang w:val="en-GB"/>
        </w:rPr>
        <w:t>,</w:t>
      </w:r>
      <w:r w:rsidR="000557F7" w:rsidRPr="00AB5A76">
        <w:rPr>
          <w:lang w:val="en-GB"/>
        </w:rPr>
        <w:t xml:space="preserve"> </w:t>
      </w:r>
      <w:r w:rsidR="000557F7" w:rsidRPr="00AB5A76">
        <w:rPr>
          <w:b/>
          <w:bCs/>
          <w:lang w:val="en-GB"/>
        </w:rPr>
        <w:t>requested</w:t>
      </w:r>
      <w:r w:rsidR="000557F7" w:rsidRPr="00AB5A76">
        <w:rPr>
          <w:lang w:val="en-GB"/>
        </w:rPr>
        <w:t xml:space="preserve"> the secretariat to make sure that the November meeting of the ITC Bureau takes place after that of SC.2</w:t>
      </w:r>
      <w:r w:rsidR="00136BBA">
        <w:rPr>
          <w:lang w:val="en-GB"/>
        </w:rPr>
        <w:t>;</w:t>
      </w:r>
    </w:p>
    <w:p w14:paraId="44F15190" w14:textId="77777777" w:rsidR="00136BBA" w:rsidRDefault="00F0309B" w:rsidP="008D2059">
      <w:pPr>
        <w:pStyle w:val="SingleTxtG"/>
        <w:rPr>
          <w:lang w:val="en-GB"/>
        </w:rPr>
      </w:pPr>
      <w:r w:rsidRPr="00AB5A76">
        <w:rPr>
          <w:lang w:val="en-GB"/>
        </w:rPr>
        <w:t>55</w:t>
      </w:r>
      <w:r w:rsidR="00430EFB" w:rsidRPr="00AB5A76">
        <w:rPr>
          <w:lang w:val="en-GB"/>
        </w:rPr>
        <w:t>.</w:t>
      </w:r>
      <w:r w:rsidR="00430EFB" w:rsidRPr="00AB5A76">
        <w:rPr>
          <w:lang w:val="en-GB"/>
        </w:rPr>
        <w:tab/>
      </w:r>
      <w:r w:rsidR="00430EFB" w:rsidRPr="00AB5A76">
        <w:rPr>
          <w:b/>
          <w:lang w:val="en-GB"/>
        </w:rPr>
        <w:t>Noted</w:t>
      </w:r>
      <w:r w:rsidR="00430EFB" w:rsidRPr="00AB5A76">
        <w:rPr>
          <w:lang w:val="en-GB"/>
        </w:rPr>
        <w:t xml:space="preserve"> that its eightieth session is tentatively scheduled to be held in Geneva from 20 to 23 February 2018</w:t>
      </w:r>
      <w:r w:rsidR="00136BBA">
        <w:rPr>
          <w:lang w:val="en-GB"/>
        </w:rPr>
        <w:t>;</w:t>
      </w:r>
    </w:p>
    <w:p w14:paraId="06BAD2FC" w14:textId="41829C64" w:rsidR="00E33DDC" w:rsidRDefault="00F0309B" w:rsidP="008D2059">
      <w:pPr>
        <w:pStyle w:val="SingleTxtG"/>
        <w:rPr>
          <w:lang w:val="en-GB"/>
        </w:rPr>
      </w:pPr>
      <w:r w:rsidRPr="00AB5A76">
        <w:rPr>
          <w:lang w:val="en-GB"/>
        </w:rPr>
        <w:t>56</w:t>
      </w:r>
      <w:r w:rsidR="005E11CA" w:rsidRPr="00AB5A76">
        <w:rPr>
          <w:lang w:val="en-GB"/>
        </w:rPr>
        <w:t xml:space="preserve">. </w:t>
      </w:r>
      <w:r w:rsidR="00162038">
        <w:rPr>
          <w:lang w:val="en-GB"/>
        </w:rPr>
        <w:tab/>
      </w:r>
      <w:r w:rsidR="005E11CA" w:rsidRPr="00AB5A76">
        <w:rPr>
          <w:b/>
          <w:bCs/>
          <w:lang w:val="en-GB"/>
        </w:rPr>
        <w:t>Thanked</w:t>
      </w:r>
      <w:r w:rsidR="005E11CA" w:rsidRPr="00AB5A76">
        <w:rPr>
          <w:lang w:val="en-GB"/>
        </w:rPr>
        <w:t xml:space="preserve"> the secretariat for the work </w:t>
      </w:r>
      <w:r w:rsidR="003676F2" w:rsidRPr="00AB5A76">
        <w:rPr>
          <w:lang w:val="en-GB"/>
        </w:rPr>
        <w:t xml:space="preserve">of </w:t>
      </w:r>
      <w:r w:rsidR="005E11CA" w:rsidRPr="00AB5A76">
        <w:rPr>
          <w:lang w:val="en-GB"/>
        </w:rPr>
        <w:t>prepar</w:t>
      </w:r>
      <w:r w:rsidR="003676F2" w:rsidRPr="00AB5A76">
        <w:rPr>
          <w:lang w:val="en-GB"/>
        </w:rPr>
        <w:t>ing</w:t>
      </w:r>
      <w:r w:rsidR="005E11CA" w:rsidRPr="00AB5A76">
        <w:rPr>
          <w:lang w:val="en-GB"/>
        </w:rPr>
        <w:t xml:space="preserve"> the seventieth anniversary of the Inland Transport Committee</w:t>
      </w:r>
      <w:r w:rsidR="00E33DDC">
        <w:rPr>
          <w:lang w:val="en-GB"/>
        </w:rPr>
        <w:t>;</w:t>
      </w:r>
    </w:p>
    <w:p w14:paraId="38DBF8BD" w14:textId="48D0A0EF" w:rsidR="00430EFB" w:rsidRPr="00AB5A76" w:rsidRDefault="00F0309B" w:rsidP="008D2059">
      <w:pPr>
        <w:pStyle w:val="SingleTxtG"/>
        <w:rPr>
          <w:lang w:val="en-GB"/>
        </w:rPr>
      </w:pPr>
      <w:r w:rsidRPr="00AB5A76">
        <w:rPr>
          <w:lang w:val="en-GB"/>
        </w:rPr>
        <w:t>57</w:t>
      </w:r>
      <w:r w:rsidR="00430EFB" w:rsidRPr="00AB5A76">
        <w:rPr>
          <w:lang w:val="en-GB"/>
        </w:rPr>
        <w:t>.</w:t>
      </w:r>
      <w:r w:rsidR="00430EFB" w:rsidRPr="00AB5A76">
        <w:rPr>
          <w:lang w:val="en-GB"/>
        </w:rPr>
        <w:tab/>
      </w:r>
      <w:r w:rsidR="00430EFB" w:rsidRPr="00AB5A76">
        <w:rPr>
          <w:b/>
          <w:lang w:val="en-GB"/>
        </w:rPr>
        <w:t>Adopted</w:t>
      </w:r>
      <w:r w:rsidR="00430EFB" w:rsidRPr="00AB5A76">
        <w:rPr>
          <w:lang w:val="en-GB"/>
        </w:rPr>
        <w:t xml:space="preserve"> the list of main decisions of the seventy-ninth session.</w:t>
      </w:r>
      <w:r w:rsidR="00FC533F" w:rsidRPr="00AB5A76">
        <w:rPr>
          <w:lang w:val="en-GB"/>
        </w:rPr>
        <w:t xml:space="preserve"> </w:t>
      </w:r>
    </w:p>
    <w:p w14:paraId="69E22BD8" w14:textId="77777777" w:rsidR="008D2059" w:rsidRPr="00AB5A76" w:rsidRDefault="008D2059" w:rsidP="008D2059">
      <w:pPr>
        <w:pStyle w:val="SingleTxtG"/>
        <w:rPr>
          <w:lang w:val="en-GB"/>
        </w:rPr>
      </w:pPr>
    </w:p>
    <w:p w14:paraId="764BFEC3" w14:textId="34C76575" w:rsidR="00311D01" w:rsidRPr="00AB5A76" w:rsidRDefault="00830E26" w:rsidP="00513A14">
      <w:pPr>
        <w:pStyle w:val="SingleTxtG"/>
        <w:spacing w:before="120"/>
        <w:jc w:val="center"/>
        <w:rPr>
          <w:u w:val="single"/>
          <w:lang w:val="en-GB"/>
        </w:rPr>
      </w:pPr>
      <w:r w:rsidRPr="00AB5A76">
        <w:rPr>
          <w:u w:val="single"/>
          <w:lang w:val="en-GB"/>
        </w:rPr>
        <w:tab/>
      </w:r>
      <w:r w:rsidRPr="00AB5A76">
        <w:rPr>
          <w:u w:val="single"/>
          <w:lang w:val="en-GB"/>
        </w:rPr>
        <w:tab/>
      </w:r>
      <w:r w:rsidRPr="00AB5A76">
        <w:rPr>
          <w:u w:val="single"/>
          <w:lang w:val="en-GB"/>
        </w:rPr>
        <w:tab/>
      </w:r>
    </w:p>
    <w:sectPr w:rsidR="00311D01" w:rsidRPr="00AB5A76" w:rsidSect="00170C6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45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A616A" w14:textId="77777777" w:rsidR="003D4162" w:rsidRDefault="003D4162"/>
  </w:endnote>
  <w:endnote w:type="continuationSeparator" w:id="0">
    <w:p w14:paraId="6832B6FB" w14:textId="77777777" w:rsidR="003D4162" w:rsidRDefault="003D4162"/>
  </w:endnote>
  <w:endnote w:type="continuationNotice" w:id="1">
    <w:p w14:paraId="0691BDF5" w14:textId="77777777" w:rsidR="003D4162" w:rsidRDefault="003D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2016">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1B79" w14:textId="45B84276" w:rsidR="00962122" w:rsidRPr="000C4565" w:rsidRDefault="00962122" w:rsidP="000C4565">
    <w:pPr>
      <w:pStyle w:val="Footer"/>
      <w:tabs>
        <w:tab w:val="right" w:pos="9638"/>
      </w:tabs>
      <w:rPr>
        <w:sz w:val="18"/>
      </w:rPr>
    </w:pPr>
    <w:r w:rsidRPr="000C4565">
      <w:rPr>
        <w:b/>
        <w:sz w:val="18"/>
      </w:rPr>
      <w:fldChar w:fldCharType="begin"/>
    </w:r>
    <w:r w:rsidRPr="000C4565">
      <w:rPr>
        <w:b/>
        <w:sz w:val="18"/>
      </w:rPr>
      <w:instrText xml:space="preserve"> PAGE  \* MERGEFORMAT </w:instrText>
    </w:r>
    <w:r w:rsidRPr="000C4565">
      <w:rPr>
        <w:b/>
        <w:sz w:val="18"/>
      </w:rPr>
      <w:fldChar w:fldCharType="separate"/>
    </w:r>
    <w:r w:rsidR="00170C66">
      <w:rPr>
        <w:b/>
        <w:noProof/>
        <w:sz w:val="18"/>
      </w:rPr>
      <w:t>2</w:t>
    </w:r>
    <w:r w:rsidRPr="000C456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8382" w14:textId="5F45BDAE" w:rsidR="00962122" w:rsidRPr="000C4565" w:rsidRDefault="00962122" w:rsidP="000C4565">
    <w:pPr>
      <w:pStyle w:val="Footer"/>
      <w:tabs>
        <w:tab w:val="right" w:pos="9638"/>
      </w:tabs>
      <w:rPr>
        <w:b/>
        <w:sz w:val="18"/>
      </w:rPr>
    </w:pPr>
    <w:r>
      <w:tab/>
    </w:r>
    <w:r w:rsidRPr="000C4565">
      <w:rPr>
        <w:b/>
        <w:sz w:val="18"/>
      </w:rPr>
      <w:fldChar w:fldCharType="begin"/>
    </w:r>
    <w:r w:rsidRPr="000C4565">
      <w:rPr>
        <w:b/>
        <w:sz w:val="18"/>
      </w:rPr>
      <w:instrText xml:space="preserve"> PAGE  \* MERGEFORMAT </w:instrText>
    </w:r>
    <w:r w:rsidRPr="000C4565">
      <w:rPr>
        <w:b/>
        <w:sz w:val="18"/>
      </w:rPr>
      <w:fldChar w:fldCharType="separate"/>
    </w:r>
    <w:r w:rsidR="00170C66">
      <w:rPr>
        <w:b/>
        <w:noProof/>
        <w:sz w:val="18"/>
      </w:rPr>
      <w:t>5</w:t>
    </w:r>
    <w:r w:rsidRPr="000C456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3E15" w14:textId="77777777" w:rsidR="00170C66" w:rsidRDefault="0017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4789" w14:textId="77777777" w:rsidR="003D4162" w:rsidRPr="000B175B" w:rsidRDefault="003D4162" w:rsidP="000B175B">
      <w:pPr>
        <w:tabs>
          <w:tab w:val="right" w:pos="2155"/>
        </w:tabs>
        <w:spacing w:after="80"/>
        <w:ind w:left="680"/>
        <w:rPr>
          <w:u w:val="single"/>
        </w:rPr>
      </w:pPr>
      <w:r>
        <w:rPr>
          <w:u w:val="single"/>
        </w:rPr>
        <w:tab/>
      </w:r>
    </w:p>
  </w:footnote>
  <w:footnote w:type="continuationSeparator" w:id="0">
    <w:p w14:paraId="240C94D4" w14:textId="77777777" w:rsidR="003D4162" w:rsidRPr="00FC68B7" w:rsidRDefault="003D4162" w:rsidP="00FC68B7">
      <w:pPr>
        <w:tabs>
          <w:tab w:val="left" w:pos="2155"/>
        </w:tabs>
        <w:spacing w:after="80"/>
        <w:ind w:left="680"/>
        <w:rPr>
          <w:u w:val="single"/>
        </w:rPr>
      </w:pPr>
      <w:r>
        <w:rPr>
          <w:u w:val="single"/>
        </w:rPr>
        <w:tab/>
      </w:r>
    </w:p>
  </w:footnote>
  <w:footnote w:type="continuationNotice" w:id="1">
    <w:p w14:paraId="1A4C3C24" w14:textId="77777777" w:rsidR="003D4162" w:rsidRDefault="003D4162"/>
  </w:footnote>
  <w:footnote w:id="2">
    <w:p w14:paraId="0DD84F26" w14:textId="5EE882A5" w:rsidR="00962122" w:rsidRPr="007E2572" w:rsidRDefault="00962122" w:rsidP="00C40813">
      <w:pPr>
        <w:pStyle w:val="FootnoteText"/>
        <w:widowControl w:val="0"/>
        <w:tabs>
          <w:tab w:val="clear" w:pos="1021"/>
        </w:tabs>
        <w:ind w:left="1276" w:hanging="141"/>
        <w:rPr>
          <w:lang w:val="en-US"/>
        </w:rPr>
      </w:pPr>
      <w:r>
        <w:tab/>
      </w:r>
      <w:r>
        <w:rPr>
          <w:rStyle w:val="FootnoteReference"/>
        </w:rPr>
        <w:footnoteRef/>
      </w:r>
      <w:r>
        <w:tab/>
      </w:r>
      <w:r w:rsidR="006129B0">
        <w:rPr>
          <w:lang w:val="en-US"/>
        </w:rPr>
        <w:t>Adopted</w:t>
      </w:r>
      <w:r>
        <w:rPr>
          <w:lang w:val="en-US"/>
        </w:rPr>
        <w:t xml:space="preserve"> at</w:t>
      </w:r>
      <w:r w:rsidRPr="00243A7A">
        <w:t xml:space="preserve"> the seventy-</w:t>
      </w:r>
      <w:r w:rsidR="009906C0">
        <w:rPr>
          <w:lang w:val="en-US"/>
        </w:rPr>
        <w:t>ninth</w:t>
      </w:r>
      <w:r w:rsidR="009906C0" w:rsidRPr="00243A7A">
        <w:t xml:space="preserve"> </w:t>
      </w:r>
      <w:r w:rsidR="00476CE8">
        <w:t>Committee</w:t>
      </w:r>
      <w:r w:rsidRPr="00243A7A">
        <w:t xml:space="preserv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C243" w14:textId="46C36EE6" w:rsidR="00962122" w:rsidRPr="00F35B50" w:rsidRDefault="00962122" w:rsidP="00F35B50">
    <w:pPr>
      <w:pStyle w:val="Header"/>
      <w:rPr>
        <w:lang w:val="es-ES"/>
      </w:rPr>
    </w:pPr>
    <w:r w:rsidRPr="00F35B50">
      <w:rPr>
        <w:lang w:val="es-ES"/>
      </w:rPr>
      <w:t xml:space="preserve">Informal document </w:t>
    </w:r>
    <w:r w:rsidR="00065910">
      <w:rPr>
        <w:lang w:val="es-ES"/>
      </w:rPr>
      <w:t>ITC</w:t>
    </w:r>
    <w:r w:rsidR="00065910" w:rsidRPr="00F35B50">
      <w:rPr>
        <w:lang w:val="es-ES"/>
      </w:rPr>
      <w:t xml:space="preserve"> </w:t>
    </w:r>
    <w:r w:rsidRPr="00F35B50">
      <w:rPr>
        <w:lang w:val="es-ES"/>
      </w:rPr>
      <w:t>(201</w:t>
    </w:r>
    <w:r w:rsidR="009906C0">
      <w:rPr>
        <w:lang w:val="es-ES"/>
      </w:rPr>
      <w:t>7</w:t>
    </w:r>
    <w:r w:rsidRPr="00F35B50">
      <w:rPr>
        <w:lang w:val="es-ES"/>
      </w:rPr>
      <w:t xml:space="preserve">) No. </w:t>
    </w:r>
    <w:r w:rsidR="00C0349A">
      <w:rPr>
        <w:lang w:val="es-ES"/>
      </w:rPr>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884C" w14:textId="2F72F4E0" w:rsidR="00962122" w:rsidRPr="00F35B50" w:rsidRDefault="00962122" w:rsidP="00F35B50">
    <w:pPr>
      <w:pStyle w:val="Header"/>
      <w:jc w:val="right"/>
      <w:rPr>
        <w:lang w:val="es-ES"/>
      </w:rPr>
    </w:pPr>
    <w:r w:rsidRPr="00F35B50">
      <w:rPr>
        <w:lang w:val="es-ES"/>
      </w:rPr>
      <w:t xml:space="preserve">Informal document </w:t>
    </w:r>
    <w:r w:rsidR="00065910">
      <w:rPr>
        <w:lang w:val="es-ES"/>
      </w:rPr>
      <w:t>ITC</w:t>
    </w:r>
    <w:r w:rsidR="00065910" w:rsidRPr="00F35B50">
      <w:rPr>
        <w:lang w:val="es-ES"/>
      </w:rPr>
      <w:t xml:space="preserve"> </w:t>
    </w:r>
    <w:r w:rsidRPr="00F35B50">
      <w:rPr>
        <w:lang w:val="es-ES"/>
      </w:rPr>
      <w:t>(201</w:t>
    </w:r>
    <w:r w:rsidR="009906C0">
      <w:rPr>
        <w:lang w:val="es-ES"/>
      </w:rPr>
      <w:t>7</w:t>
    </w:r>
    <w:r w:rsidRPr="00F35B50">
      <w:rPr>
        <w:lang w:val="es-ES"/>
      </w:rPr>
      <w:t xml:space="preserve">) No. </w:t>
    </w:r>
    <w:r w:rsidR="00C0349A">
      <w:rPr>
        <w:lang w:val="es-ES"/>
      </w:rPr>
      <w:t>11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245"/>
      <w:gridCol w:w="4394"/>
    </w:tblGrid>
    <w:tr w:rsidR="00170C66" w:rsidRPr="00170C66" w14:paraId="51A1CB23" w14:textId="77777777" w:rsidTr="004B1EFE">
      <w:tc>
        <w:tcPr>
          <w:tcW w:w="5245" w:type="dxa"/>
          <w:tcBorders>
            <w:bottom w:val="single" w:sz="4" w:space="0" w:color="auto"/>
          </w:tcBorders>
          <w:vAlign w:val="center"/>
        </w:tcPr>
        <w:p w14:paraId="6C69F16A" w14:textId="77777777" w:rsidR="00170C66" w:rsidRPr="00170C66" w:rsidRDefault="00170C66" w:rsidP="00170C66">
          <w:pPr>
            <w:rPr>
              <w:rFonts w:eastAsia="Times New Roman"/>
              <w:caps/>
              <w:lang w:val="en-US"/>
            </w:rPr>
          </w:pPr>
          <w:bookmarkStart w:id="0" w:name="_GoBack"/>
          <w:bookmarkEnd w:id="0"/>
          <w:r w:rsidRPr="00170C66">
            <w:rPr>
              <w:rFonts w:eastAsia="Times New Roman"/>
              <w:lang w:val="en-US"/>
            </w:rPr>
            <w:t xml:space="preserve">Submitted by the </w:t>
          </w:r>
          <w:r w:rsidRPr="00170C66">
            <w:rPr>
              <w:rFonts w:eastAsia="Times New Roman"/>
            </w:rPr>
            <w:t>Secretariat</w:t>
          </w:r>
        </w:p>
        <w:p w14:paraId="375F6885" w14:textId="77777777" w:rsidR="00170C66" w:rsidRPr="00170C66" w:rsidRDefault="00170C66" w:rsidP="00170C66">
          <w:pPr>
            <w:tabs>
              <w:tab w:val="center" w:pos="4677"/>
              <w:tab w:val="right" w:pos="9355"/>
            </w:tabs>
            <w:ind w:left="-108"/>
            <w:rPr>
              <w:rFonts w:eastAsia="Times New Roman"/>
              <w:lang w:val="en-US"/>
            </w:rPr>
          </w:pPr>
        </w:p>
      </w:tc>
      <w:tc>
        <w:tcPr>
          <w:tcW w:w="4394" w:type="dxa"/>
          <w:tcBorders>
            <w:bottom w:val="single" w:sz="4" w:space="0" w:color="auto"/>
          </w:tcBorders>
        </w:tcPr>
        <w:p w14:paraId="62397747" w14:textId="1781C2D6" w:rsidR="00170C66" w:rsidRPr="00170C66" w:rsidRDefault="00170C66" w:rsidP="00170C66">
          <w:pPr>
            <w:jc w:val="right"/>
            <w:rPr>
              <w:rFonts w:eastAsia="Times New Roman"/>
              <w:bCs/>
              <w:lang w:val="en-US"/>
            </w:rPr>
          </w:pPr>
          <w:r w:rsidRPr="00170C66">
            <w:rPr>
              <w:rFonts w:eastAsia="Times New Roman"/>
              <w:u w:val="single"/>
              <w:lang w:val="en-US"/>
            </w:rPr>
            <w:t xml:space="preserve">Informal document </w:t>
          </w:r>
          <w:r w:rsidRPr="00170C66">
            <w:rPr>
              <w:rFonts w:eastAsia="Times New Roman"/>
              <w:b/>
              <w:lang w:val="en-US"/>
            </w:rPr>
            <w:t>WP.29-171-3</w:t>
          </w:r>
          <w:r>
            <w:rPr>
              <w:rFonts w:eastAsia="Times New Roman"/>
              <w:b/>
              <w:lang w:val="en-US"/>
            </w:rPr>
            <w:t>2</w:t>
          </w:r>
          <w:r w:rsidRPr="00170C66">
            <w:rPr>
              <w:rFonts w:eastAsia="Times New Roman"/>
              <w:b/>
              <w:lang w:val="en-US"/>
            </w:rPr>
            <w:br/>
          </w:r>
          <w:r w:rsidRPr="00170C66">
            <w:rPr>
              <w:rFonts w:eastAsia="Times New Roman"/>
              <w:bCs/>
              <w:lang w:val="en-US"/>
            </w:rPr>
            <w:t>171</w:t>
          </w:r>
          <w:r w:rsidRPr="00170C66">
            <w:rPr>
              <w:rFonts w:eastAsia="Times New Roman"/>
              <w:bCs/>
              <w:vertAlign w:val="superscript"/>
              <w:lang w:val="en-US"/>
            </w:rPr>
            <w:t>st</w:t>
          </w:r>
          <w:r w:rsidRPr="00170C66">
            <w:rPr>
              <w:rFonts w:eastAsia="Times New Roman"/>
              <w:bCs/>
              <w:lang w:val="en-US"/>
            </w:rPr>
            <w:t xml:space="preserve"> WP.29, 14-17 March 2017, Agenda item 2.4</w:t>
          </w:r>
        </w:p>
      </w:tc>
    </w:tr>
  </w:tbl>
  <w:p w14:paraId="4E3AB460" w14:textId="77777777" w:rsidR="00170C66" w:rsidRDefault="00170C66" w:rsidP="00170C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1" w15:restartNumberingAfterBreak="0">
    <w:nsid w:val="000F6145"/>
    <w:multiLevelType w:val="hybridMultilevel"/>
    <w:tmpl w:val="A3B6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6C564C"/>
    <w:multiLevelType w:val="multilevel"/>
    <w:tmpl w:val="CD22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668D6"/>
    <w:multiLevelType w:val="multilevel"/>
    <w:tmpl w:val="704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73F2A"/>
    <w:multiLevelType w:val="hybridMultilevel"/>
    <w:tmpl w:val="0BE6E1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C597403"/>
    <w:multiLevelType w:val="hybridMultilevel"/>
    <w:tmpl w:val="2850D4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DB333EB"/>
    <w:multiLevelType w:val="hybridMultilevel"/>
    <w:tmpl w:val="31C24F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E4F1F76"/>
    <w:multiLevelType w:val="hybridMultilevel"/>
    <w:tmpl w:val="573860D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0F4D2096"/>
    <w:multiLevelType w:val="multilevel"/>
    <w:tmpl w:val="8308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56BA6"/>
    <w:multiLevelType w:val="hybridMultilevel"/>
    <w:tmpl w:val="2DDE25C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2AF40C9"/>
    <w:multiLevelType w:val="multilevel"/>
    <w:tmpl w:val="27D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BF26FC"/>
    <w:multiLevelType w:val="hybridMultilevel"/>
    <w:tmpl w:val="8006E5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4FE2963"/>
    <w:multiLevelType w:val="hybridMultilevel"/>
    <w:tmpl w:val="86F4D6F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D4A790B"/>
    <w:multiLevelType w:val="hybridMultilevel"/>
    <w:tmpl w:val="D70A59D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30B401B"/>
    <w:multiLevelType w:val="hybridMultilevel"/>
    <w:tmpl w:val="3C1E97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AE62CF9"/>
    <w:multiLevelType w:val="hybridMultilevel"/>
    <w:tmpl w:val="77A8DC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F832639"/>
    <w:multiLevelType w:val="hybridMultilevel"/>
    <w:tmpl w:val="C4BA9FCA"/>
    <w:lvl w:ilvl="0" w:tplc="150A70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3180A58"/>
    <w:multiLevelType w:val="hybridMultilevel"/>
    <w:tmpl w:val="AFA6071C"/>
    <w:lvl w:ilvl="0" w:tplc="32AA1AE2">
      <w:start w:val="1"/>
      <w:numFmt w:val="lowerLetter"/>
      <w:lvlText w:val="(%1)"/>
      <w:lvlJc w:val="left"/>
      <w:pPr>
        <w:ind w:left="1494" w:hanging="360"/>
      </w:pPr>
      <w:rPr>
        <w:rFonts w:hint="default"/>
        <w:b w:val="0"/>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53B51772"/>
    <w:multiLevelType w:val="hybridMultilevel"/>
    <w:tmpl w:val="547EB5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3F47671"/>
    <w:multiLevelType w:val="hybridMultilevel"/>
    <w:tmpl w:val="5520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C41C2"/>
    <w:multiLevelType w:val="hybridMultilevel"/>
    <w:tmpl w:val="E7C4FC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5C404A72"/>
    <w:multiLevelType w:val="hybridMultilevel"/>
    <w:tmpl w:val="3EEE95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CCD6EDC"/>
    <w:multiLevelType w:val="multilevel"/>
    <w:tmpl w:val="866A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E01EA"/>
    <w:multiLevelType w:val="hybridMultilevel"/>
    <w:tmpl w:val="BF1650B4"/>
    <w:lvl w:ilvl="0" w:tplc="1360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830DF"/>
    <w:multiLevelType w:val="hybridMultilevel"/>
    <w:tmpl w:val="E21862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6C4B454E"/>
    <w:multiLevelType w:val="hybridMultilevel"/>
    <w:tmpl w:val="6D98C016"/>
    <w:lvl w:ilvl="0" w:tplc="2D8815EC">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5D447D"/>
    <w:multiLevelType w:val="multilevel"/>
    <w:tmpl w:val="616E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18182A"/>
    <w:multiLevelType w:val="hybridMultilevel"/>
    <w:tmpl w:val="71E024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5046593"/>
    <w:multiLevelType w:val="hybridMultilevel"/>
    <w:tmpl w:val="F0F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B798D"/>
    <w:multiLevelType w:val="multilevel"/>
    <w:tmpl w:val="B2EE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B1489"/>
    <w:multiLevelType w:val="hybridMultilevel"/>
    <w:tmpl w:val="1BE0D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4"/>
  </w:num>
  <w:num w:numId="2">
    <w:abstractNumId w:val="26"/>
  </w:num>
  <w:num w:numId="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32"/>
  </w:num>
  <w:num w:numId="7">
    <w:abstractNumId w:val="29"/>
  </w:num>
  <w:num w:numId="8">
    <w:abstractNumId w:val="24"/>
  </w:num>
  <w:num w:numId="9">
    <w:abstractNumId w:val="3"/>
  </w:num>
  <w:num w:numId="10">
    <w:abstractNumId w:val="11"/>
  </w:num>
  <w:num w:numId="11">
    <w:abstractNumId w:val="28"/>
  </w:num>
  <w:num w:numId="12">
    <w:abstractNumId w:val="1"/>
  </w:num>
  <w:num w:numId="13">
    <w:abstractNumId w:val="21"/>
  </w:num>
  <w:num w:numId="14">
    <w:abstractNumId w:val="19"/>
  </w:num>
  <w:num w:numId="15">
    <w:abstractNumId w:val="0"/>
  </w:num>
  <w:num w:numId="16">
    <w:abstractNumId w:val="10"/>
  </w:num>
  <w:num w:numId="17">
    <w:abstractNumId w:val="7"/>
  </w:num>
  <w:num w:numId="18">
    <w:abstractNumId w:val="22"/>
  </w:num>
  <w:num w:numId="19">
    <w:abstractNumId w:val="30"/>
  </w:num>
  <w:num w:numId="20">
    <w:abstractNumId w:val="5"/>
  </w:num>
  <w:num w:numId="21">
    <w:abstractNumId w:val="15"/>
  </w:num>
  <w:num w:numId="22">
    <w:abstractNumId w:val="17"/>
  </w:num>
  <w:num w:numId="23">
    <w:abstractNumId w:val="16"/>
  </w:num>
  <w:num w:numId="24">
    <w:abstractNumId w:val="8"/>
  </w:num>
  <w:num w:numId="25">
    <w:abstractNumId w:val="14"/>
  </w:num>
  <w:num w:numId="26">
    <w:abstractNumId w:val="20"/>
  </w:num>
  <w:num w:numId="27">
    <w:abstractNumId w:val="13"/>
  </w:num>
  <w:num w:numId="28">
    <w:abstractNumId w:val="33"/>
  </w:num>
  <w:num w:numId="29">
    <w:abstractNumId w:val="6"/>
  </w:num>
  <w:num w:numId="30">
    <w:abstractNumId w:val="27"/>
  </w:num>
  <w:num w:numId="31">
    <w:abstractNumId w:val="23"/>
  </w:num>
  <w:num w:numId="32">
    <w:abstractNumId w:val="31"/>
  </w:num>
  <w:num w:numId="33">
    <w:abstractNumId w:val="25"/>
  </w:num>
  <w:num w:numId="3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65"/>
    <w:rsid w:val="0000040F"/>
    <w:rsid w:val="00002F8C"/>
    <w:rsid w:val="00006F19"/>
    <w:rsid w:val="00007280"/>
    <w:rsid w:val="00007781"/>
    <w:rsid w:val="000141DF"/>
    <w:rsid w:val="00014EA3"/>
    <w:rsid w:val="0001561E"/>
    <w:rsid w:val="00015BCF"/>
    <w:rsid w:val="00016BBB"/>
    <w:rsid w:val="00022309"/>
    <w:rsid w:val="00022D4A"/>
    <w:rsid w:val="00027143"/>
    <w:rsid w:val="000276D0"/>
    <w:rsid w:val="000303C7"/>
    <w:rsid w:val="00031ECB"/>
    <w:rsid w:val="00033814"/>
    <w:rsid w:val="000352DD"/>
    <w:rsid w:val="00035B65"/>
    <w:rsid w:val="00040B93"/>
    <w:rsid w:val="00041543"/>
    <w:rsid w:val="00041BFE"/>
    <w:rsid w:val="00042EDA"/>
    <w:rsid w:val="000432B4"/>
    <w:rsid w:val="00045A36"/>
    <w:rsid w:val="00046918"/>
    <w:rsid w:val="00050F6B"/>
    <w:rsid w:val="00052752"/>
    <w:rsid w:val="000542CC"/>
    <w:rsid w:val="000557F7"/>
    <w:rsid w:val="00056C45"/>
    <w:rsid w:val="0006248D"/>
    <w:rsid w:val="000624FF"/>
    <w:rsid w:val="00062839"/>
    <w:rsid w:val="00065910"/>
    <w:rsid w:val="00067B64"/>
    <w:rsid w:val="00072C8C"/>
    <w:rsid w:val="00076371"/>
    <w:rsid w:val="00080B85"/>
    <w:rsid w:val="00082089"/>
    <w:rsid w:val="000823B2"/>
    <w:rsid w:val="00083B9A"/>
    <w:rsid w:val="00083FAE"/>
    <w:rsid w:val="00086148"/>
    <w:rsid w:val="0008688F"/>
    <w:rsid w:val="000878DE"/>
    <w:rsid w:val="000931C0"/>
    <w:rsid w:val="00093AD3"/>
    <w:rsid w:val="0009698B"/>
    <w:rsid w:val="000A0867"/>
    <w:rsid w:val="000A0FC7"/>
    <w:rsid w:val="000A188B"/>
    <w:rsid w:val="000A2E53"/>
    <w:rsid w:val="000A4B5D"/>
    <w:rsid w:val="000A700F"/>
    <w:rsid w:val="000A72C7"/>
    <w:rsid w:val="000A77A9"/>
    <w:rsid w:val="000B175B"/>
    <w:rsid w:val="000B21D2"/>
    <w:rsid w:val="000B3A0F"/>
    <w:rsid w:val="000B3E93"/>
    <w:rsid w:val="000B42E7"/>
    <w:rsid w:val="000B5C64"/>
    <w:rsid w:val="000B6B87"/>
    <w:rsid w:val="000C4565"/>
    <w:rsid w:val="000D1A74"/>
    <w:rsid w:val="000D40E3"/>
    <w:rsid w:val="000D4FBD"/>
    <w:rsid w:val="000D537C"/>
    <w:rsid w:val="000D5FAB"/>
    <w:rsid w:val="000E0415"/>
    <w:rsid w:val="000E04C1"/>
    <w:rsid w:val="000E05BF"/>
    <w:rsid w:val="000E5BDD"/>
    <w:rsid w:val="000F5133"/>
    <w:rsid w:val="00100835"/>
    <w:rsid w:val="00100C9D"/>
    <w:rsid w:val="0010414C"/>
    <w:rsid w:val="001054D0"/>
    <w:rsid w:val="001063A5"/>
    <w:rsid w:val="00107258"/>
    <w:rsid w:val="00113037"/>
    <w:rsid w:val="00113D0F"/>
    <w:rsid w:val="00113DD4"/>
    <w:rsid w:val="00115391"/>
    <w:rsid w:val="001220B8"/>
    <w:rsid w:val="00123F54"/>
    <w:rsid w:val="00126504"/>
    <w:rsid w:val="001265CB"/>
    <w:rsid w:val="00130686"/>
    <w:rsid w:val="0013525F"/>
    <w:rsid w:val="00135C2E"/>
    <w:rsid w:val="00136BBA"/>
    <w:rsid w:val="00142454"/>
    <w:rsid w:val="00143509"/>
    <w:rsid w:val="001473EF"/>
    <w:rsid w:val="001475A2"/>
    <w:rsid w:val="00147778"/>
    <w:rsid w:val="00147E6A"/>
    <w:rsid w:val="00153D34"/>
    <w:rsid w:val="00154377"/>
    <w:rsid w:val="00161664"/>
    <w:rsid w:val="00162038"/>
    <w:rsid w:val="001638EC"/>
    <w:rsid w:val="00166FAE"/>
    <w:rsid w:val="0016734E"/>
    <w:rsid w:val="001676E3"/>
    <w:rsid w:val="001701ED"/>
    <w:rsid w:val="0017040C"/>
    <w:rsid w:val="00170C66"/>
    <w:rsid w:val="00173A42"/>
    <w:rsid w:val="00175A2B"/>
    <w:rsid w:val="00175E50"/>
    <w:rsid w:val="00177060"/>
    <w:rsid w:val="00180EB7"/>
    <w:rsid w:val="00184023"/>
    <w:rsid w:val="00194702"/>
    <w:rsid w:val="00194723"/>
    <w:rsid w:val="001A08E0"/>
    <w:rsid w:val="001A0F56"/>
    <w:rsid w:val="001A5891"/>
    <w:rsid w:val="001A5BE4"/>
    <w:rsid w:val="001B1D28"/>
    <w:rsid w:val="001B4B04"/>
    <w:rsid w:val="001C19C7"/>
    <w:rsid w:val="001C1ED0"/>
    <w:rsid w:val="001C20E8"/>
    <w:rsid w:val="001C412F"/>
    <w:rsid w:val="001C458A"/>
    <w:rsid w:val="001C6663"/>
    <w:rsid w:val="001C7895"/>
    <w:rsid w:val="001C7B7F"/>
    <w:rsid w:val="001D1CA5"/>
    <w:rsid w:val="001D26DF"/>
    <w:rsid w:val="001D2891"/>
    <w:rsid w:val="001D28CE"/>
    <w:rsid w:val="001D3F42"/>
    <w:rsid w:val="001D4B02"/>
    <w:rsid w:val="001D7022"/>
    <w:rsid w:val="001D7944"/>
    <w:rsid w:val="001E02E3"/>
    <w:rsid w:val="001E4747"/>
    <w:rsid w:val="001E54E1"/>
    <w:rsid w:val="001E5704"/>
    <w:rsid w:val="001F16BD"/>
    <w:rsid w:val="001F1855"/>
    <w:rsid w:val="001F4A94"/>
    <w:rsid w:val="001F5040"/>
    <w:rsid w:val="00200828"/>
    <w:rsid w:val="00200ADE"/>
    <w:rsid w:val="00203649"/>
    <w:rsid w:val="0020494C"/>
    <w:rsid w:val="00207DD7"/>
    <w:rsid w:val="00211AE5"/>
    <w:rsid w:val="00211E0B"/>
    <w:rsid w:val="00214897"/>
    <w:rsid w:val="00220A32"/>
    <w:rsid w:val="00221704"/>
    <w:rsid w:val="00221855"/>
    <w:rsid w:val="00230D35"/>
    <w:rsid w:val="00232539"/>
    <w:rsid w:val="002329A0"/>
    <w:rsid w:val="00233DBE"/>
    <w:rsid w:val="002405A7"/>
    <w:rsid w:val="00241F8B"/>
    <w:rsid w:val="00242662"/>
    <w:rsid w:val="00242B02"/>
    <w:rsid w:val="002431B5"/>
    <w:rsid w:val="002433BC"/>
    <w:rsid w:val="00243A0F"/>
    <w:rsid w:val="00243A7A"/>
    <w:rsid w:val="00245D00"/>
    <w:rsid w:val="00247A2F"/>
    <w:rsid w:val="002523B0"/>
    <w:rsid w:val="002537E7"/>
    <w:rsid w:val="00256A31"/>
    <w:rsid w:val="002575AB"/>
    <w:rsid w:val="00263175"/>
    <w:rsid w:val="0026404E"/>
    <w:rsid w:val="0026441E"/>
    <w:rsid w:val="002657B4"/>
    <w:rsid w:val="0026628F"/>
    <w:rsid w:val="00266FC3"/>
    <w:rsid w:val="00272F5C"/>
    <w:rsid w:val="00275ADD"/>
    <w:rsid w:val="00277992"/>
    <w:rsid w:val="00280970"/>
    <w:rsid w:val="002809FE"/>
    <w:rsid w:val="00281D23"/>
    <w:rsid w:val="00282F2B"/>
    <w:rsid w:val="00284F4C"/>
    <w:rsid w:val="00296DA1"/>
    <w:rsid w:val="002A456F"/>
    <w:rsid w:val="002A4FA4"/>
    <w:rsid w:val="002B1FC8"/>
    <w:rsid w:val="002B3C09"/>
    <w:rsid w:val="002B4263"/>
    <w:rsid w:val="002B6F6D"/>
    <w:rsid w:val="002B757C"/>
    <w:rsid w:val="002B7B83"/>
    <w:rsid w:val="002C0437"/>
    <w:rsid w:val="002C512F"/>
    <w:rsid w:val="002C5C34"/>
    <w:rsid w:val="002C6342"/>
    <w:rsid w:val="002C6A29"/>
    <w:rsid w:val="002C6A8B"/>
    <w:rsid w:val="002D224B"/>
    <w:rsid w:val="002D2884"/>
    <w:rsid w:val="002D31D8"/>
    <w:rsid w:val="002D3898"/>
    <w:rsid w:val="002D3B07"/>
    <w:rsid w:val="002D471F"/>
    <w:rsid w:val="002D713D"/>
    <w:rsid w:val="002D74C3"/>
    <w:rsid w:val="002E10BB"/>
    <w:rsid w:val="002E2AE8"/>
    <w:rsid w:val="002E3F94"/>
    <w:rsid w:val="002E5165"/>
    <w:rsid w:val="002E6585"/>
    <w:rsid w:val="002F55CA"/>
    <w:rsid w:val="002F7902"/>
    <w:rsid w:val="003029C6"/>
    <w:rsid w:val="003033F8"/>
    <w:rsid w:val="003043B1"/>
    <w:rsid w:val="00307841"/>
    <w:rsid w:val="00307F76"/>
    <w:rsid w:val="00310475"/>
    <w:rsid w:val="003107FA"/>
    <w:rsid w:val="00311D01"/>
    <w:rsid w:val="00311FD9"/>
    <w:rsid w:val="00312A08"/>
    <w:rsid w:val="00315167"/>
    <w:rsid w:val="00317051"/>
    <w:rsid w:val="00320A25"/>
    <w:rsid w:val="003229D8"/>
    <w:rsid w:val="0032555E"/>
    <w:rsid w:val="00331AA5"/>
    <w:rsid w:val="00332C36"/>
    <w:rsid w:val="003341E1"/>
    <w:rsid w:val="00334C4D"/>
    <w:rsid w:val="0033745A"/>
    <w:rsid w:val="0033793E"/>
    <w:rsid w:val="00337F45"/>
    <w:rsid w:val="003406A3"/>
    <w:rsid w:val="003444D8"/>
    <w:rsid w:val="003444E9"/>
    <w:rsid w:val="00346674"/>
    <w:rsid w:val="0035036C"/>
    <w:rsid w:val="00350416"/>
    <w:rsid w:val="003525C6"/>
    <w:rsid w:val="00352C8F"/>
    <w:rsid w:val="00356FD7"/>
    <w:rsid w:val="00357CEF"/>
    <w:rsid w:val="00357D44"/>
    <w:rsid w:val="00360323"/>
    <w:rsid w:val="00362564"/>
    <w:rsid w:val="00362DC9"/>
    <w:rsid w:val="003633F1"/>
    <w:rsid w:val="00363AAD"/>
    <w:rsid w:val="0036579A"/>
    <w:rsid w:val="003658A0"/>
    <w:rsid w:val="003660BC"/>
    <w:rsid w:val="003663F5"/>
    <w:rsid w:val="003676F2"/>
    <w:rsid w:val="00375C50"/>
    <w:rsid w:val="00376105"/>
    <w:rsid w:val="003860AD"/>
    <w:rsid w:val="0038695E"/>
    <w:rsid w:val="00386B41"/>
    <w:rsid w:val="003877B3"/>
    <w:rsid w:val="00387F14"/>
    <w:rsid w:val="00391DAF"/>
    <w:rsid w:val="00392042"/>
    <w:rsid w:val="0039277A"/>
    <w:rsid w:val="00393831"/>
    <w:rsid w:val="00394F8E"/>
    <w:rsid w:val="003972E0"/>
    <w:rsid w:val="003A03CC"/>
    <w:rsid w:val="003B0260"/>
    <w:rsid w:val="003B31FC"/>
    <w:rsid w:val="003B4569"/>
    <w:rsid w:val="003B60F4"/>
    <w:rsid w:val="003C05AC"/>
    <w:rsid w:val="003C2CC4"/>
    <w:rsid w:val="003C2DC7"/>
    <w:rsid w:val="003C3936"/>
    <w:rsid w:val="003C643E"/>
    <w:rsid w:val="003C7B6E"/>
    <w:rsid w:val="003D075E"/>
    <w:rsid w:val="003D2558"/>
    <w:rsid w:val="003D264E"/>
    <w:rsid w:val="003D4162"/>
    <w:rsid w:val="003D4B23"/>
    <w:rsid w:val="003D4CD3"/>
    <w:rsid w:val="003D6625"/>
    <w:rsid w:val="003E35DF"/>
    <w:rsid w:val="003E51EB"/>
    <w:rsid w:val="003E55C6"/>
    <w:rsid w:val="003F0B55"/>
    <w:rsid w:val="003F1ED3"/>
    <w:rsid w:val="003F423B"/>
    <w:rsid w:val="003F7D2A"/>
    <w:rsid w:val="00402AB7"/>
    <w:rsid w:val="004040CA"/>
    <w:rsid w:val="00406372"/>
    <w:rsid w:val="00406E48"/>
    <w:rsid w:val="00407029"/>
    <w:rsid w:val="0041058A"/>
    <w:rsid w:val="00411B05"/>
    <w:rsid w:val="00411DCC"/>
    <w:rsid w:val="00412464"/>
    <w:rsid w:val="004124E0"/>
    <w:rsid w:val="004129F5"/>
    <w:rsid w:val="004136D4"/>
    <w:rsid w:val="00414F5E"/>
    <w:rsid w:val="00423A59"/>
    <w:rsid w:val="00424608"/>
    <w:rsid w:val="00427C05"/>
    <w:rsid w:val="00430EFB"/>
    <w:rsid w:val="00430FDB"/>
    <w:rsid w:val="004325CB"/>
    <w:rsid w:val="00432EBB"/>
    <w:rsid w:val="00433884"/>
    <w:rsid w:val="00433CC7"/>
    <w:rsid w:val="00442AA1"/>
    <w:rsid w:val="00446DE4"/>
    <w:rsid w:val="0045034F"/>
    <w:rsid w:val="004503C1"/>
    <w:rsid w:val="00452747"/>
    <w:rsid w:val="00454099"/>
    <w:rsid w:val="00454E4E"/>
    <w:rsid w:val="00457A06"/>
    <w:rsid w:val="00460745"/>
    <w:rsid w:val="00462930"/>
    <w:rsid w:val="004643F3"/>
    <w:rsid w:val="004652AA"/>
    <w:rsid w:val="004675F8"/>
    <w:rsid w:val="0046766A"/>
    <w:rsid w:val="0047010D"/>
    <w:rsid w:val="00470536"/>
    <w:rsid w:val="00471D4B"/>
    <w:rsid w:val="00476CE8"/>
    <w:rsid w:val="00480638"/>
    <w:rsid w:val="0048408D"/>
    <w:rsid w:val="00485C63"/>
    <w:rsid w:val="0048779F"/>
    <w:rsid w:val="004937A6"/>
    <w:rsid w:val="004A2A99"/>
    <w:rsid w:val="004A41CA"/>
    <w:rsid w:val="004B0D86"/>
    <w:rsid w:val="004B794D"/>
    <w:rsid w:val="004B7A73"/>
    <w:rsid w:val="004C0194"/>
    <w:rsid w:val="004C0644"/>
    <w:rsid w:val="004C13AC"/>
    <w:rsid w:val="004C3F3F"/>
    <w:rsid w:val="004C4A2E"/>
    <w:rsid w:val="004C6720"/>
    <w:rsid w:val="004D01EE"/>
    <w:rsid w:val="004D0399"/>
    <w:rsid w:val="004D06DA"/>
    <w:rsid w:val="004D15DD"/>
    <w:rsid w:val="004D3D67"/>
    <w:rsid w:val="004D7B3D"/>
    <w:rsid w:val="004D7BDE"/>
    <w:rsid w:val="004E1F37"/>
    <w:rsid w:val="004E4080"/>
    <w:rsid w:val="004F1A1D"/>
    <w:rsid w:val="004F35D7"/>
    <w:rsid w:val="005015D0"/>
    <w:rsid w:val="00501C10"/>
    <w:rsid w:val="00503228"/>
    <w:rsid w:val="00505384"/>
    <w:rsid w:val="00505EA9"/>
    <w:rsid w:val="0050681A"/>
    <w:rsid w:val="005122E5"/>
    <w:rsid w:val="005129E6"/>
    <w:rsid w:val="00513A14"/>
    <w:rsid w:val="00516070"/>
    <w:rsid w:val="00516A42"/>
    <w:rsid w:val="005204DE"/>
    <w:rsid w:val="005207FD"/>
    <w:rsid w:val="00521AD7"/>
    <w:rsid w:val="00522403"/>
    <w:rsid w:val="005263DB"/>
    <w:rsid w:val="00526DA0"/>
    <w:rsid w:val="00530FFB"/>
    <w:rsid w:val="005330CA"/>
    <w:rsid w:val="00533734"/>
    <w:rsid w:val="00534E72"/>
    <w:rsid w:val="005420F2"/>
    <w:rsid w:val="00542549"/>
    <w:rsid w:val="005425FD"/>
    <w:rsid w:val="00543085"/>
    <w:rsid w:val="00550E83"/>
    <w:rsid w:val="00555721"/>
    <w:rsid w:val="00563F98"/>
    <w:rsid w:val="0056555A"/>
    <w:rsid w:val="0056555E"/>
    <w:rsid w:val="00572CD8"/>
    <w:rsid w:val="00572EE2"/>
    <w:rsid w:val="00573DAC"/>
    <w:rsid w:val="00575136"/>
    <w:rsid w:val="00575C50"/>
    <w:rsid w:val="0058311D"/>
    <w:rsid w:val="005867F6"/>
    <w:rsid w:val="00591B87"/>
    <w:rsid w:val="005922A4"/>
    <w:rsid w:val="00592B33"/>
    <w:rsid w:val="00592CD1"/>
    <w:rsid w:val="005940A1"/>
    <w:rsid w:val="00594788"/>
    <w:rsid w:val="00595642"/>
    <w:rsid w:val="00597515"/>
    <w:rsid w:val="005A2A74"/>
    <w:rsid w:val="005B0C58"/>
    <w:rsid w:val="005B0D6D"/>
    <w:rsid w:val="005B0EE4"/>
    <w:rsid w:val="005B1455"/>
    <w:rsid w:val="005B1978"/>
    <w:rsid w:val="005B3DB3"/>
    <w:rsid w:val="005B400B"/>
    <w:rsid w:val="005B779A"/>
    <w:rsid w:val="005C5AD2"/>
    <w:rsid w:val="005D0329"/>
    <w:rsid w:val="005D0D70"/>
    <w:rsid w:val="005D273D"/>
    <w:rsid w:val="005E11CA"/>
    <w:rsid w:val="005E7008"/>
    <w:rsid w:val="005E7523"/>
    <w:rsid w:val="005F0318"/>
    <w:rsid w:val="005F519C"/>
    <w:rsid w:val="005F5647"/>
    <w:rsid w:val="0060096E"/>
    <w:rsid w:val="00601413"/>
    <w:rsid w:val="006036E3"/>
    <w:rsid w:val="0060370A"/>
    <w:rsid w:val="006037D9"/>
    <w:rsid w:val="006059EB"/>
    <w:rsid w:val="006075FD"/>
    <w:rsid w:val="00607C67"/>
    <w:rsid w:val="00611FC4"/>
    <w:rsid w:val="006129B0"/>
    <w:rsid w:val="00613E01"/>
    <w:rsid w:val="00616EA2"/>
    <w:rsid w:val="006172E9"/>
    <w:rsid w:val="006173C6"/>
    <w:rsid w:val="006176FB"/>
    <w:rsid w:val="006209EF"/>
    <w:rsid w:val="00623908"/>
    <w:rsid w:val="00623C9C"/>
    <w:rsid w:val="00623D17"/>
    <w:rsid w:val="00625EEA"/>
    <w:rsid w:val="00627150"/>
    <w:rsid w:val="00627ED0"/>
    <w:rsid w:val="00635B57"/>
    <w:rsid w:val="00636C48"/>
    <w:rsid w:val="00636E63"/>
    <w:rsid w:val="00636F7D"/>
    <w:rsid w:val="006373F2"/>
    <w:rsid w:val="00637EAD"/>
    <w:rsid w:val="00640B26"/>
    <w:rsid w:val="0064471A"/>
    <w:rsid w:val="0064533E"/>
    <w:rsid w:val="00647FA9"/>
    <w:rsid w:val="00652180"/>
    <w:rsid w:val="00654B42"/>
    <w:rsid w:val="00655544"/>
    <w:rsid w:val="00656733"/>
    <w:rsid w:val="0066111F"/>
    <w:rsid w:val="00661537"/>
    <w:rsid w:val="006628FC"/>
    <w:rsid w:val="00665595"/>
    <w:rsid w:val="006701D6"/>
    <w:rsid w:val="00670B2A"/>
    <w:rsid w:val="00672B16"/>
    <w:rsid w:val="00677D49"/>
    <w:rsid w:val="0068057C"/>
    <w:rsid w:val="00684464"/>
    <w:rsid w:val="00684817"/>
    <w:rsid w:val="00685338"/>
    <w:rsid w:val="006914B6"/>
    <w:rsid w:val="006A0869"/>
    <w:rsid w:val="006A2B1D"/>
    <w:rsid w:val="006A30ED"/>
    <w:rsid w:val="006A5F1A"/>
    <w:rsid w:val="006A6004"/>
    <w:rsid w:val="006A7063"/>
    <w:rsid w:val="006A7392"/>
    <w:rsid w:val="006B0928"/>
    <w:rsid w:val="006B2D4E"/>
    <w:rsid w:val="006B40C9"/>
    <w:rsid w:val="006C5C05"/>
    <w:rsid w:val="006C657B"/>
    <w:rsid w:val="006C6A48"/>
    <w:rsid w:val="006C6B35"/>
    <w:rsid w:val="006C7300"/>
    <w:rsid w:val="006D0E2D"/>
    <w:rsid w:val="006D4E73"/>
    <w:rsid w:val="006D5A22"/>
    <w:rsid w:val="006E3B2F"/>
    <w:rsid w:val="006E564B"/>
    <w:rsid w:val="006E673B"/>
    <w:rsid w:val="006F14EB"/>
    <w:rsid w:val="006F1897"/>
    <w:rsid w:val="006F37E7"/>
    <w:rsid w:val="006F47F2"/>
    <w:rsid w:val="006F4EC5"/>
    <w:rsid w:val="006F6A2D"/>
    <w:rsid w:val="006F704C"/>
    <w:rsid w:val="00700C29"/>
    <w:rsid w:val="0070136C"/>
    <w:rsid w:val="00701382"/>
    <w:rsid w:val="00701D44"/>
    <w:rsid w:val="0070633C"/>
    <w:rsid w:val="00706BE1"/>
    <w:rsid w:val="00707643"/>
    <w:rsid w:val="0071019B"/>
    <w:rsid w:val="0071129C"/>
    <w:rsid w:val="007125AD"/>
    <w:rsid w:val="00714462"/>
    <w:rsid w:val="0071660C"/>
    <w:rsid w:val="0071703B"/>
    <w:rsid w:val="00717DDB"/>
    <w:rsid w:val="00717EE8"/>
    <w:rsid w:val="007212AF"/>
    <w:rsid w:val="007217D7"/>
    <w:rsid w:val="00723F53"/>
    <w:rsid w:val="00724D33"/>
    <w:rsid w:val="0072632A"/>
    <w:rsid w:val="007327C0"/>
    <w:rsid w:val="00734118"/>
    <w:rsid w:val="00734275"/>
    <w:rsid w:val="00736FF6"/>
    <w:rsid w:val="00743CD6"/>
    <w:rsid w:val="00744102"/>
    <w:rsid w:val="00750C38"/>
    <w:rsid w:val="007530D5"/>
    <w:rsid w:val="00754541"/>
    <w:rsid w:val="00754DC6"/>
    <w:rsid w:val="00760196"/>
    <w:rsid w:val="00760CB9"/>
    <w:rsid w:val="00762439"/>
    <w:rsid w:val="00764126"/>
    <w:rsid w:val="00766153"/>
    <w:rsid w:val="00767C29"/>
    <w:rsid w:val="00772214"/>
    <w:rsid w:val="00773ACD"/>
    <w:rsid w:val="00774860"/>
    <w:rsid w:val="007772CB"/>
    <w:rsid w:val="0078262E"/>
    <w:rsid w:val="0079382E"/>
    <w:rsid w:val="007973C7"/>
    <w:rsid w:val="007A39DA"/>
    <w:rsid w:val="007A7484"/>
    <w:rsid w:val="007B0FBD"/>
    <w:rsid w:val="007B6A46"/>
    <w:rsid w:val="007B6BA5"/>
    <w:rsid w:val="007C02CD"/>
    <w:rsid w:val="007C3390"/>
    <w:rsid w:val="007C4F4B"/>
    <w:rsid w:val="007C5D1D"/>
    <w:rsid w:val="007C6704"/>
    <w:rsid w:val="007C7D40"/>
    <w:rsid w:val="007D611C"/>
    <w:rsid w:val="007D6E26"/>
    <w:rsid w:val="007D7154"/>
    <w:rsid w:val="007E00F2"/>
    <w:rsid w:val="007E0D8D"/>
    <w:rsid w:val="007E1632"/>
    <w:rsid w:val="007E2572"/>
    <w:rsid w:val="007E2AC5"/>
    <w:rsid w:val="007E57D9"/>
    <w:rsid w:val="007F00B4"/>
    <w:rsid w:val="007F0B83"/>
    <w:rsid w:val="007F0B8E"/>
    <w:rsid w:val="007F1145"/>
    <w:rsid w:val="007F1991"/>
    <w:rsid w:val="007F19BD"/>
    <w:rsid w:val="007F267F"/>
    <w:rsid w:val="007F2843"/>
    <w:rsid w:val="007F4111"/>
    <w:rsid w:val="007F55B0"/>
    <w:rsid w:val="007F58DE"/>
    <w:rsid w:val="007F6611"/>
    <w:rsid w:val="007F7DD9"/>
    <w:rsid w:val="00803DF2"/>
    <w:rsid w:val="00803F18"/>
    <w:rsid w:val="0080684E"/>
    <w:rsid w:val="00806B75"/>
    <w:rsid w:val="00811284"/>
    <w:rsid w:val="00811A9B"/>
    <w:rsid w:val="0081264A"/>
    <w:rsid w:val="0081417A"/>
    <w:rsid w:val="008150BC"/>
    <w:rsid w:val="00817359"/>
    <w:rsid w:val="008175E9"/>
    <w:rsid w:val="00820F9C"/>
    <w:rsid w:val="008242D7"/>
    <w:rsid w:val="00827E05"/>
    <w:rsid w:val="00830E26"/>
    <w:rsid w:val="008311A3"/>
    <w:rsid w:val="00833633"/>
    <w:rsid w:val="00833BAE"/>
    <w:rsid w:val="00833C73"/>
    <w:rsid w:val="00833D5B"/>
    <w:rsid w:val="00847414"/>
    <w:rsid w:val="00854374"/>
    <w:rsid w:val="00854C66"/>
    <w:rsid w:val="00855D39"/>
    <w:rsid w:val="008561B2"/>
    <w:rsid w:val="008604AE"/>
    <w:rsid w:val="00865A67"/>
    <w:rsid w:val="00867819"/>
    <w:rsid w:val="00871FD5"/>
    <w:rsid w:val="00873489"/>
    <w:rsid w:val="00873A8B"/>
    <w:rsid w:val="008749E1"/>
    <w:rsid w:val="008765B8"/>
    <w:rsid w:val="008805C3"/>
    <w:rsid w:val="008807B2"/>
    <w:rsid w:val="00880A24"/>
    <w:rsid w:val="00885A87"/>
    <w:rsid w:val="00890C6A"/>
    <w:rsid w:val="00892DD1"/>
    <w:rsid w:val="008963B0"/>
    <w:rsid w:val="008979B1"/>
    <w:rsid w:val="008A0BC7"/>
    <w:rsid w:val="008A2418"/>
    <w:rsid w:val="008A4261"/>
    <w:rsid w:val="008A4508"/>
    <w:rsid w:val="008A56A7"/>
    <w:rsid w:val="008A6B25"/>
    <w:rsid w:val="008A6C4F"/>
    <w:rsid w:val="008A796F"/>
    <w:rsid w:val="008A7DCB"/>
    <w:rsid w:val="008B0659"/>
    <w:rsid w:val="008B11EA"/>
    <w:rsid w:val="008B3884"/>
    <w:rsid w:val="008B650A"/>
    <w:rsid w:val="008C0AD2"/>
    <w:rsid w:val="008C1682"/>
    <w:rsid w:val="008C4169"/>
    <w:rsid w:val="008D2059"/>
    <w:rsid w:val="008D275E"/>
    <w:rsid w:val="008D6D55"/>
    <w:rsid w:val="008E0E46"/>
    <w:rsid w:val="008E0E7F"/>
    <w:rsid w:val="008F0D3E"/>
    <w:rsid w:val="008F164D"/>
    <w:rsid w:val="008F1B77"/>
    <w:rsid w:val="008F227A"/>
    <w:rsid w:val="008F3112"/>
    <w:rsid w:val="008F406B"/>
    <w:rsid w:val="008F66EA"/>
    <w:rsid w:val="00907782"/>
    <w:rsid w:val="00907AD2"/>
    <w:rsid w:val="00907CCE"/>
    <w:rsid w:val="009116BB"/>
    <w:rsid w:val="0091797E"/>
    <w:rsid w:val="009226AF"/>
    <w:rsid w:val="009267CA"/>
    <w:rsid w:val="00926EDC"/>
    <w:rsid w:val="00930314"/>
    <w:rsid w:val="00931872"/>
    <w:rsid w:val="00934853"/>
    <w:rsid w:val="0093555E"/>
    <w:rsid w:val="00940CDC"/>
    <w:rsid w:val="009442C6"/>
    <w:rsid w:val="00946B0E"/>
    <w:rsid w:val="00951C85"/>
    <w:rsid w:val="00955BD9"/>
    <w:rsid w:val="00956D5E"/>
    <w:rsid w:val="00960BCC"/>
    <w:rsid w:val="00961110"/>
    <w:rsid w:val="009612D6"/>
    <w:rsid w:val="00962122"/>
    <w:rsid w:val="00962B9B"/>
    <w:rsid w:val="00963CBA"/>
    <w:rsid w:val="00965AFC"/>
    <w:rsid w:val="00966999"/>
    <w:rsid w:val="009672AD"/>
    <w:rsid w:val="009701B1"/>
    <w:rsid w:val="00972057"/>
    <w:rsid w:val="009721C1"/>
    <w:rsid w:val="00972364"/>
    <w:rsid w:val="00972870"/>
    <w:rsid w:val="00974A8D"/>
    <w:rsid w:val="009752A7"/>
    <w:rsid w:val="0098273F"/>
    <w:rsid w:val="00984DDC"/>
    <w:rsid w:val="00986A75"/>
    <w:rsid w:val="009875DD"/>
    <w:rsid w:val="009900EA"/>
    <w:rsid w:val="009906C0"/>
    <w:rsid w:val="00991261"/>
    <w:rsid w:val="009921FD"/>
    <w:rsid w:val="00992625"/>
    <w:rsid w:val="0099767E"/>
    <w:rsid w:val="009A05C3"/>
    <w:rsid w:val="009A1F08"/>
    <w:rsid w:val="009A33CF"/>
    <w:rsid w:val="009A4409"/>
    <w:rsid w:val="009A626A"/>
    <w:rsid w:val="009A75A5"/>
    <w:rsid w:val="009A766E"/>
    <w:rsid w:val="009B04A1"/>
    <w:rsid w:val="009B0C55"/>
    <w:rsid w:val="009B3D6A"/>
    <w:rsid w:val="009C11AF"/>
    <w:rsid w:val="009C1A0B"/>
    <w:rsid w:val="009C3DE6"/>
    <w:rsid w:val="009C5A10"/>
    <w:rsid w:val="009D11B6"/>
    <w:rsid w:val="009D5298"/>
    <w:rsid w:val="009D5341"/>
    <w:rsid w:val="009D635B"/>
    <w:rsid w:val="009E71F2"/>
    <w:rsid w:val="009F271A"/>
    <w:rsid w:val="009F2822"/>
    <w:rsid w:val="009F3A17"/>
    <w:rsid w:val="009F3AEC"/>
    <w:rsid w:val="009F42E8"/>
    <w:rsid w:val="009F544B"/>
    <w:rsid w:val="00A0143C"/>
    <w:rsid w:val="00A03BD8"/>
    <w:rsid w:val="00A12426"/>
    <w:rsid w:val="00A1427D"/>
    <w:rsid w:val="00A14AB3"/>
    <w:rsid w:val="00A16C40"/>
    <w:rsid w:val="00A2225D"/>
    <w:rsid w:val="00A245A6"/>
    <w:rsid w:val="00A25EC3"/>
    <w:rsid w:val="00A26ED9"/>
    <w:rsid w:val="00A30E7A"/>
    <w:rsid w:val="00A31953"/>
    <w:rsid w:val="00A33E16"/>
    <w:rsid w:val="00A35179"/>
    <w:rsid w:val="00A368F8"/>
    <w:rsid w:val="00A416B0"/>
    <w:rsid w:val="00A43E78"/>
    <w:rsid w:val="00A4484C"/>
    <w:rsid w:val="00A44A38"/>
    <w:rsid w:val="00A45550"/>
    <w:rsid w:val="00A475C8"/>
    <w:rsid w:val="00A50600"/>
    <w:rsid w:val="00A5193D"/>
    <w:rsid w:val="00A53FEA"/>
    <w:rsid w:val="00A55051"/>
    <w:rsid w:val="00A55FF6"/>
    <w:rsid w:val="00A562A1"/>
    <w:rsid w:val="00A567B5"/>
    <w:rsid w:val="00A574BD"/>
    <w:rsid w:val="00A630D4"/>
    <w:rsid w:val="00A645C3"/>
    <w:rsid w:val="00A72F22"/>
    <w:rsid w:val="00A73E8C"/>
    <w:rsid w:val="00A748A6"/>
    <w:rsid w:val="00A74B27"/>
    <w:rsid w:val="00A8203B"/>
    <w:rsid w:val="00A8232E"/>
    <w:rsid w:val="00A8421D"/>
    <w:rsid w:val="00A85956"/>
    <w:rsid w:val="00A879A4"/>
    <w:rsid w:val="00A92609"/>
    <w:rsid w:val="00A93149"/>
    <w:rsid w:val="00A94466"/>
    <w:rsid w:val="00A94DCD"/>
    <w:rsid w:val="00A97B7F"/>
    <w:rsid w:val="00AA1199"/>
    <w:rsid w:val="00AA2A8B"/>
    <w:rsid w:val="00AA442F"/>
    <w:rsid w:val="00AA7311"/>
    <w:rsid w:val="00AB14A4"/>
    <w:rsid w:val="00AB3657"/>
    <w:rsid w:val="00AB5A76"/>
    <w:rsid w:val="00AB6658"/>
    <w:rsid w:val="00AB69C8"/>
    <w:rsid w:val="00AB6D27"/>
    <w:rsid w:val="00AB6D7B"/>
    <w:rsid w:val="00AB717E"/>
    <w:rsid w:val="00AC19A7"/>
    <w:rsid w:val="00AC2598"/>
    <w:rsid w:val="00AC26C9"/>
    <w:rsid w:val="00AC4696"/>
    <w:rsid w:val="00AD2E5A"/>
    <w:rsid w:val="00AE03F1"/>
    <w:rsid w:val="00AE157F"/>
    <w:rsid w:val="00AE6B35"/>
    <w:rsid w:val="00AE7302"/>
    <w:rsid w:val="00AF0B7A"/>
    <w:rsid w:val="00AF1304"/>
    <w:rsid w:val="00AF13C5"/>
    <w:rsid w:val="00AF1630"/>
    <w:rsid w:val="00AF185D"/>
    <w:rsid w:val="00AF20BB"/>
    <w:rsid w:val="00AF2DC3"/>
    <w:rsid w:val="00AF58D6"/>
    <w:rsid w:val="00B0004B"/>
    <w:rsid w:val="00B01D5B"/>
    <w:rsid w:val="00B05BC6"/>
    <w:rsid w:val="00B07476"/>
    <w:rsid w:val="00B117C9"/>
    <w:rsid w:val="00B11842"/>
    <w:rsid w:val="00B146C1"/>
    <w:rsid w:val="00B148A4"/>
    <w:rsid w:val="00B162F3"/>
    <w:rsid w:val="00B177F1"/>
    <w:rsid w:val="00B20599"/>
    <w:rsid w:val="00B21A3B"/>
    <w:rsid w:val="00B21B40"/>
    <w:rsid w:val="00B244AD"/>
    <w:rsid w:val="00B25023"/>
    <w:rsid w:val="00B2702E"/>
    <w:rsid w:val="00B30179"/>
    <w:rsid w:val="00B30D8C"/>
    <w:rsid w:val="00B30FA5"/>
    <w:rsid w:val="00B32092"/>
    <w:rsid w:val="00B337CD"/>
    <w:rsid w:val="00B33EC0"/>
    <w:rsid w:val="00B410DD"/>
    <w:rsid w:val="00B437AB"/>
    <w:rsid w:val="00B47ED5"/>
    <w:rsid w:val="00B51C34"/>
    <w:rsid w:val="00B53AB3"/>
    <w:rsid w:val="00B543F2"/>
    <w:rsid w:val="00B5695F"/>
    <w:rsid w:val="00B56CDD"/>
    <w:rsid w:val="00B571A8"/>
    <w:rsid w:val="00B63449"/>
    <w:rsid w:val="00B639F0"/>
    <w:rsid w:val="00B65899"/>
    <w:rsid w:val="00B673C4"/>
    <w:rsid w:val="00B70979"/>
    <w:rsid w:val="00B71B78"/>
    <w:rsid w:val="00B73DCB"/>
    <w:rsid w:val="00B750D3"/>
    <w:rsid w:val="00B77E13"/>
    <w:rsid w:val="00B80EE3"/>
    <w:rsid w:val="00B81CA4"/>
    <w:rsid w:val="00B81E12"/>
    <w:rsid w:val="00B82545"/>
    <w:rsid w:val="00B82942"/>
    <w:rsid w:val="00B835B8"/>
    <w:rsid w:val="00B85F08"/>
    <w:rsid w:val="00B91DDC"/>
    <w:rsid w:val="00B9277F"/>
    <w:rsid w:val="00B94721"/>
    <w:rsid w:val="00B95FC7"/>
    <w:rsid w:val="00B9654D"/>
    <w:rsid w:val="00B96C0D"/>
    <w:rsid w:val="00B96F0D"/>
    <w:rsid w:val="00BA5239"/>
    <w:rsid w:val="00BB203C"/>
    <w:rsid w:val="00BB4D1F"/>
    <w:rsid w:val="00BB5604"/>
    <w:rsid w:val="00BB5714"/>
    <w:rsid w:val="00BC0393"/>
    <w:rsid w:val="00BC0C71"/>
    <w:rsid w:val="00BC207A"/>
    <w:rsid w:val="00BC2ED6"/>
    <w:rsid w:val="00BC74E9"/>
    <w:rsid w:val="00BD067E"/>
    <w:rsid w:val="00BD2146"/>
    <w:rsid w:val="00BD4313"/>
    <w:rsid w:val="00BD4FB9"/>
    <w:rsid w:val="00BD5BAF"/>
    <w:rsid w:val="00BE16A9"/>
    <w:rsid w:val="00BE274F"/>
    <w:rsid w:val="00BE3239"/>
    <w:rsid w:val="00BE48BF"/>
    <w:rsid w:val="00BE4F74"/>
    <w:rsid w:val="00BE618E"/>
    <w:rsid w:val="00BE6E43"/>
    <w:rsid w:val="00BE6F37"/>
    <w:rsid w:val="00BE76E3"/>
    <w:rsid w:val="00BF0590"/>
    <w:rsid w:val="00BF0E54"/>
    <w:rsid w:val="00BF3AB8"/>
    <w:rsid w:val="00BF43AB"/>
    <w:rsid w:val="00BF58BF"/>
    <w:rsid w:val="00C00189"/>
    <w:rsid w:val="00C0349A"/>
    <w:rsid w:val="00C15B1D"/>
    <w:rsid w:val="00C17699"/>
    <w:rsid w:val="00C22C8D"/>
    <w:rsid w:val="00C305AD"/>
    <w:rsid w:val="00C307A9"/>
    <w:rsid w:val="00C319C5"/>
    <w:rsid w:val="00C31B36"/>
    <w:rsid w:val="00C33567"/>
    <w:rsid w:val="00C406AF"/>
    <w:rsid w:val="00C40813"/>
    <w:rsid w:val="00C41943"/>
    <w:rsid w:val="00C41A28"/>
    <w:rsid w:val="00C42444"/>
    <w:rsid w:val="00C42A48"/>
    <w:rsid w:val="00C44C96"/>
    <w:rsid w:val="00C463DD"/>
    <w:rsid w:val="00C47959"/>
    <w:rsid w:val="00C47FAF"/>
    <w:rsid w:val="00C5041E"/>
    <w:rsid w:val="00C52EE8"/>
    <w:rsid w:val="00C5389E"/>
    <w:rsid w:val="00C56092"/>
    <w:rsid w:val="00C61969"/>
    <w:rsid w:val="00C64ED8"/>
    <w:rsid w:val="00C745C3"/>
    <w:rsid w:val="00C77BD2"/>
    <w:rsid w:val="00C81B86"/>
    <w:rsid w:val="00C833EF"/>
    <w:rsid w:val="00C86746"/>
    <w:rsid w:val="00C90676"/>
    <w:rsid w:val="00C920F0"/>
    <w:rsid w:val="00C92171"/>
    <w:rsid w:val="00C96B5B"/>
    <w:rsid w:val="00C97E15"/>
    <w:rsid w:val="00CA0479"/>
    <w:rsid w:val="00CA119B"/>
    <w:rsid w:val="00CA2B98"/>
    <w:rsid w:val="00CA2E3D"/>
    <w:rsid w:val="00CA649F"/>
    <w:rsid w:val="00CA72B5"/>
    <w:rsid w:val="00CA72C4"/>
    <w:rsid w:val="00CB1D1E"/>
    <w:rsid w:val="00CB4CC5"/>
    <w:rsid w:val="00CB543E"/>
    <w:rsid w:val="00CC2E74"/>
    <w:rsid w:val="00CC3B51"/>
    <w:rsid w:val="00CC4901"/>
    <w:rsid w:val="00CC69F6"/>
    <w:rsid w:val="00CC6B80"/>
    <w:rsid w:val="00CC74DA"/>
    <w:rsid w:val="00CD1059"/>
    <w:rsid w:val="00CD18F4"/>
    <w:rsid w:val="00CD7550"/>
    <w:rsid w:val="00CD76A7"/>
    <w:rsid w:val="00CD7EF8"/>
    <w:rsid w:val="00CE2862"/>
    <w:rsid w:val="00CE4A8F"/>
    <w:rsid w:val="00CE6B7C"/>
    <w:rsid w:val="00CF0EFD"/>
    <w:rsid w:val="00CF1AFF"/>
    <w:rsid w:val="00CF1FE6"/>
    <w:rsid w:val="00CF3AC3"/>
    <w:rsid w:val="00CF43CA"/>
    <w:rsid w:val="00CF7A60"/>
    <w:rsid w:val="00D071E9"/>
    <w:rsid w:val="00D0794D"/>
    <w:rsid w:val="00D117D3"/>
    <w:rsid w:val="00D145C7"/>
    <w:rsid w:val="00D17A36"/>
    <w:rsid w:val="00D17D44"/>
    <w:rsid w:val="00D2031B"/>
    <w:rsid w:val="00D20378"/>
    <w:rsid w:val="00D21BE6"/>
    <w:rsid w:val="00D2217C"/>
    <w:rsid w:val="00D22182"/>
    <w:rsid w:val="00D231E8"/>
    <w:rsid w:val="00D243AF"/>
    <w:rsid w:val="00D24BE7"/>
    <w:rsid w:val="00D25FE2"/>
    <w:rsid w:val="00D30A97"/>
    <w:rsid w:val="00D317BB"/>
    <w:rsid w:val="00D333FA"/>
    <w:rsid w:val="00D358D9"/>
    <w:rsid w:val="00D36033"/>
    <w:rsid w:val="00D42B64"/>
    <w:rsid w:val="00D43252"/>
    <w:rsid w:val="00D43FEB"/>
    <w:rsid w:val="00D4401E"/>
    <w:rsid w:val="00D45376"/>
    <w:rsid w:val="00D46B4C"/>
    <w:rsid w:val="00D51529"/>
    <w:rsid w:val="00D53371"/>
    <w:rsid w:val="00D53ACD"/>
    <w:rsid w:val="00D55655"/>
    <w:rsid w:val="00D6134C"/>
    <w:rsid w:val="00D61535"/>
    <w:rsid w:val="00D64A4E"/>
    <w:rsid w:val="00D655C1"/>
    <w:rsid w:val="00D67DC3"/>
    <w:rsid w:val="00D71700"/>
    <w:rsid w:val="00D7273D"/>
    <w:rsid w:val="00D73578"/>
    <w:rsid w:val="00D74908"/>
    <w:rsid w:val="00D77116"/>
    <w:rsid w:val="00D80403"/>
    <w:rsid w:val="00D85F5F"/>
    <w:rsid w:val="00D86C26"/>
    <w:rsid w:val="00D87A70"/>
    <w:rsid w:val="00D90CFA"/>
    <w:rsid w:val="00D91E4D"/>
    <w:rsid w:val="00D962EE"/>
    <w:rsid w:val="00D96540"/>
    <w:rsid w:val="00D97600"/>
    <w:rsid w:val="00D9776A"/>
    <w:rsid w:val="00D978C6"/>
    <w:rsid w:val="00DA52C4"/>
    <w:rsid w:val="00DA67AD"/>
    <w:rsid w:val="00DB37B4"/>
    <w:rsid w:val="00DB4CF0"/>
    <w:rsid w:val="00DB5D0F"/>
    <w:rsid w:val="00DB6181"/>
    <w:rsid w:val="00DB624F"/>
    <w:rsid w:val="00DC1828"/>
    <w:rsid w:val="00DC38E0"/>
    <w:rsid w:val="00DC45FE"/>
    <w:rsid w:val="00DC4A22"/>
    <w:rsid w:val="00DC57BB"/>
    <w:rsid w:val="00DC7E66"/>
    <w:rsid w:val="00DD0562"/>
    <w:rsid w:val="00DD16E0"/>
    <w:rsid w:val="00DD1FC6"/>
    <w:rsid w:val="00DD30C0"/>
    <w:rsid w:val="00DD734D"/>
    <w:rsid w:val="00DE254E"/>
    <w:rsid w:val="00DE309C"/>
    <w:rsid w:val="00DF12F7"/>
    <w:rsid w:val="00DF424D"/>
    <w:rsid w:val="00DF5AB7"/>
    <w:rsid w:val="00DF7CAE"/>
    <w:rsid w:val="00E0225F"/>
    <w:rsid w:val="00E02C81"/>
    <w:rsid w:val="00E07864"/>
    <w:rsid w:val="00E12BCA"/>
    <w:rsid w:val="00E130AB"/>
    <w:rsid w:val="00E14A2D"/>
    <w:rsid w:val="00E23B83"/>
    <w:rsid w:val="00E24C27"/>
    <w:rsid w:val="00E24F3E"/>
    <w:rsid w:val="00E31FD3"/>
    <w:rsid w:val="00E32319"/>
    <w:rsid w:val="00E33DDC"/>
    <w:rsid w:val="00E34AE2"/>
    <w:rsid w:val="00E40AF0"/>
    <w:rsid w:val="00E4618F"/>
    <w:rsid w:val="00E461AA"/>
    <w:rsid w:val="00E46973"/>
    <w:rsid w:val="00E50C8D"/>
    <w:rsid w:val="00E533AE"/>
    <w:rsid w:val="00E54560"/>
    <w:rsid w:val="00E55153"/>
    <w:rsid w:val="00E567E3"/>
    <w:rsid w:val="00E573C9"/>
    <w:rsid w:val="00E5761B"/>
    <w:rsid w:val="00E617C1"/>
    <w:rsid w:val="00E62FDD"/>
    <w:rsid w:val="00E63230"/>
    <w:rsid w:val="00E641A8"/>
    <w:rsid w:val="00E702DE"/>
    <w:rsid w:val="00E722E9"/>
    <w:rsid w:val="00E7260F"/>
    <w:rsid w:val="00E74523"/>
    <w:rsid w:val="00E757C8"/>
    <w:rsid w:val="00E8176D"/>
    <w:rsid w:val="00E81B30"/>
    <w:rsid w:val="00E8561E"/>
    <w:rsid w:val="00E87383"/>
    <w:rsid w:val="00E87921"/>
    <w:rsid w:val="00E9265D"/>
    <w:rsid w:val="00E929B6"/>
    <w:rsid w:val="00E939AA"/>
    <w:rsid w:val="00E942FD"/>
    <w:rsid w:val="00E948F7"/>
    <w:rsid w:val="00E96630"/>
    <w:rsid w:val="00E96AEE"/>
    <w:rsid w:val="00EA074C"/>
    <w:rsid w:val="00EA264E"/>
    <w:rsid w:val="00EA2ADB"/>
    <w:rsid w:val="00EA507A"/>
    <w:rsid w:val="00EA5747"/>
    <w:rsid w:val="00EA658E"/>
    <w:rsid w:val="00EB0332"/>
    <w:rsid w:val="00EB0A7F"/>
    <w:rsid w:val="00EB2E66"/>
    <w:rsid w:val="00EB4D46"/>
    <w:rsid w:val="00EB5D7F"/>
    <w:rsid w:val="00EB5F04"/>
    <w:rsid w:val="00EB633F"/>
    <w:rsid w:val="00EB6EBA"/>
    <w:rsid w:val="00EB7FFB"/>
    <w:rsid w:val="00EC28D2"/>
    <w:rsid w:val="00EC3951"/>
    <w:rsid w:val="00EC705B"/>
    <w:rsid w:val="00EC7DB6"/>
    <w:rsid w:val="00ED1DC5"/>
    <w:rsid w:val="00ED3493"/>
    <w:rsid w:val="00ED431E"/>
    <w:rsid w:val="00ED4B6C"/>
    <w:rsid w:val="00ED678C"/>
    <w:rsid w:val="00ED7A2A"/>
    <w:rsid w:val="00EE2F6C"/>
    <w:rsid w:val="00EE494B"/>
    <w:rsid w:val="00EE7560"/>
    <w:rsid w:val="00EE782E"/>
    <w:rsid w:val="00EF12FB"/>
    <w:rsid w:val="00EF1D7F"/>
    <w:rsid w:val="00EF5838"/>
    <w:rsid w:val="00EF612B"/>
    <w:rsid w:val="00EF6D2F"/>
    <w:rsid w:val="00EF7F2A"/>
    <w:rsid w:val="00F0106E"/>
    <w:rsid w:val="00F02043"/>
    <w:rsid w:val="00F0309B"/>
    <w:rsid w:val="00F045DF"/>
    <w:rsid w:val="00F04956"/>
    <w:rsid w:val="00F072BC"/>
    <w:rsid w:val="00F075C2"/>
    <w:rsid w:val="00F14452"/>
    <w:rsid w:val="00F166BC"/>
    <w:rsid w:val="00F171A4"/>
    <w:rsid w:val="00F17CDF"/>
    <w:rsid w:val="00F211A1"/>
    <w:rsid w:val="00F24A9C"/>
    <w:rsid w:val="00F25E80"/>
    <w:rsid w:val="00F32E78"/>
    <w:rsid w:val="00F336F9"/>
    <w:rsid w:val="00F359BB"/>
    <w:rsid w:val="00F35B50"/>
    <w:rsid w:val="00F36A04"/>
    <w:rsid w:val="00F36AB6"/>
    <w:rsid w:val="00F36EB6"/>
    <w:rsid w:val="00F4241E"/>
    <w:rsid w:val="00F43BC1"/>
    <w:rsid w:val="00F440FE"/>
    <w:rsid w:val="00F4703F"/>
    <w:rsid w:val="00F52709"/>
    <w:rsid w:val="00F53842"/>
    <w:rsid w:val="00F53EDA"/>
    <w:rsid w:val="00F560F4"/>
    <w:rsid w:val="00F56283"/>
    <w:rsid w:val="00F57230"/>
    <w:rsid w:val="00F60D55"/>
    <w:rsid w:val="00F63704"/>
    <w:rsid w:val="00F66BC2"/>
    <w:rsid w:val="00F67833"/>
    <w:rsid w:val="00F736C2"/>
    <w:rsid w:val="00F75206"/>
    <w:rsid w:val="00F75808"/>
    <w:rsid w:val="00F7736C"/>
    <w:rsid w:val="00F7753D"/>
    <w:rsid w:val="00F81CA6"/>
    <w:rsid w:val="00F83A41"/>
    <w:rsid w:val="00F858CC"/>
    <w:rsid w:val="00F85D42"/>
    <w:rsid w:val="00F85F34"/>
    <w:rsid w:val="00F91795"/>
    <w:rsid w:val="00F92AE3"/>
    <w:rsid w:val="00F97A90"/>
    <w:rsid w:val="00F97B8C"/>
    <w:rsid w:val="00FA06F7"/>
    <w:rsid w:val="00FA0A0A"/>
    <w:rsid w:val="00FA3D0A"/>
    <w:rsid w:val="00FA4C09"/>
    <w:rsid w:val="00FA4DAA"/>
    <w:rsid w:val="00FA51D0"/>
    <w:rsid w:val="00FB1075"/>
    <w:rsid w:val="00FB1143"/>
    <w:rsid w:val="00FB171A"/>
    <w:rsid w:val="00FB505D"/>
    <w:rsid w:val="00FB6364"/>
    <w:rsid w:val="00FB77E2"/>
    <w:rsid w:val="00FC2B54"/>
    <w:rsid w:val="00FC533F"/>
    <w:rsid w:val="00FC68B7"/>
    <w:rsid w:val="00FC7EFD"/>
    <w:rsid w:val="00FD396E"/>
    <w:rsid w:val="00FD513D"/>
    <w:rsid w:val="00FD5511"/>
    <w:rsid w:val="00FD7BF6"/>
    <w:rsid w:val="00FD7C7D"/>
    <w:rsid w:val="00FD7CAB"/>
    <w:rsid w:val="00FE54AF"/>
    <w:rsid w:val="00FF38CE"/>
    <w:rsid w:val="00FF6BB3"/>
    <w:rsid w:val="00FF772A"/>
    <w:rsid w:val="00FF7A61"/>
    <w:rsid w:val="00FF7F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CDA19DF"/>
  <w15:docId w15:val="{B9B97FAE-992B-438D-AD8B-2A84E2A5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B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rPr>
      <w:lang w:val="x-none"/>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lang w:val="x-none"/>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Agendaitem1">
    <w:name w:val="Agenda item 1"/>
    <w:basedOn w:val="Normal"/>
    <w:rsid w:val="00D358D9"/>
    <w:pPr>
      <w:numPr>
        <w:numId w:val="3"/>
      </w:numPr>
      <w:suppressAutoHyphens w:val="0"/>
      <w:snapToGrid w:val="0"/>
      <w:spacing w:after="240" w:line="240" w:lineRule="auto"/>
      <w:jc w:val="both"/>
    </w:pPr>
    <w:rPr>
      <w:snapToGrid w:val="0"/>
      <w:sz w:val="24"/>
    </w:rPr>
  </w:style>
  <w:style w:type="character" w:customStyle="1" w:styleId="HeaderChar">
    <w:name w:val="Header Char"/>
    <w:aliases w:val="6_G Char"/>
    <w:link w:val="Header"/>
    <w:rsid w:val="0068057C"/>
    <w:rPr>
      <w:b/>
      <w:sz w:val="18"/>
      <w:lang w:eastAsia="en-US"/>
    </w:rPr>
  </w:style>
  <w:style w:type="paragraph" w:customStyle="1" w:styleId="TableCol">
    <w:name w:val="Table Col"/>
    <w:basedOn w:val="Normal"/>
    <w:rsid w:val="0068057C"/>
    <w:pPr>
      <w:suppressAutoHyphens w:val="0"/>
      <w:spacing w:line="360" w:lineRule="auto"/>
      <w:jc w:val="both"/>
    </w:pPr>
    <w:rPr>
      <w:rFonts w:ascii="Verdana" w:hAnsi="Verdana"/>
      <w:b/>
      <w:bCs/>
      <w:sz w:val="18"/>
      <w:szCs w:val="24"/>
      <w:lang w:val="en-US"/>
    </w:rPr>
  </w:style>
  <w:style w:type="paragraph" w:customStyle="1" w:styleId="PageHeading">
    <w:name w:val="Page Heading"/>
    <w:basedOn w:val="Heading1"/>
    <w:rsid w:val="0068057C"/>
    <w:pPr>
      <w:keepNext/>
      <w:suppressAutoHyphens w:val="0"/>
      <w:spacing w:before="240" w:after="60" w:line="360" w:lineRule="auto"/>
      <w:ind w:left="0"/>
      <w:jc w:val="both"/>
    </w:pPr>
    <w:rPr>
      <w:rFonts w:ascii="Verdana" w:hAnsi="Verdana" w:cs="Arial"/>
      <w:b/>
      <w:bCs/>
      <w:kern w:val="32"/>
      <w:szCs w:val="32"/>
      <w:lang w:val="en-US"/>
    </w:rPr>
  </w:style>
  <w:style w:type="paragraph" w:styleId="ListParagraph">
    <w:name w:val="List Paragraph"/>
    <w:basedOn w:val="Normal"/>
    <w:uiPriority w:val="34"/>
    <w:qFormat/>
    <w:rsid w:val="0068057C"/>
    <w:pPr>
      <w:suppressAutoHyphens w:val="0"/>
      <w:spacing w:after="200" w:line="276" w:lineRule="auto"/>
      <w:ind w:left="720"/>
      <w:contextualSpacing/>
    </w:pPr>
    <w:rPr>
      <w:rFonts w:ascii="Calibri" w:eastAsia="Calibri" w:hAnsi="Calibri"/>
      <w:sz w:val="22"/>
      <w:szCs w:val="22"/>
      <w:lang w:val="fr-FR"/>
    </w:rPr>
  </w:style>
  <w:style w:type="character" w:customStyle="1" w:styleId="FootnoteTextChar">
    <w:name w:val="Footnote Text Char"/>
    <w:aliases w:val="5_G Char"/>
    <w:link w:val="FootnoteText"/>
    <w:uiPriority w:val="99"/>
    <w:rsid w:val="00FA0A0A"/>
    <w:rPr>
      <w:sz w:val="18"/>
      <w:lang w:eastAsia="en-US"/>
    </w:rPr>
  </w:style>
  <w:style w:type="character" w:customStyle="1" w:styleId="SingleTxtGChar">
    <w:name w:val="_ Single Txt_G Char"/>
    <w:link w:val="SingleTxtG"/>
    <w:locked/>
    <w:rsid w:val="00FA0A0A"/>
    <w:rPr>
      <w:lang w:eastAsia="en-US"/>
    </w:rPr>
  </w:style>
  <w:style w:type="paragraph" w:styleId="BalloonText">
    <w:name w:val="Balloon Text"/>
    <w:basedOn w:val="Normal"/>
    <w:link w:val="BalloonTextChar"/>
    <w:rsid w:val="00516A42"/>
    <w:pPr>
      <w:spacing w:line="240" w:lineRule="auto"/>
    </w:pPr>
    <w:rPr>
      <w:rFonts w:ascii="Tahoma" w:hAnsi="Tahoma"/>
      <w:sz w:val="16"/>
      <w:szCs w:val="16"/>
      <w:lang w:val="x-none"/>
    </w:rPr>
  </w:style>
  <w:style w:type="character" w:customStyle="1" w:styleId="BalloonTextChar">
    <w:name w:val="Balloon Text Char"/>
    <w:link w:val="BalloonText"/>
    <w:rsid w:val="00516A42"/>
    <w:rPr>
      <w:rFonts w:ascii="Tahoma" w:hAnsi="Tahoma" w:cs="Tahoma"/>
      <w:sz w:val="16"/>
      <w:szCs w:val="16"/>
      <w:lang w:eastAsia="en-US"/>
    </w:rPr>
  </w:style>
  <w:style w:type="character" w:styleId="CommentReference">
    <w:name w:val="annotation reference"/>
    <w:rsid w:val="005B0EE4"/>
    <w:rPr>
      <w:sz w:val="16"/>
      <w:szCs w:val="16"/>
    </w:rPr>
  </w:style>
  <w:style w:type="paragraph" w:styleId="CommentText">
    <w:name w:val="annotation text"/>
    <w:basedOn w:val="Normal"/>
    <w:link w:val="CommentTextChar"/>
    <w:rsid w:val="005B0EE4"/>
    <w:rPr>
      <w:lang w:val="x-none"/>
    </w:rPr>
  </w:style>
  <w:style w:type="character" w:customStyle="1" w:styleId="CommentTextChar">
    <w:name w:val="Comment Text Char"/>
    <w:link w:val="CommentText"/>
    <w:rsid w:val="005B0EE4"/>
    <w:rPr>
      <w:lang w:eastAsia="en-US"/>
    </w:rPr>
  </w:style>
  <w:style w:type="paragraph" w:styleId="CommentSubject">
    <w:name w:val="annotation subject"/>
    <w:basedOn w:val="CommentText"/>
    <w:next w:val="CommentText"/>
    <w:link w:val="CommentSubjectChar"/>
    <w:rsid w:val="005B0EE4"/>
    <w:rPr>
      <w:b/>
      <w:bCs/>
    </w:rPr>
  </w:style>
  <w:style w:type="character" w:customStyle="1" w:styleId="CommentSubjectChar">
    <w:name w:val="Comment Subject Char"/>
    <w:link w:val="CommentSubject"/>
    <w:rsid w:val="005B0EE4"/>
    <w:rPr>
      <w:b/>
      <w:bCs/>
      <w:lang w:eastAsia="en-US"/>
    </w:rPr>
  </w:style>
  <w:style w:type="paragraph" w:styleId="Revision">
    <w:name w:val="Revision"/>
    <w:hidden/>
    <w:uiPriority w:val="99"/>
    <w:semiHidden/>
    <w:rsid w:val="005B0EE4"/>
    <w:rPr>
      <w:lang w:eastAsia="en-US"/>
    </w:rPr>
  </w:style>
  <w:style w:type="character" w:customStyle="1" w:styleId="hps">
    <w:name w:val="hps"/>
    <w:rsid w:val="00A92609"/>
  </w:style>
  <w:style w:type="paragraph" w:styleId="ListNumber4">
    <w:name w:val="List Number 4"/>
    <w:basedOn w:val="Normal"/>
    <w:rsid w:val="00767C29"/>
    <w:pPr>
      <w:numPr>
        <w:numId w:val="15"/>
      </w:numPr>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661">
      <w:bodyDiv w:val="1"/>
      <w:marLeft w:val="0"/>
      <w:marRight w:val="0"/>
      <w:marTop w:val="0"/>
      <w:marBottom w:val="0"/>
      <w:divBdr>
        <w:top w:val="none" w:sz="0" w:space="0" w:color="auto"/>
        <w:left w:val="none" w:sz="0" w:space="0" w:color="auto"/>
        <w:bottom w:val="none" w:sz="0" w:space="0" w:color="auto"/>
        <w:right w:val="none" w:sz="0" w:space="0" w:color="auto"/>
      </w:divBdr>
    </w:div>
    <w:div w:id="97794156">
      <w:bodyDiv w:val="1"/>
      <w:marLeft w:val="0"/>
      <w:marRight w:val="0"/>
      <w:marTop w:val="0"/>
      <w:marBottom w:val="0"/>
      <w:divBdr>
        <w:top w:val="none" w:sz="0" w:space="0" w:color="auto"/>
        <w:left w:val="none" w:sz="0" w:space="0" w:color="auto"/>
        <w:bottom w:val="none" w:sz="0" w:space="0" w:color="auto"/>
        <w:right w:val="none" w:sz="0" w:space="0" w:color="auto"/>
      </w:divBdr>
      <w:divsChild>
        <w:div w:id="642543597">
          <w:marLeft w:val="0"/>
          <w:marRight w:val="0"/>
          <w:marTop w:val="0"/>
          <w:marBottom w:val="0"/>
          <w:divBdr>
            <w:top w:val="none" w:sz="0" w:space="0" w:color="auto"/>
            <w:left w:val="none" w:sz="0" w:space="0" w:color="auto"/>
            <w:bottom w:val="none" w:sz="0" w:space="0" w:color="auto"/>
            <w:right w:val="none" w:sz="0" w:space="0" w:color="auto"/>
          </w:divBdr>
          <w:divsChild>
            <w:div w:id="1000698196">
              <w:marLeft w:val="0"/>
              <w:marRight w:val="0"/>
              <w:marTop w:val="0"/>
              <w:marBottom w:val="0"/>
              <w:divBdr>
                <w:top w:val="none" w:sz="0" w:space="0" w:color="auto"/>
                <w:left w:val="none" w:sz="0" w:space="0" w:color="auto"/>
                <w:bottom w:val="none" w:sz="0" w:space="0" w:color="auto"/>
                <w:right w:val="none" w:sz="0" w:space="0" w:color="auto"/>
              </w:divBdr>
            </w:div>
            <w:div w:id="15787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8869">
      <w:bodyDiv w:val="1"/>
      <w:marLeft w:val="0"/>
      <w:marRight w:val="0"/>
      <w:marTop w:val="0"/>
      <w:marBottom w:val="0"/>
      <w:divBdr>
        <w:top w:val="none" w:sz="0" w:space="0" w:color="auto"/>
        <w:left w:val="none" w:sz="0" w:space="0" w:color="auto"/>
        <w:bottom w:val="none" w:sz="0" w:space="0" w:color="auto"/>
        <w:right w:val="none" w:sz="0" w:space="0" w:color="auto"/>
      </w:divBdr>
    </w:div>
    <w:div w:id="347945381">
      <w:bodyDiv w:val="1"/>
      <w:marLeft w:val="0"/>
      <w:marRight w:val="0"/>
      <w:marTop w:val="0"/>
      <w:marBottom w:val="0"/>
      <w:divBdr>
        <w:top w:val="none" w:sz="0" w:space="0" w:color="auto"/>
        <w:left w:val="none" w:sz="0" w:space="0" w:color="auto"/>
        <w:bottom w:val="none" w:sz="0" w:space="0" w:color="auto"/>
        <w:right w:val="none" w:sz="0" w:space="0" w:color="auto"/>
      </w:divBdr>
    </w:div>
    <w:div w:id="458308337">
      <w:bodyDiv w:val="1"/>
      <w:marLeft w:val="0"/>
      <w:marRight w:val="0"/>
      <w:marTop w:val="0"/>
      <w:marBottom w:val="0"/>
      <w:divBdr>
        <w:top w:val="none" w:sz="0" w:space="0" w:color="auto"/>
        <w:left w:val="none" w:sz="0" w:space="0" w:color="auto"/>
        <w:bottom w:val="none" w:sz="0" w:space="0" w:color="auto"/>
        <w:right w:val="none" w:sz="0" w:space="0" w:color="auto"/>
      </w:divBdr>
    </w:div>
    <w:div w:id="585958430">
      <w:bodyDiv w:val="1"/>
      <w:marLeft w:val="0"/>
      <w:marRight w:val="0"/>
      <w:marTop w:val="0"/>
      <w:marBottom w:val="0"/>
      <w:divBdr>
        <w:top w:val="none" w:sz="0" w:space="0" w:color="auto"/>
        <w:left w:val="none" w:sz="0" w:space="0" w:color="auto"/>
        <w:bottom w:val="none" w:sz="0" w:space="0" w:color="auto"/>
        <w:right w:val="none" w:sz="0" w:space="0" w:color="auto"/>
      </w:divBdr>
    </w:div>
    <w:div w:id="691491270">
      <w:bodyDiv w:val="1"/>
      <w:marLeft w:val="0"/>
      <w:marRight w:val="0"/>
      <w:marTop w:val="0"/>
      <w:marBottom w:val="0"/>
      <w:divBdr>
        <w:top w:val="none" w:sz="0" w:space="0" w:color="auto"/>
        <w:left w:val="none" w:sz="0" w:space="0" w:color="auto"/>
        <w:bottom w:val="none" w:sz="0" w:space="0" w:color="auto"/>
        <w:right w:val="none" w:sz="0" w:space="0" w:color="auto"/>
      </w:divBdr>
    </w:div>
    <w:div w:id="800002569">
      <w:bodyDiv w:val="1"/>
      <w:marLeft w:val="0"/>
      <w:marRight w:val="0"/>
      <w:marTop w:val="0"/>
      <w:marBottom w:val="0"/>
      <w:divBdr>
        <w:top w:val="none" w:sz="0" w:space="0" w:color="auto"/>
        <w:left w:val="none" w:sz="0" w:space="0" w:color="auto"/>
        <w:bottom w:val="none" w:sz="0" w:space="0" w:color="auto"/>
        <w:right w:val="none" w:sz="0" w:space="0" w:color="auto"/>
      </w:divBdr>
    </w:div>
    <w:div w:id="962662036">
      <w:bodyDiv w:val="1"/>
      <w:marLeft w:val="0"/>
      <w:marRight w:val="0"/>
      <w:marTop w:val="0"/>
      <w:marBottom w:val="0"/>
      <w:divBdr>
        <w:top w:val="none" w:sz="0" w:space="0" w:color="auto"/>
        <w:left w:val="none" w:sz="0" w:space="0" w:color="auto"/>
        <w:bottom w:val="none" w:sz="0" w:space="0" w:color="auto"/>
        <w:right w:val="none" w:sz="0" w:space="0" w:color="auto"/>
      </w:divBdr>
    </w:div>
    <w:div w:id="986402324">
      <w:bodyDiv w:val="1"/>
      <w:marLeft w:val="0"/>
      <w:marRight w:val="0"/>
      <w:marTop w:val="0"/>
      <w:marBottom w:val="0"/>
      <w:divBdr>
        <w:top w:val="none" w:sz="0" w:space="0" w:color="auto"/>
        <w:left w:val="none" w:sz="0" w:space="0" w:color="auto"/>
        <w:bottom w:val="none" w:sz="0" w:space="0" w:color="auto"/>
        <w:right w:val="none" w:sz="0" w:space="0" w:color="auto"/>
      </w:divBdr>
    </w:div>
    <w:div w:id="1077508623">
      <w:bodyDiv w:val="1"/>
      <w:marLeft w:val="0"/>
      <w:marRight w:val="0"/>
      <w:marTop w:val="0"/>
      <w:marBottom w:val="0"/>
      <w:divBdr>
        <w:top w:val="none" w:sz="0" w:space="0" w:color="auto"/>
        <w:left w:val="none" w:sz="0" w:space="0" w:color="auto"/>
        <w:bottom w:val="none" w:sz="0" w:space="0" w:color="auto"/>
        <w:right w:val="none" w:sz="0" w:space="0" w:color="auto"/>
      </w:divBdr>
    </w:div>
    <w:div w:id="1177813938">
      <w:bodyDiv w:val="1"/>
      <w:marLeft w:val="0"/>
      <w:marRight w:val="0"/>
      <w:marTop w:val="0"/>
      <w:marBottom w:val="0"/>
      <w:divBdr>
        <w:top w:val="none" w:sz="0" w:space="0" w:color="auto"/>
        <w:left w:val="none" w:sz="0" w:space="0" w:color="auto"/>
        <w:bottom w:val="none" w:sz="0" w:space="0" w:color="auto"/>
        <w:right w:val="none" w:sz="0" w:space="0" w:color="auto"/>
      </w:divBdr>
    </w:div>
    <w:div w:id="1262446317">
      <w:bodyDiv w:val="1"/>
      <w:marLeft w:val="0"/>
      <w:marRight w:val="0"/>
      <w:marTop w:val="0"/>
      <w:marBottom w:val="0"/>
      <w:divBdr>
        <w:top w:val="none" w:sz="0" w:space="0" w:color="auto"/>
        <w:left w:val="none" w:sz="0" w:space="0" w:color="auto"/>
        <w:bottom w:val="none" w:sz="0" w:space="0" w:color="auto"/>
        <w:right w:val="none" w:sz="0" w:space="0" w:color="auto"/>
      </w:divBdr>
    </w:div>
    <w:div w:id="1346517095">
      <w:bodyDiv w:val="1"/>
      <w:marLeft w:val="0"/>
      <w:marRight w:val="0"/>
      <w:marTop w:val="0"/>
      <w:marBottom w:val="0"/>
      <w:divBdr>
        <w:top w:val="none" w:sz="0" w:space="0" w:color="auto"/>
        <w:left w:val="none" w:sz="0" w:space="0" w:color="auto"/>
        <w:bottom w:val="none" w:sz="0" w:space="0" w:color="auto"/>
        <w:right w:val="none" w:sz="0" w:space="0" w:color="auto"/>
      </w:divBdr>
    </w:div>
    <w:div w:id="1519077749">
      <w:bodyDiv w:val="1"/>
      <w:marLeft w:val="0"/>
      <w:marRight w:val="0"/>
      <w:marTop w:val="0"/>
      <w:marBottom w:val="0"/>
      <w:divBdr>
        <w:top w:val="none" w:sz="0" w:space="0" w:color="auto"/>
        <w:left w:val="none" w:sz="0" w:space="0" w:color="auto"/>
        <w:bottom w:val="none" w:sz="0" w:space="0" w:color="auto"/>
        <w:right w:val="none" w:sz="0" w:space="0" w:color="auto"/>
      </w:divBdr>
    </w:div>
    <w:div w:id="1859540981">
      <w:bodyDiv w:val="1"/>
      <w:marLeft w:val="0"/>
      <w:marRight w:val="0"/>
      <w:marTop w:val="0"/>
      <w:marBottom w:val="0"/>
      <w:divBdr>
        <w:top w:val="none" w:sz="0" w:space="0" w:color="auto"/>
        <w:left w:val="none" w:sz="0" w:space="0" w:color="auto"/>
        <w:bottom w:val="none" w:sz="0" w:space="0" w:color="auto"/>
        <w:right w:val="none" w:sz="0" w:space="0" w:color="auto"/>
      </w:divBdr>
    </w:div>
    <w:div w:id="1889494267">
      <w:bodyDiv w:val="1"/>
      <w:marLeft w:val="0"/>
      <w:marRight w:val="0"/>
      <w:marTop w:val="0"/>
      <w:marBottom w:val="0"/>
      <w:divBdr>
        <w:top w:val="none" w:sz="0" w:space="0" w:color="auto"/>
        <w:left w:val="none" w:sz="0" w:space="0" w:color="auto"/>
        <w:bottom w:val="none" w:sz="0" w:space="0" w:color="auto"/>
        <w:right w:val="none" w:sz="0" w:space="0" w:color="auto"/>
      </w:divBdr>
    </w:div>
    <w:div w:id="1949584257">
      <w:bodyDiv w:val="1"/>
      <w:marLeft w:val="0"/>
      <w:marRight w:val="0"/>
      <w:marTop w:val="0"/>
      <w:marBottom w:val="0"/>
      <w:divBdr>
        <w:top w:val="none" w:sz="0" w:space="0" w:color="auto"/>
        <w:left w:val="none" w:sz="0" w:space="0" w:color="auto"/>
        <w:bottom w:val="none" w:sz="0" w:space="0" w:color="auto"/>
        <w:right w:val="none" w:sz="0" w:space="0" w:color="auto"/>
      </w:divBdr>
    </w:div>
    <w:div w:id="19523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F046-F616-4557-A682-DA97C687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6</Pages>
  <Words>3044</Words>
  <Characters>17356</Characters>
  <Application>Microsoft Office Word</Application>
  <DocSecurity>0</DocSecurity>
  <Lines>144</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weird</dc:creator>
  <cp:keywords/>
  <dc:description/>
  <cp:lastModifiedBy>Caillot</cp:lastModifiedBy>
  <cp:revision>2</cp:revision>
  <cp:lastPrinted>2017-02-23T13:16:00Z</cp:lastPrinted>
  <dcterms:created xsi:type="dcterms:W3CDTF">2017-03-13T17:35:00Z</dcterms:created>
  <dcterms:modified xsi:type="dcterms:W3CDTF">2017-03-13T17:35:00Z</dcterms:modified>
</cp:coreProperties>
</file>