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C16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C160C" w:rsidP="002C160C">
            <w:pPr>
              <w:jc w:val="right"/>
            </w:pPr>
            <w:r w:rsidRPr="002C160C">
              <w:rPr>
                <w:sz w:val="40"/>
              </w:rPr>
              <w:t>ECE</w:t>
            </w:r>
            <w:r>
              <w:t>/TRANS/WP.29/2017/129</w:t>
            </w:r>
          </w:p>
        </w:tc>
      </w:tr>
      <w:tr w:rsidR="002D5AAC" w:rsidRPr="00EA385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C160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C160C" w:rsidRDefault="002C160C" w:rsidP="002C16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2017</w:t>
            </w:r>
          </w:p>
          <w:p w:rsidR="002C160C" w:rsidRDefault="002C160C" w:rsidP="002C16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C160C" w:rsidRPr="008D53B6" w:rsidRDefault="002C160C" w:rsidP="002C16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4CFF" w:rsidRPr="00BD3C7D" w:rsidRDefault="00424CFF" w:rsidP="00BD3C7D">
      <w:pPr>
        <w:spacing w:before="120" w:after="120"/>
        <w:rPr>
          <w:sz w:val="28"/>
          <w:szCs w:val="28"/>
        </w:rPr>
      </w:pPr>
      <w:r w:rsidRPr="00BD3C7D">
        <w:rPr>
          <w:sz w:val="28"/>
          <w:szCs w:val="28"/>
        </w:rPr>
        <w:t>Комитет по внутреннему транспорту</w:t>
      </w:r>
    </w:p>
    <w:p w:rsidR="00424CFF" w:rsidRPr="00BD3C7D" w:rsidRDefault="00424CFF" w:rsidP="00BD3C7D">
      <w:pPr>
        <w:spacing w:after="120"/>
        <w:rPr>
          <w:b/>
          <w:bCs/>
          <w:sz w:val="24"/>
          <w:szCs w:val="24"/>
        </w:rPr>
      </w:pPr>
      <w:r w:rsidRPr="00BD3C7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D3C7D">
        <w:rPr>
          <w:b/>
          <w:bCs/>
          <w:sz w:val="24"/>
          <w:szCs w:val="24"/>
        </w:rPr>
        <w:br/>
        <w:t>в области транспортных средств</w:t>
      </w:r>
    </w:p>
    <w:p w:rsidR="00424CFF" w:rsidRPr="00424CFF" w:rsidRDefault="00424CFF" w:rsidP="00424CFF">
      <w:pPr>
        <w:rPr>
          <w:b/>
          <w:bCs/>
        </w:rPr>
      </w:pPr>
      <w:r w:rsidRPr="00424CFF">
        <w:rPr>
          <w:b/>
          <w:bCs/>
        </w:rPr>
        <w:t>173-я сессия</w:t>
      </w:r>
    </w:p>
    <w:p w:rsidR="00424CFF" w:rsidRPr="00424CFF" w:rsidRDefault="00424CFF" w:rsidP="00424CFF">
      <w:r w:rsidRPr="00424CFF">
        <w:t>Женева, 14–17 ноября 2017 года</w:t>
      </w:r>
    </w:p>
    <w:p w:rsidR="00424CFF" w:rsidRPr="00424CFF" w:rsidRDefault="00424CFF" w:rsidP="00424CFF">
      <w:r w:rsidRPr="00424CFF">
        <w:t>Пункт 4.9.1 предварительной повестки</w:t>
      </w:r>
      <w:r w:rsidR="0047267E">
        <w:t xml:space="preserve"> дня</w:t>
      </w:r>
    </w:p>
    <w:p w:rsidR="00E12C5F" w:rsidRPr="00424CFF" w:rsidRDefault="00424CFF" w:rsidP="00424CFF">
      <w:r w:rsidRPr="00424CFF">
        <w:rPr>
          <w:b/>
        </w:rPr>
        <w:t>Соглашение 1958 года:</w:t>
      </w:r>
      <w:r w:rsidRPr="00424CFF">
        <w:rPr>
          <w:b/>
        </w:rPr>
        <w:br/>
        <w:t xml:space="preserve">Рассмотрение проектов поправок </w:t>
      </w:r>
      <w:r w:rsidR="00BD3C7D">
        <w:rPr>
          <w:b/>
        </w:rPr>
        <w:br/>
      </w:r>
      <w:r w:rsidRPr="00424CFF">
        <w:rPr>
          <w:b/>
        </w:rPr>
        <w:t xml:space="preserve">к действующим правилам, представленных </w:t>
      </w:r>
      <w:r w:rsidRPr="00424CFF">
        <w:rPr>
          <w:b/>
          <w:lang w:val="en-GB"/>
        </w:rPr>
        <w:t>GRPE</w:t>
      </w:r>
    </w:p>
    <w:p w:rsidR="00424CFF" w:rsidRPr="00424CFF" w:rsidRDefault="008C6AFA" w:rsidP="008C6AFA">
      <w:pPr>
        <w:pStyle w:val="HChGR"/>
      </w:pPr>
      <w:r w:rsidRPr="00BD3C7D">
        <w:tab/>
      </w:r>
      <w:r w:rsidRPr="00BD3C7D">
        <w:tab/>
      </w:r>
      <w:r w:rsidR="00424CFF" w:rsidRPr="00424CFF">
        <w:t xml:space="preserve">Предложение по дополнению 9 к поправкам серии 05 к Правилам № </w:t>
      </w:r>
      <w:r w:rsidR="00424CFF" w:rsidRPr="00424CFF">
        <w:rPr>
          <w:lang w:val="en-GB"/>
        </w:rPr>
        <w:t> </w:t>
      </w:r>
      <w:r w:rsidR="00424CFF" w:rsidRPr="00424CFF">
        <w:t>49 ООН (двигатели с воспламенением от сжатия и двигатели с принудительным зажиганием (СНГ и КПГ))</w:t>
      </w:r>
    </w:p>
    <w:p w:rsidR="00424CFF" w:rsidRPr="00424CFF" w:rsidRDefault="008C6AFA" w:rsidP="008C6AFA">
      <w:pPr>
        <w:pStyle w:val="H1GR"/>
      </w:pPr>
      <w:r w:rsidRPr="00EA385E">
        <w:tab/>
      </w:r>
      <w:r w:rsidRPr="00EA385E">
        <w:tab/>
      </w:r>
      <w:r w:rsidR="00424CFF" w:rsidRPr="00424CFF">
        <w:t xml:space="preserve">Представлено Рабочей группой по проблемам энергии </w:t>
      </w:r>
      <w:r>
        <w:t>и</w:t>
      </w:r>
      <w:r>
        <w:rPr>
          <w:lang w:val="en-US"/>
        </w:rPr>
        <w:t> </w:t>
      </w:r>
      <w:r w:rsidR="00424CFF" w:rsidRPr="00424CFF">
        <w:t>загрязнения окружающей среды</w:t>
      </w:r>
      <w:r w:rsidRPr="008C6AF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424CFF" w:rsidRPr="008C6AFA" w:rsidRDefault="008C6AFA" w:rsidP="00424CFF">
      <w:pPr>
        <w:pStyle w:val="SingleTxtGR"/>
      </w:pPr>
      <w:r w:rsidRPr="00EA385E">
        <w:tab/>
      </w:r>
      <w:r w:rsidRPr="008C6AFA">
        <w:t>Воспроизведенный ниже текст был принят Рабочей группой по проблемам энергии и загрязнения окружающей среды (</w:t>
      </w:r>
      <w:r w:rsidRPr="008C6AFA">
        <w:rPr>
          <w:lang w:val="en-GB"/>
        </w:rPr>
        <w:t>GRPE</w:t>
      </w:r>
      <w:r w:rsidRPr="008C6AFA">
        <w:t>) на ее семьдесят пятой сессии (</w:t>
      </w:r>
      <w:r w:rsidRPr="008C6AFA">
        <w:rPr>
          <w:lang w:val="en-GB"/>
        </w:rPr>
        <w:t>ECE</w:t>
      </w:r>
      <w:r w:rsidRPr="008C6AFA">
        <w:t>/</w:t>
      </w:r>
      <w:r w:rsidRPr="008C6AFA">
        <w:rPr>
          <w:lang w:val="en-GB"/>
        </w:rPr>
        <w:t>TRANS</w:t>
      </w:r>
      <w:r w:rsidRPr="008C6AFA">
        <w:t>/</w:t>
      </w:r>
      <w:r w:rsidRPr="008C6AFA">
        <w:rPr>
          <w:lang w:val="en-GB"/>
        </w:rPr>
        <w:t>WP</w:t>
      </w:r>
      <w:r w:rsidRPr="008C6AFA">
        <w:t>.29/</w:t>
      </w:r>
      <w:r w:rsidRPr="008C6AFA">
        <w:rPr>
          <w:lang w:val="en-GB"/>
        </w:rPr>
        <w:t>GRPE</w:t>
      </w:r>
      <w:r w:rsidRPr="008C6AFA">
        <w:t xml:space="preserve">/75, пункт 22). В его основу положен документ </w:t>
      </w:r>
      <w:r w:rsidRPr="008C6AFA">
        <w:rPr>
          <w:lang w:val="en-GB"/>
        </w:rPr>
        <w:t>GRPE</w:t>
      </w:r>
      <w:r w:rsidRPr="008C6AFA">
        <w:t xml:space="preserve">-74-08, воспроизведенный в приложении </w:t>
      </w:r>
      <w:r w:rsidRPr="008C6AFA">
        <w:rPr>
          <w:lang w:val="en-GB"/>
        </w:rPr>
        <w:t>VI</w:t>
      </w:r>
      <w:r w:rsidRPr="008C6AFA">
        <w:t xml:space="preserve"> к докладу</w:t>
      </w:r>
      <w:r w:rsidRPr="008C6AFA">
        <w:rPr>
          <w:bCs/>
        </w:rPr>
        <w:t xml:space="preserve">. </w:t>
      </w:r>
      <w:r w:rsidRPr="008C6AFA">
        <w:t>Этот текст представлен Всемирному форуму для согласования правил в области транспортных средств (</w:t>
      </w:r>
      <w:r w:rsidRPr="008C6AFA">
        <w:rPr>
          <w:lang w:val="fr-CH"/>
        </w:rPr>
        <w:t>WP</w:t>
      </w:r>
      <w:r w:rsidRPr="008C6AFA">
        <w:t xml:space="preserve">.29) и Исполнительному комитету </w:t>
      </w:r>
      <w:r w:rsidRPr="008C6AFA">
        <w:rPr>
          <w:lang w:val="fr-CH"/>
        </w:rPr>
        <w:t>AC</w:t>
      </w:r>
      <w:r w:rsidRPr="008C6AFA">
        <w:t>.</w:t>
      </w:r>
      <w:r w:rsidR="0047267E">
        <w:t>1</w:t>
      </w:r>
      <w:r w:rsidRPr="008C6AFA">
        <w:t xml:space="preserve"> для рассмотрения на их сессиях в ноябре 2017 года.</w:t>
      </w:r>
    </w:p>
    <w:p w:rsidR="008C6AFA" w:rsidRPr="008C6AFA" w:rsidRDefault="008C6AFA" w:rsidP="00222345">
      <w:pPr>
        <w:pStyle w:val="HChGR"/>
      </w:pPr>
      <w:r w:rsidRPr="008C6AFA">
        <w:br w:type="page"/>
      </w:r>
      <w:r w:rsidR="00222345">
        <w:lastRenderedPageBreak/>
        <w:tab/>
      </w:r>
      <w:r w:rsidR="00222345">
        <w:tab/>
      </w:r>
      <w:r w:rsidRPr="008C6AFA">
        <w:t xml:space="preserve">Предложение по дополнению 9 к поправкам серии 05 к Правилам № </w:t>
      </w:r>
      <w:r w:rsidRPr="008C6AFA">
        <w:rPr>
          <w:lang w:val="en-GB"/>
        </w:rPr>
        <w:t> </w:t>
      </w:r>
      <w:r w:rsidRPr="008C6AFA">
        <w:t>49 ООН (двигатели с воспламенением от сжатия и двигатели с принудительным зажиганием (СНГ и КПГ))</w:t>
      </w:r>
    </w:p>
    <w:p w:rsidR="008C6AFA" w:rsidRPr="008C6AFA" w:rsidRDefault="008C6AFA" w:rsidP="008C6AFA">
      <w:pPr>
        <w:pStyle w:val="SingleTxtGR"/>
      </w:pPr>
      <w:r w:rsidRPr="008C6AFA">
        <w:rPr>
          <w:i/>
          <w:iCs/>
        </w:rPr>
        <w:t xml:space="preserve">Приложение </w:t>
      </w:r>
      <w:r w:rsidRPr="008C6AFA">
        <w:rPr>
          <w:i/>
        </w:rPr>
        <w:t>4</w:t>
      </w:r>
      <w:r w:rsidRPr="008C6AFA">
        <w:rPr>
          <w:i/>
          <w:lang w:val="fr-CH"/>
        </w:rPr>
        <w:t>B</w:t>
      </w:r>
      <w:r w:rsidRPr="008C6AFA">
        <w:rPr>
          <w:i/>
        </w:rPr>
        <w:t xml:space="preserve">, </w:t>
      </w:r>
      <w:r w:rsidRPr="008C6AFA">
        <w:rPr>
          <w:i/>
          <w:iCs/>
        </w:rPr>
        <w:t xml:space="preserve">пункт </w:t>
      </w:r>
      <w:r w:rsidRPr="008C6AFA">
        <w:rPr>
          <w:i/>
        </w:rPr>
        <w:t>7.8.4</w:t>
      </w:r>
      <w:r w:rsidRPr="008C6AFA">
        <w:t xml:space="preserve"> изменить следующим образом:</w:t>
      </w:r>
    </w:p>
    <w:p w:rsidR="008C6AFA" w:rsidRPr="008C6AFA" w:rsidRDefault="00BD3C7D" w:rsidP="00222345">
      <w:pPr>
        <w:pStyle w:val="SingleTxtGR"/>
        <w:tabs>
          <w:tab w:val="clear" w:pos="1701"/>
        </w:tabs>
        <w:ind w:left="2268" w:hanging="1134"/>
      </w:pPr>
      <w:r>
        <w:t>«</w:t>
      </w:r>
      <w:r w:rsidR="008C6AFA" w:rsidRPr="008C6AFA">
        <w:t>7.8.4</w:t>
      </w:r>
      <w:r w:rsidR="008C6AFA" w:rsidRPr="008C6AFA">
        <w:tab/>
        <w:t>Проверка дрейфа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268" w:hanging="1134"/>
      </w:pPr>
      <w:r w:rsidRPr="008C6AFA">
        <w:tab/>
        <w:t xml:space="preserve">Как только это будет возможно, но не позднее чем через 30 минут после окончания испытательного цикла либо в период прогрева </w:t>
      </w:r>
      <w:r w:rsidRPr="008C6AFA">
        <w:rPr>
          <w:bCs/>
        </w:rPr>
        <w:t>(применительно только к b))</w:t>
      </w:r>
      <w:r w:rsidRPr="00BD3C7D">
        <w:t xml:space="preserve"> </w:t>
      </w:r>
      <w:r w:rsidRPr="008C6AFA">
        <w:t>определяют чувствительность к нулю и чувствительность к калибровке используемого диапазона характеристик газового анализатора. Для целей настоящего пункта цикл испытания определяют следующим образом: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835" w:hanging="1701"/>
      </w:pPr>
      <w:r w:rsidRPr="008C6AFA">
        <w:tab/>
        <w:t>а)</w:t>
      </w:r>
      <w:r w:rsidRPr="008C6AFA">
        <w:tab/>
        <w:t>для ВСПЦ: полная последовательность "запуск холодного двигателя − этап прогревания для стабилизации − запуск в прогретом состоянии";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835" w:hanging="1701"/>
      </w:pPr>
      <w:r w:rsidRPr="008C6AFA">
        <w:tab/>
        <w:t>b)</w:t>
      </w:r>
      <w:r w:rsidRPr="008C6AFA">
        <w:tab/>
        <w:t>для испытания в условиях запуска двигателя в прогретом состоянии (ВСПЦ) (пункт 6.6): последовательность "этап прогревания для стабилизации − запуск в прогретом состоянии";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835" w:hanging="1701"/>
      </w:pPr>
      <w:r w:rsidRPr="008C6AFA">
        <w:tab/>
      </w:r>
      <w:r w:rsidRPr="008C6AFA">
        <w:rPr>
          <w:lang w:val="en-US"/>
        </w:rPr>
        <w:t>c</w:t>
      </w:r>
      <w:r w:rsidRPr="008C6AFA">
        <w:t>)</w:t>
      </w:r>
      <w:r w:rsidRPr="008C6AFA">
        <w:tab/>
        <w:t>для испытания в условиях запуска двигателя в прогретом состоянии (ВСПЦ) с многократной регенерацией (пункт 6.6): общее число испытаний на запуск двигателя в прогретом состоянии;</w:t>
      </w:r>
    </w:p>
    <w:p w:rsidR="008C6AFA" w:rsidRPr="008C6AFA" w:rsidRDefault="008C6AFA" w:rsidP="008C6AFA">
      <w:pPr>
        <w:pStyle w:val="SingleTxtGR"/>
      </w:pPr>
      <w:r w:rsidRPr="008C6AFA">
        <w:tab/>
      </w:r>
      <w:r w:rsidRPr="008C6AFA">
        <w:tab/>
      </w:r>
      <w:r w:rsidRPr="008C6AFA">
        <w:rPr>
          <w:lang w:val="en-US"/>
        </w:rPr>
        <w:t>d</w:t>
      </w:r>
      <w:r w:rsidRPr="008C6AFA">
        <w:t>)</w:t>
      </w:r>
      <w:r w:rsidRPr="008C6AFA">
        <w:tab/>
        <w:t>для ВСУЦ: цикл испытаний.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268" w:hanging="1134"/>
      </w:pPr>
      <w:r w:rsidRPr="008C6AFA">
        <w:tab/>
        <w:t>В отношении дрейфа анализатора применяют следующие положения: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835" w:hanging="1701"/>
      </w:pPr>
      <w:r w:rsidRPr="008C6AFA">
        <w:tab/>
      </w:r>
      <w:r w:rsidRPr="008C6AFA">
        <w:rPr>
          <w:lang w:val="en-US"/>
        </w:rPr>
        <w:t>a</w:t>
      </w:r>
      <w:r w:rsidRPr="008C6AFA">
        <w:t>)</w:t>
      </w:r>
      <w:r w:rsidRPr="008C6AFA">
        <w:tab/>
        <w:t>показатели чувствительности к нулю и к калибровке как до испытаний, так и после испытаний можно включить непосредственно в уравнение 66 в пункте 8.6.1 настоящего приложения, без определения самого дрейфа;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835" w:hanging="1701"/>
      </w:pPr>
      <w:r w:rsidRPr="008C6AFA">
        <w:tab/>
      </w:r>
      <w:r w:rsidRPr="008C6AFA">
        <w:rPr>
          <w:lang w:val="en-US"/>
        </w:rPr>
        <w:t>b</w:t>
      </w:r>
      <w:r w:rsidRPr="008C6AFA">
        <w:t>)</w:t>
      </w:r>
      <w:r w:rsidRPr="008C6AFA">
        <w:tab/>
        <w:t>если разница между значениями до испытания и после испытания составляет менее 1% полной шкалы, то измеренные концентрации можно использовать без корректировки или с корректировкой на дрейф в соответствии с пунктом 8.6.1 настоящего приложения;</w:t>
      </w:r>
    </w:p>
    <w:p w:rsidR="008C6AFA" w:rsidRPr="008C6AFA" w:rsidRDefault="008C6AFA" w:rsidP="00222345">
      <w:pPr>
        <w:pStyle w:val="SingleTxtGR"/>
        <w:tabs>
          <w:tab w:val="clear" w:pos="1701"/>
        </w:tabs>
        <w:ind w:left="2835" w:hanging="1701"/>
      </w:pPr>
      <w:r w:rsidRPr="008C6AFA">
        <w:tab/>
      </w:r>
      <w:r w:rsidRPr="008C6AFA">
        <w:rPr>
          <w:lang w:val="en-US"/>
        </w:rPr>
        <w:t>c</w:t>
      </w:r>
      <w:r w:rsidRPr="008C6AFA">
        <w:t>)</w:t>
      </w:r>
      <w:r w:rsidRPr="008C6AFA">
        <w:tab/>
        <w:t>если разница дрейфа между значениями до испытания и после испытания составляет не менее 1% полной шкалы, то испытание считается недействительным либо же измеренные концентрации корректируются на дрейф в соответствии с пунктом 8.6.1 настоящего приложения</w:t>
      </w:r>
      <w:r w:rsidR="00BD3C7D">
        <w:t>»</w:t>
      </w:r>
      <w:r w:rsidRPr="008C6AFA">
        <w:t>.</w:t>
      </w:r>
    </w:p>
    <w:p w:rsidR="008C6AFA" w:rsidRPr="008C6AFA" w:rsidRDefault="008C6AFA" w:rsidP="008C6AFA">
      <w:pPr>
        <w:pStyle w:val="SingleTxtGR"/>
      </w:pPr>
      <w:r w:rsidRPr="008C6AFA">
        <w:rPr>
          <w:i/>
          <w:iCs/>
        </w:rPr>
        <w:t xml:space="preserve">Приложение </w:t>
      </w:r>
      <w:r w:rsidRPr="008C6AFA">
        <w:rPr>
          <w:i/>
        </w:rPr>
        <w:t>4</w:t>
      </w:r>
      <w:r w:rsidRPr="008C6AFA">
        <w:rPr>
          <w:i/>
          <w:lang w:val="fr-CH"/>
        </w:rPr>
        <w:t>B</w:t>
      </w:r>
      <w:r w:rsidRPr="008C6AFA">
        <w:rPr>
          <w:i/>
        </w:rPr>
        <w:t xml:space="preserve">, </w:t>
      </w:r>
      <w:r w:rsidRPr="008C6AFA">
        <w:rPr>
          <w:i/>
          <w:iCs/>
        </w:rPr>
        <w:t xml:space="preserve">пункт </w:t>
      </w:r>
      <w:r w:rsidRPr="008C6AFA">
        <w:rPr>
          <w:i/>
        </w:rPr>
        <w:t>8.4.1.7</w:t>
      </w:r>
      <w:r w:rsidRPr="008C6AFA">
        <w:t xml:space="preserve"> изменить следующим образом:</w:t>
      </w:r>
    </w:p>
    <w:p w:rsidR="008C6AFA" w:rsidRPr="008C6AFA" w:rsidRDefault="00BD3C7D" w:rsidP="008C6AFA">
      <w:pPr>
        <w:pStyle w:val="SingleTxtGR"/>
      </w:pPr>
      <w:r>
        <w:t>«</w:t>
      </w:r>
      <w:r w:rsidR="008C6AFA" w:rsidRPr="008C6AFA">
        <w:t>8.4.1.7</w:t>
      </w:r>
      <w:r w:rsidR="008C6AFA" w:rsidRPr="008C6AFA">
        <w:tab/>
        <w:t>Метод углеродного баланса</w:t>
      </w:r>
    </w:p>
    <w:p w:rsidR="00424CFF" w:rsidRPr="008C6AFA" w:rsidRDefault="008C6AFA" w:rsidP="00222345">
      <w:pPr>
        <w:pStyle w:val="SingleTxtGR"/>
        <w:tabs>
          <w:tab w:val="clear" w:pos="1701"/>
        </w:tabs>
        <w:ind w:left="2268" w:hanging="1134"/>
      </w:pPr>
      <w:r w:rsidRPr="00222345">
        <w:tab/>
      </w:r>
      <w:r w:rsidRPr="008C6AFA">
        <w:t>Этот метод предполагает расчет массы отработавших газов на основе расхода топлива и газообразных компонентов в выхлопе, включая углерод. Расчет мгновенных значений массового расхода отработавших газов производится по следующему уравнению:</w:t>
      </w:r>
    </w:p>
    <w:p w:rsidR="008C6AFA" w:rsidRPr="00222345" w:rsidRDefault="008C6AFA" w:rsidP="00CF6721">
      <w:pPr>
        <w:pStyle w:val="SingleTxtGR"/>
        <w:ind w:left="2268" w:right="849"/>
      </w:pPr>
      <w:r>
        <w:rPr>
          <w:noProof/>
          <w:position w:val="-32"/>
          <w:lang w:val="en-GB" w:eastAsia="en-GB"/>
        </w:rPr>
        <w:drawing>
          <wp:inline distT="0" distB="0" distL="0" distR="0" wp14:anchorId="398FA4EB" wp14:editId="56B6B026">
            <wp:extent cx="3580130" cy="480695"/>
            <wp:effectExtent l="0" t="0" r="127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345">
        <w:tab/>
      </w:r>
      <w:r w:rsidR="000D6F83">
        <w:t>,</w:t>
      </w:r>
      <w:r w:rsidR="00CF6721">
        <w:t xml:space="preserve">   </w:t>
      </w:r>
      <w:r w:rsidRPr="00222345">
        <w:t>(33)</w:t>
      </w:r>
    </w:p>
    <w:p w:rsidR="008C6AFA" w:rsidRPr="00222345" w:rsidRDefault="00222345" w:rsidP="00222345">
      <w:pPr>
        <w:pStyle w:val="SingleTxtGR"/>
        <w:tabs>
          <w:tab w:val="clear" w:pos="1701"/>
        </w:tabs>
        <w:ind w:left="2268" w:hanging="1134"/>
      </w:pPr>
      <w:r>
        <w:lastRenderedPageBreak/>
        <w:tab/>
      </w:r>
      <w:r w:rsidR="008C6AFA">
        <w:t>причем</w:t>
      </w:r>
    </w:p>
    <w:p w:rsidR="008C6AFA" w:rsidRPr="00CF6721" w:rsidRDefault="00222345" w:rsidP="00CF6721">
      <w:pPr>
        <w:pStyle w:val="SingleTxtGR"/>
        <w:tabs>
          <w:tab w:val="clear" w:pos="1701"/>
          <w:tab w:val="right" w:pos="8505"/>
          <w:tab w:val="right" w:pos="8789"/>
        </w:tabs>
      </w:pPr>
      <w:r>
        <w:rPr>
          <w:i/>
          <w:noProof/>
          <w:lang w:eastAsia="sv-SE"/>
        </w:rPr>
        <w:tab/>
      </w:r>
      <w:r w:rsidR="008C6AFA" w:rsidRPr="00D3615A">
        <w:rPr>
          <w:i/>
          <w:noProof/>
          <w:lang w:val="en-US" w:eastAsia="sv-SE"/>
        </w:rPr>
        <w:t>k</w:t>
      </w:r>
      <w:r w:rsidR="008C6AFA" w:rsidRPr="00D3615A">
        <w:rPr>
          <w:noProof/>
          <w:vertAlign w:val="subscript"/>
          <w:lang w:val="en-US" w:eastAsia="sv-SE"/>
        </w:rPr>
        <w:t>c</w:t>
      </w:r>
      <w:r w:rsidR="008C6AFA" w:rsidRPr="00CF6721">
        <w:rPr>
          <w:noProof/>
          <w:lang w:eastAsia="sv-SE"/>
        </w:rPr>
        <w:t>= (</w:t>
      </w:r>
      <w:r w:rsidR="008C6AFA" w:rsidRPr="00D3615A">
        <w:rPr>
          <w:noProof/>
          <w:lang w:val="en-US" w:eastAsia="sv-SE"/>
        </w:rPr>
        <w:t>c</w:t>
      </w:r>
      <w:r w:rsidR="008C6AFA" w:rsidRPr="00D3615A">
        <w:rPr>
          <w:noProof/>
          <w:vertAlign w:val="subscript"/>
          <w:lang w:val="en-US" w:eastAsia="sv-SE"/>
        </w:rPr>
        <w:t>CO</w:t>
      </w:r>
      <w:r w:rsidR="008C6AFA" w:rsidRPr="00CF6721">
        <w:rPr>
          <w:noProof/>
          <w:vertAlign w:val="subscript"/>
          <w:lang w:eastAsia="sv-SE"/>
        </w:rPr>
        <w:t>2</w:t>
      </w:r>
      <w:r w:rsidR="008C6AFA" w:rsidRPr="00D3615A">
        <w:rPr>
          <w:noProof/>
          <w:vertAlign w:val="subscript"/>
          <w:lang w:val="en-US" w:eastAsia="sv-SE"/>
        </w:rPr>
        <w:t>d</w:t>
      </w:r>
      <w:r w:rsidR="008C6AFA" w:rsidRPr="00CF6721">
        <w:rPr>
          <w:noProof/>
          <w:lang w:eastAsia="sv-SE"/>
        </w:rPr>
        <w:t xml:space="preserve"> – </w:t>
      </w:r>
      <w:r w:rsidR="008C6AFA" w:rsidRPr="00D3615A">
        <w:rPr>
          <w:noProof/>
          <w:lang w:val="en-US" w:eastAsia="sv-SE"/>
        </w:rPr>
        <w:t>c</w:t>
      </w:r>
      <w:r w:rsidR="008C6AFA" w:rsidRPr="00D3615A">
        <w:rPr>
          <w:noProof/>
          <w:vertAlign w:val="subscript"/>
          <w:lang w:val="en-US" w:eastAsia="sv-SE"/>
        </w:rPr>
        <w:t>CO</w:t>
      </w:r>
      <w:r w:rsidR="008C6AFA" w:rsidRPr="00CF6721">
        <w:rPr>
          <w:noProof/>
          <w:vertAlign w:val="subscript"/>
          <w:lang w:eastAsia="sv-SE"/>
        </w:rPr>
        <w:t>2</w:t>
      </w:r>
      <w:r w:rsidR="008C6AFA" w:rsidRPr="00D3615A">
        <w:rPr>
          <w:noProof/>
          <w:vertAlign w:val="subscript"/>
          <w:lang w:val="en-US" w:eastAsia="sv-SE"/>
        </w:rPr>
        <w:t>d</w:t>
      </w:r>
      <w:r w:rsidR="008C6AFA" w:rsidRPr="00CF6721">
        <w:rPr>
          <w:noProof/>
          <w:vertAlign w:val="subscript"/>
          <w:lang w:eastAsia="sv-SE"/>
        </w:rPr>
        <w:t>,</w:t>
      </w:r>
      <w:r w:rsidR="008C6AFA" w:rsidRPr="00D3615A">
        <w:rPr>
          <w:noProof/>
          <w:vertAlign w:val="subscript"/>
          <w:lang w:val="en-US" w:eastAsia="sv-SE"/>
        </w:rPr>
        <w:t>a</w:t>
      </w:r>
      <w:r w:rsidR="008C6AFA" w:rsidRPr="00CF6721">
        <w:rPr>
          <w:noProof/>
          <w:lang w:eastAsia="sv-SE"/>
        </w:rPr>
        <w:t xml:space="preserve">) </w:t>
      </w:r>
      <w:r w:rsidR="008C6AFA" w:rsidRPr="00D3615A">
        <w:rPr>
          <w:noProof/>
          <w:lang w:val="en-US" w:eastAsia="sv-SE"/>
        </w:rPr>
        <w:t>x</w:t>
      </w:r>
      <w:r w:rsidR="008C6AFA" w:rsidRPr="00CF6721">
        <w:rPr>
          <w:noProof/>
          <w:lang w:eastAsia="sv-SE"/>
        </w:rPr>
        <w:t xml:space="preserve"> 0,5441 + </w:t>
      </w:r>
      <w:r w:rsidR="008C6AFA" w:rsidRPr="00D3615A">
        <w:rPr>
          <w:noProof/>
          <w:lang w:val="en-US" w:eastAsia="sv-SE"/>
        </w:rPr>
        <w:t>c</w:t>
      </w:r>
      <w:r w:rsidR="008C6AFA" w:rsidRPr="00D3615A">
        <w:rPr>
          <w:noProof/>
          <w:vertAlign w:val="subscript"/>
          <w:lang w:val="en-US" w:eastAsia="sv-SE"/>
        </w:rPr>
        <w:t>COd</w:t>
      </w:r>
      <w:r w:rsidR="008C6AFA" w:rsidRPr="00CF6721">
        <w:rPr>
          <w:noProof/>
          <w:lang w:eastAsia="sv-SE"/>
        </w:rPr>
        <w:t xml:space="preserve">/18522 + </w:t>
      </w:r>
      <w:r w:rsidR="008C6AFA" w:rsidRPr="00D3615A">
        <w:rPr>
          <w:noProof/>
          <w:lang w:val="en-US" w:eastAsia="sv-SE"/>
        </w:rPr>
        <w:t>c</w:t>
      </w:r>
      <w:r w:rsidR="008C6AFA" w:rsidRPr="00D3615A">
        <w:rPr>
          <w:noProof/>
          <w:vertAlign w:val="subscript"/>
          <w:lang w:val="en-US" w:eastAsia="sv-SE"/>
        </w:rPr>
        <w:t>HCw</w:t>
      </w:r>
      <w:r w:rsidR="008C6AFA" w:rsidRPr="00CF6721">
        <w:rPr>
          <w:noProof/>
          <w:lang w:eastAsia="sv-SE"/>
        </w:rPr>
        <w:t>/17355</w:t>
      </w:r>
      <w:r w:rsidR="008C6AFA" w:rsidRPr="00CF6721">
        <w:rPr>
          <w:noProof/>
          <w:lang w:eastAsia="sv-SE"/>
        </w:rPr>
        <w:tab/>
        <w:t>(34)</w:t>
      </w:r>
    </w:p>
    <w:p w:rsidR="008C6AFA" w:rsidRPr="00EA385E" w:rsidRDefault="00222345" w:rsidP="00222345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CF6721">
        <w:tab/>
      </w:r>
      <w:r w:rsidR="008C6AFA">
        <w:t>и</w:t>
      </w:r>
    </w:p>
    <w:p w:rsidR="008C6AFA" w:rsidRPr="00CF6721" w:rsidRDefault="00222345" w:rsidP="00CF6721">
      <w:pPr>
        <w:pStyle w:val="SingleTxtGR"/>
        <w:tabs>
          <w:tab w:val="clear" w:pos="1701"/>
          <w:tab w:val="right" w:pos="8505"/>
          <w:tab w:val="right" w:pos="8789"/>
        </w:tabs>
        <w:rPr>
          <w:lang w:val="en-US"/>
        </w:rPr>
      </w:pPr>
      <w:r w:rsidRPr="00EA385E">
        <w:rPr>
          <w:i/>
          <w:noProof/>
          <w:lang w:val="en-US" w:eastAsia="sv-SE"/>
        </w:rPr>
        <w:tab/>
      </w:r>
      <w:r w:rsidR="008C6AFA" w:rsidRPr="00D3615A">
        <w:rPr>
          <w:i/>
          <w:noProof/>
          <w:lang w:val="nl-NL" w:eastAsia="sv-SE"/>
        </w:rPr>
        <w:t>k</w:t>
      </w:r>
      <w:r w:rsidR="008C6AFA" w:rsidRPr="00D3615A">
        <w:rPr>
          <w:noProof/>
          <w:vertAlign w:val="subscript"/>
          <w:lang w:val="nl-NL" w:eastAsia="sv-SE"/>
        </w:rPr>
        <w:t>fd</w:t>
      </w:r>
      <w:r w:rsidR="008C6AFA" w:rsidRPr="00D3615A">
        <w:rPr>
          <w:noProof/>
          <w:lang w:val="nl-NL" w:eastAsia="sv-SE"/>
        </w:rPr>
        <w:t xml:space="preserve"> = - 0,055586 x </w:t>
      </w:r>
      <w:r w:rsidR="008C6AFA" w:rsidRPr="00D3615A">
        <w:rPr>
          <w:i/>
          <w:noProof/>
          <w:lang w:val="nl-NL" w:eastAsia="sv-SE"/>
        </w:rPr>
        <w:t>w</w:t>
      </w:r>
      <w:r w:rsidR="008C6AFA" w:rsidRPr="00D3615A">
        <w:rPr>
          <w:noProof/>
          <w:vertAlign w:val="subscript"/>
          <w:lang w:val="nl-NL" w:eastAsia="sv-SE"/>
        </w:rPr>
        <w:t>ALF</w:t>
      </w:r>
      <w:r w:rsidR="008C6AFA" w:rsidRPr="00D3615A">
        <w:rPr>
          <w:noProof/>
          <w:lang w:val="nl-NL" w:eastAsia="sv-SE"/>
        </w:rPr>
        <w:t xml:space="preserve"> + 0,0080021 x </w:t>
      </w:r>
      <w:r w:rsidR="008C6AFA" w:rsidRPr="00D3615A">
        <w:rPr>
          <w:i/>
          <w:noProof/>
          <w:lang w:val="nl-NL" w:eastAsia="sv-SE"/>
        </w:rPr>
        <w:t>w</w:t>
      </w:r>
      <w:r w:rsidR="008C6AFA" w:rsidRPr="00D3615A">
        <w:rPr>
          <w:noProof/>
          <w:vertAlign w:val="subscript"/>
          <w:lang w:val="nl-NL" w:eastAsia="sv-SE"/>
        </w:rPr>
        <w:t>DEL</w:t>
      </w:r>
      <w:r w:rsidR="008C6AFA" w:rsidRPr="00D3615A">
        <w:rPr>
          <w:noProof/>
          <w:lang w:val="nl-NL" w:eastAsia="sv-SE"/>
        </w:rPr>
        <w:t xml:space="preserve"> + 0,0070046 x </w:t>
      </w:r>
      <w:r w:rsidR="008C6AFA" w:rsidRPr="00D3615A">
        <w:rPr>
          <w:i/>
          <w:noProof/>
          <w:lang w:val="nl-NL" w:eastAsia="sv-SE"/>
        </w:rPr>
        <w:t>w</w:t>
      </w:r>
      <w:r w:rsidR="008C6AFA" w:rsidRPr="00D3615A">
        <w:rPr>
          <w:noProof/>
          <w:vertAlign w:val="subscript"/>
          <w:lang w:val="nl-NL" w:eastAsia="sv-SE"/>
        </w:rPr>
        <w:t>EPS</w:t>
      </w:r>
      <w:r w:rsidR="008C6AFA" w:rsidRPr="00D3615A">
        <w:rPr>
          <w:noProof/>
          <w:lang w:val="nl-NL" w:eastAsia="sv-SE"/>
        </w:rPr>
        <w:tab/>
        <w:t>(35)</w:t>
      </w:r>
    </w:p>
    <w:p w:rsidR="000D6F83" w:rsidRPr="00A4552D" w:rsidRDefault="00CF6721" w:rsidP="00CF6721">
      <w:pPr>
        <w:pStyle w:val="SingleTxtGR"/>
        <w:tabs>
          <w:tab w:val="clear" w:pos="1701"/>
        </w:tabs>
      </w:pPr>
      <w:r w:rsidRPr="00CF6721">
        <w:rPr>
          <w:lang w:val="en-US"/>
        </w:rPr>
        <w:tab/>
      </w:r>
      <w:r w:rsidR="000D6F83" w:rsidRPr="005C0809">
        <w:t>где</w:t>
      </w:r>
      <w:r w:rsidR="000D6F83" w:rsidRPr="00A4552D">
        <w:t>: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A4552D">
        <w:rPr>
          <w:i/>
        </w:rPr>
        <w:tab/>
      </w:r>
      <w:r w:rsidRPr="005C0809">
        <w:rPr>
          <w:lang w:val="fr-CH"/>
        </w:rPr>
        <w:t>q</w:t>
      </w:r>
      <w:r w:rsidRPr="005C0809">
        <w:rPr>
          <w:vertAlign w:val="subscript"/>
          <w:lang w:val="fr-CH"/>
        </w:rPr>
        <w:t>mf</w:t>
      </w:r>
      <w:r w:rsidRPr="005C0809">
        <w:rPr>
          <w:vertAlign w:val="subscript"/>
        </w:rPr>
        <w:t>,</w:t>
      </w:r>
      <w:r w:rsidRPr="005C0809">
        <w:rPr>
          <w:vertAlign w:val="subscript"/>
          <w:lang w:val="fr-CH"/>
        </w:rPr>
        <w:t>i</w:t>
      </w:r>
      <w:r w:rsidRPr="005C0809">
        <w:tab/>
        <w:t>–</w:t>
      </w:r>
      <w:r w:rsidRPr="005C0809">
        <w:tab/>
        <w:t>мгновенный массовый расход топлива в кг/с,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5C0809">
        <w:rPr>
          <w:lang w:val="fr-CH"/>
        </w:rPr>
        <w:t>H</w:t>
      </w:r>
      <w:r w:rsidRPr="005C0809">
        <w:rPr>
          <w:vertAlign w:val="subscript"/>
          <w:lang w:val="fr-CH"/>
        </w:rPr>
        <w:t>a</w:t>
      </w:r>
      <w:r w:rsidRPr="005C0809">
        <w:tab/>
        <w:t>–</w:t>
      </w:r>
      <w:r w:rsidRPr="005C0809">
        <w:tab/>
      </w:r>
      <w:r w:rsidRPr="00CF6721">
        <w:rPr>
          <w:spacing w:val="2"/>
        </w:rPr>
        <w:t>влажность воздуха на впуске в г воды на кг сухого воздуха,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w</w:t>
      </w:r>
      <w:r w:rsidRPr="005C0809">
        <w:rPr>
          <w:vertAlign w:val="subscript"/>
          <w:lang w:val="fr-CH"/>
        </w:rPr>
        <w:t>BET</w:t>
      </w:r>
      <w:r w:rsidRPr="005C0809">
        <w:tab/>
        <w:t>–</w:t>
      </w:r>
      <w:r w:rsidRPr="005C0809">
        <w:tab/>
        <w:t>содержание углерода в топливе в процентах от массы,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w</w:t>
      </w:r>
      <w:r w:rsidRPr="005C0809">
        <w:rPr>
          <w:vertAlign w:val="subscript"/>
          <w:lang w:val="fr-CH"/>
        </w:rPr>
        <w:t>ALF</w:t>
      </w:r>
      <w:r w:rsidRPr="005C0809">
        <w:tab/>
        <w:t>–</w:t>
      </w:r>
      <w:r w:rsidRPr="005C0809">
        <w:tab/>
        <w:t>содержание водорода в топливе в процентах от массы,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w</w:t>
      </w:r>
      <w:r w:rsidRPr="005C0809">
        <w:rPr>
          <w:vertAlign w:val="subscript"/>
          <w:lang w:val="fr-CH"/>
        </w:rPr>
        <w:t>DEL</w:t>
      </w:r>
      <w:r w:rsidRPr="005C0809">
        <w:tab/>
        <w:t>–</w:t>
      </w:r>
      <w:r w:rsidRPr="005C0809">
        <w:tab/>
        <w:t>содержание азота в топливе в процентах от массы,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w</w:t>
      </w:r>
      <w:r w:rsidRPr="005C0809">
        <w:rPr>
          <w:vertAlign w:val="subscript"/>
          <w:lang w:val="fr-CH"/>
        </w:rPr>
        <w:t>EPS</w:t>
      </w:r>
      <w:r w:rsidRPr="005C0809">
        <w:tab/>
        <w:t>–</w:t>
      </w:r>
      <w:r w:rsidRPr="005C0809">
        <w:tab/>
        <w:t>содержание кислорода в топливе в процентах от массы,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c</w:t>
      </w:r>
      <w:r w:rsidRPr="005C0809">
        <w:rPr>
          <w:vertAlign w:val="subscript"/>
          <w:lang w:val="fr-CH"/>
        </w:rPr>
        <w:t>CO</w:t>
      </w:r>
      <w:r w:rsidRPr="005C0809">
        <w:rPr>
          <w:vertAlign w:val="subscript"/>
        </w:rPr>
        <w:t>2</w:t>
      </w:r>
      <w:r w:rsidRPr="005C0809">
        <w:rPr>
          <w:vertAlign w:val="subscript"/>
          <w:lang w:val="fr-CH"/>
        </w:rPr>
        <w:t>d</w:t>
      </w:r>
      <w:r w:rsidRPr="005C0809">
        <w:rPr>
          <w:vertAlign w:val="subscript"/>
        </w:rPr>
        <w:tab/>
      </w:r>
      <w:r w:rsidRPr="005C0809">
        <w:t>–</w:t>
      </w:r>
      <w:r w:rsidRPr="005C0809">
        <w:tab/>
        <w:t xml:space="preserve">концентрация </w:t>
      </w:r>
      <w:r w:rsidRPr="005C0809">
        <w:rPr>
          <w:lang w:val="fr-CH"/>
        </w:rPr>
        <w:t>CO</w:t>
      </w:r>
      <w:r w:rsidRPr="005C0809">
        <w:rPr>
          <w:vertAlign w:val="subscript"/>
        </w:rPr>
        <w:t>2</w:t>
      </w:r>
      <w:r w:rsidRPr="005C0809">
        <w:t xml:space="preserve"> на сухой основе в процентах,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c</w:t>
      </w:r>
      <w:r w:rsidRPr="005C0809">
        <w:rPr>
          <w:vertAlign w:val="subscript"/>
          <w:lang w:val="fr-CH"/>
        </w:rPr>
        <w:t>CO</w:t>
      </w:r>
      <w:r w:rsidRPr="005C0809">
        <w:rPr>
          <w:vertAlign w:val="subscript"/>
        </w:rPr>
        <w:t>2</w:t>
      </w:r>
      <w:r w:rsidRPr="005C0809">
        <w:rPr>
          <w:vertAlign w:val="subscript"/>
          <w:lang w:val="fr-CH"/>
        </w:rPr>
        <w:t>d</w:t>
      </w:r>
      <w:r w:rsidRPr="005C0809">
        <w:rPr>
          <w:vertAlign w:val="subscript"/>
        </w:rPr>
        <w:t>,</w:t>
      </w:r>
      <w:r w:rsidRPr="005C0809">
        <w:rPr>
          <w:vertAlign w:val="subscript"/>
          <w:lang w:val="fr-CH"/>
        </w:rPr>
        <w:t>a</w:t>
      </w:r>
      <w:r w:rsidRPr="005C0809">
        <w:tab/>
        <w:t>–</w:t>
      </w:r>
      <w:r w:rsidRPr="005C0809">
        <w:tab/>
        <w:t>концентрация СО</w:t>
      </w:r>
      <w:r w:rsidRPr="005C0809">
        <w:rPr>
          <w:vertAlign w:val="subscript"/>
        </w:rPr>
        <w:t>2</w:t>
      </w:r>
      <w:r w:rsidRPr="005C0809">
        <w:t xml:space="preserve"> во всасываемом воздухе в процентах,</w:t>
      </w:r>
    </w:p>
    <w:p w:rsidR="000D6F83" w:rsidRPr="005C0809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c</w:t>
      </w:r>
      <w:r w:rsidRPr="005C0809">
        <w:rPr>
          <w:vertAlign w:val="subscript"/>
        </w:rPr>
        <w:t>CO</w:t>
      </w:r>
      <w:r w:rsidRPr="005C0809">
        <w:rPr>
          <w:b/>
          <w:vertAlign w:val="subscript"/>
        </w:rPr>
        <w:t>d</w:t>
      </w:r>
      <w:r w:rsidRPr="005C0809">
        <w:rPr>
          <w:vertAlign w:val="subscript"/>
        </w:rPr>
        <w:tab/>
      </w:r>
      <w:r w:rsidRPr="005C0809">
        <w:t>–</w:t>
      </w:r>
      <w:r w:rsidRPr="005C0809">
        <w:tab/>
        <w:t>концентрация СО на сухой основе в млн</w:t>
      </w:r>
      <w:r w:rsidRPr="005C0809">
        <w:rPr>
          <w:vertAlign w:val="superscript"/>
        </w:rPr>
        <w:t>–1</w:t>
      </w:r>
      <w:r w:rsidRPr="005C0809">
        <w:t>,</w:t>
      </w:r>
    </w:p>
    <w:p w:rsidR="008C6AFA" w:rsidRDefault="000D6F83" w:rsidP="00CF6721">
      <w:pPr>
        <w:pStyle w:val="SingleTxtGR"/>
        <w:tabs>
          <w:tab w:val="clear" w:pos="1701"/>
          <w:tab w:val="left" w:pos="3119"/>
        </w:tabs>
      </w:pPr>
      <w:r w:rsidRPr="005C0809">
        <w:rPr>
          <w:i/>
        </w:rPr>
        <w:tab/>
      </w:r>
      <w:r w:rsidRPr="00EA385E">
        <w:rPr>
          <w:i/>
          <w:lang w:val="fr-CH"/>
        </w:rPr>
        <w:t>c</w:t>
      </w:r>
      <w:r w:rsidRPr="005C0809">
        <w:rPr>
          <w:vertAlign w:val="subscript"/>
          <w:lang w:val="fr-CH"/>
        </w:rPr>
        <w:t>HCw</w:t>
      </w:r>
      <w:r w:rsidRPr="005C0809">
        <w:tab/>
        <w:t>–</w:t>
      </w:r>
      <w:r w:rsidRPr="005C0809">
        <w:tab/>
        <w:t>концентрация НС на влажной основе в млн</w:t>
      </w:r>
      <w:r w:rsidRPr="005C0809">
        <w:rPr>
          <w:vertAlign w:val="superscript"/>
        </w:rPr>
        <w:t>–1</w:t>
      </w:r>
      <w:r w:rsidR="00BD3C7D" w:rsidRPr="00BD3C7D">
        <w:t>»</w:t>
      </w:r>
      <w:r w:rsidRPr="005C0809">
        <w:t>.</w:t>
      </w:r>
    </w:p>
    <w:p w:rsidR="000D6F83" w:rsidRPr="000D6F83" w:rsidRDefault="000D6F83" w:rsidP="000D6F83">
      <w:pPr>
        <w:pStyle w:val="SingleTxtGR"/>
      </w:pPr>
      <w:r w:rsidRPr="000D6F83">
        <w:rPr>
          <w:i/>
          <w:iCs/>
        </w:rPr>
        <w:t xml:space="preserve">Приложение </w:t>
      </w:r>
      <w:r w:rsidRPr="000D6F83">
        <w:rPr>
          <w:i/>
        </w:rPr>
        <w:t>4</w:t>
      </w:r>
      <w:r w:rsidRPr="000D6F83">
        <w:rPr>
          <w:i/>
          <w:lang w:val="fr-CH"/>
        </w:rPr>
        <w:t>B</w:t>
      </w:r>
      <w:r w:rsidRPr="000D6F83">
        <w:rPr>
          <w:i/>
        </w:rPr>
        <w:t xml:space="preserve">, </w:t>
      </w:r>
      <w:r w:rsidRPr="000D6F83">
        <w:rPr>
          <w:i/>
          <w:iCs/>
        </w:rPr>
        <w:t xml:space="preserve">пункт </w:t>
      </w:r>
      <w:r w:rsidRPr="000D6F83">
        <w:rPr>
          <w:i/>
        </w:rPr>
        <w:t>9.3.9.4.1</w:t>
      </w:r>
      <w:r w:rsidRPr="000D6F83">
        <w:t xml:space="preserve"> изменить следующим образом:</w:t>
      </w:r>
    </w:p>
    <w:p w:rsidR="000D6F83" w:rsidRPr="000D6F83" w:rsidRDefault="00BD3C7D" w:rsidP="00222345">
      <w:pPr>
        <w:pStyle w:val="SingleTxtGR"/>
        <w:tabs>
          <w:tab w:val="clear" w:pos="1701"/>
        </w:tabs>
        <w:ind w:left="2268" w:hanging="1134"/>
      </w:pPr>
      <w:r>
        <w:t>«</w:t>
      </w:r>
      <w:r w:rsidR="000D6F83" w:rsidRPr="000D6F83">
        <w:t>9.3.9.4.1</w:t>
      </w:r>
      <w:r w:rsidR="000D6F83" w:rsidRPr="000D6F83">
        <w:tab/>
        <w:t>Эффективность осушителя для проб</w:t>
      </w:r>
    </w:p>
    <w:p w:rsidR="000D6F83" w:rsidRPr="000D6F83" w:rsidRDefault="00CF6721" w:rsidP="00222345">
      <w:pPr>
        <w:pStyle w:val="SingleTxtGR"/>
        <w:tabs>
          <w:tab w:val="clear" w:pos="1701"/>
        </w:tabs>
        <w:ind w:left="2268" w:hanging="1134"/>
      </w:pPr>
      <w:r>
        <w:tab/>
      </w:r>
      <w:r w:rsidR="000D6F83" w:rsidRPr="000D6F83">
        <w:t xml:space="preserve">В случае сухих анализаторов </w:t>
      </w:r>
      <w:r w:rsidR="000D6F83" w:rsidRPr="000D6F83">
        <w:rPr>
          <w:lang w:val="fr-CH"/>
        </w:rPr>
        <w:t>CLD</w:t>
      </w:r>
      <w:r w:rsidR="000D6F83" w:rsidRPr="000D6F83">
        <w:t xml:space="preserve"> следует подтвердить, что при наибольшей предполагаемой концентрации водяных паров </w:t>
      </w:r>
      <w:r w:rsidR="000D6F83" w:rsidRPr="000D6F83">
        <w:rPr>
          <w:lang w:val="fr-CH"/>
        </w:rPr>
        <w:t>Hm</w:t>
      </w:r>
      <w:r w:rsidR="000D6F83" w:rsidRPr="000D6F83">
        <w:t xml:space="preserve"> (см.</w:t>
      </w:r>
      <w:r w:rsidR="000D6F83" w:rsidRPr="000D6F83">
        <w:rPr>
          <w:lang w:val="fr-CH"/>
        </w:rPr>
        <w:t> </w:t>
      </w:r>
      <w:r w:rsidR="000D6F83" w:rsidRPr="000D6F83">
        <w:t>пункт</w:t>
      </w:r>
      <w:r w:rsidR="000D6F83" w:rsidRPr="000D6F83">
        <w:rPr>
          <w:lang w:val="fr-CH"/>
        </w:rPr>
        <w:t> </w:t>
      </w:r>
      <w:r w:rsidR="000D6F83" w:rsidRPr="000D6F83">
        <w:t xml:space="preserve">9.3.9.2.2 настоящего приложения) осушитель для проб позволяет поддерживать влажность </w:t>
      </w:r>
      <w:r w:rsidR="000D6F83" w:rsidRPr="000D6F83">
        <w:rPr>
          <w:lang w:val="fr-CH"/>
        </w:rPr>
        <w:t>CLD</w:t>
      </w:r>
      <w:r w:rsidR="000D6F83" w:rsidRPr="000D6F83">
        <w:t xml:space="preserve"> на уровне </w:t>
      </w:r>
      <w:r w:rsidR="000D6F83" w:rsidRPr="000D6F83">
        <w:rPr>
          <w:lang w:val="fr-CH"/>
        </w:rPr>
        <w:sym w:font="Symbol" w:char="F0A3"/>
      </w:r>
      <w:r w:rsidR="000D6F83" w:rsidRPr="000D6F83">
        <w:t xml:space="preserve">5 г воды/кг сухого воздуха (или приблизительно 0,8% по объему </w:t>
      </w:r>
      <w:r w:rsidR="000D6F83" w:rsidRPr="000D6F83">
        <w:rPr>
          <w:lang w:val="fr-CH"/>
        </w:rPr>
        <w:t>H</w:t>
      </w:r>
      <w:r w:rsidR="000D6F83" w:rsidRPr="000D6F83">
        <w:rPr>
          <w:vertAlign w:val="subscript"/>
        </w:rPr>
        <w:t>2</w:t>
      </w:r>
      <w:r w:rsidR="000D6F83" w:rsidRPr="000D6F83">
        <w:rPr>
          <w:lang w:val="fr-CH"/>
        </w:rPr>
        <w:t>O</w:t>
      </w:r>
      <w:r w:rsidR="000D6F83" w:rsidRPr="000D6F83">
        <w:t>), что соответствует относительной влажности 100% при 3,9</w:t>
      </w:r>
      <w:r w:rsidR="000D6F83" w:rsidRPr="000D6F83">
        <w:rPr>
          <w:lang w:val="fr-CH"/>
        </w:rPr>
        <w:t> </w:t>
      </w:r>
      <w:r w:rsidR="000D6F83" w:rsidRPr="000D6F83">
        <w:t>°</w:t>
      </w:r>
      <w:r w:rsidR="000D6F83" w:rsidRPr="000D6F83">
        <w:rPr>
          <w:lang w:val="fr-CH"/>
        </w:rPr>
        <w:t>C</w:t>
      </w:r>
      <w:r w:rsidR="000D6F83" w:rsidRPr="000D6F83">
        <w:t xml:space="preserve"> и 101,3 кПа. Данный показатель влажности также эквивалентен относительной влажности примерно 25% при 25 °</w:t>
      </w:r>
      <w:r w:rsidR="000D6F83" w:rsidRPr="000D6F83">
        <w:rPr>
          <w:lang w:val="fr-CH"/>
        </w:rPr>
        <w:t>C</w:t>
      </w:r>
      <w:r w:rsidR="000D6F83" w:rsidRPr="000D6F83">
        <w:t xml:space="preserve"> и 101,3 кПа. Это можно подтвердить путем замера температуры на выходе термического влагопоглотителя или путем измерения влажности в точке непосредственно перед </w:t>
      </w:r>
      <w:r w:rsidR="000D6F83" w:rsidRPr="000D6F83">
        <w:rPr>
          <w:lang w:val="fr-CH"/>
        </w:rPr>
        <w:t>CLD</w:t>
      </w:r>
      <w:r w:rsidR="000D6F83" w:rsidRPr="000D6F83">
        <w:t xml:space="preserve">. Влажность отработавших газов, проходящих через </w:t>
      </w:r>
      <w:r w:rsidR="000D6F83" w:rsidRPr="000D6F83">
        <w:rPr>
          <w:lang w:val="fr-CH"/>
        </w:rPr>
        <w:t>CLD</w:t>
      </w:r>
      <w:r w:rsidR="000D6F83" w:rsidRPr="000D6F83">
        <w:t xml:space="preserve">, можно также измерить в том случае, если в </w:t>
      </w:r>
      <w:r w:rsidR="000D6F83" w:rsidRPr="000D6F83">
        <w:rPr>
          <w:lang w:val="fr-CH"/>
        </w:rPr>
        <w:t>CLD</w:t>
      </w:r>
      <w:r w:rsidR="000D6F83" w:rsidRPr="000D6F83">
        <w:t xml:space="preserve"> поступает только поток из влагопоглотителя</w:t>
      </w:r>
      <w:r w:rsidR="00BD3C7D">
        <w:t>»</w:t>
      </w:r>
      <w:r w:rsidR="000D6F83" w:rsidRPr="000D6F83">
        <w:t>.</w:t>
      </w:r>
    </w:p>
    <w:p w:rsidR="000D6F83" w:rsidRPr="000D6F83" w:rsidRDefault="000D6F83" w:rsidP="000D6F83">
      <w:pPr>
        <w:pStyle w:val="SingleTxtGR"/>
      </w:pPr>
      <w:r w:rsidRPr="000D6F83">
        <w:rPr>
          <w:i/>
          <w:iCs/>
        </w:rPr>
        <w:t xml:space="preserve">Приложение </w:t>
      </w:r>
      <w:r w:rsidRPr="000D6F83">
        <w:rPr>
          <w:i/>
        </w:rPr>
        <w:t>4</w:t>
      </w:r>
      <w:r w:rsidRPr="000D6F83">
        <w:rPr>
          <w:i/>
          <w:lang w:val="fr-CH"/>
        </w:rPr>
        <w:t>B</w:t>
      </w:r>
      <w:r w:rsidRPr="000D6F83">
        <w:rPr>
          <w:i/>
        </w:rPr>
        <w:t xml:space="preserve">, </w:t>
      </w:r>
      <w:r w:rsidRPr="000D6F83">
        <w:rPr>
          <w:i/>
          <w:iCs/>
        </w:rPr>
        <w:t xml:space="preserve">пункт </w:t>
      </w:r>
      <w:r w:rsidRPr="000D6F83">
        <w:rPr>
          <w:i/>
        </w:rPr>
        <w:t>9.4.2</w:t>
      </w:r>
      <w:r w:rsidRPr="000D6F83">
        <w:t xml:space="preserve"> изменить следующим образом:</w:t>
      </w:r>
    </w:p>
    <w:p w:rsidR="000D6F83" w:rsidRPr="000D6F83" w:rsidRDefault="00BD3C7D" w:rsidP="00222345">
      <w:pPr>
        <w:pStyle w:val="SingleTxtGR"/>
        <w:tabs>
          <w:tab w:val="clear" w:pos="1701"/>
        </w:tabs>
        <w:ind w:left="2268" w:hanging="1134"/>
      </w:pPr>
      <w:r>
        <w:t>«</w:t>
      </w:r>
      <w:r w:rsidR="000D6F83" w:rsidRPr="000D6F83">
        <w:t>9.4.2</w:t>
      </w:r>
      <w:r w:rsidR="000D6F83" w:rsidRPr="000D6F83">
        <w:tab/>
        <w:t>Общие требования к системе разбавления</w:t>
      </w:r>
    </w:p>
    <w:p w:rsidR="000D6F83" w:rsidRPr="000D6F83" w:rsidRDefault="000D6F83" w:rsidP="00222345">
      <w:pPr>
        <w:pStyle w:val="SingleTxtGR"/>
        <w:tabs>
          <w:tab w:val="clear" w:pos="1701"/>
        </w:tabs>
        <w:ind w:left="2268" w:hanging="1134"/>
      </w:pPr>
      <w:r w:rsidRPr="000D6F83">
        <w:tab/>
        <w:t>Для определения содержания взвешенных частиц необходимо произвести разбавление пробы с помощью отфильтрованного окружающего воздуха, синтетического воздуха или азота (разбавителя). Система разбавления должна быть отрегулирована таким образом, чтобы:</w:t>
      </w:r>
    </w:p>
    <w:p w:rsidR="000D6F83" w:rsidRPr="000D6F83" w:rsidRDefault="000D6F83" w:rsidP="00CF6721">
      <w:pPr>
        <w:pStyle w:val="SingleTxtGR"/>
        <w:tabs>
          <w:tab w:val="clear" w:pos="1701"/>
        </w:tabs>
        <w:ind w:left="2835" w:hanging="1701"/>
      </w:pPr>
      <w:r w:rsidRPr="000D6F83">
        <w:tab/>
        <w:t>а)</w:t>
      </w:r>
      <w:r w:rsidRPr="000D6F83">
        <w:tab/>
        <w:t>полностью устранить конденсацию воды в системах разбавления и отбора проб;</w:t>
      </w:r>
    </w:p>
    <w:p w:rsidR="000D6F83" w:rsidRPr="000D6F83" w:rsidRDefault="000D6F83" w:rsidP="00CF6721">
      <w:pPr>
        <w:pStyle w:val="SingleTxtGR"/>
        <w:tabs>
          <w:tab w:val="clear" w:pos="1701"/>
        </w:tabs>
        <w:ind w:left="2835" w:hanging="1701"/>
      </w:pPr>
      <w:r w:rsidRPr="000D6F83">
        <w:tab/>
        <w:t>b)</w:t>
      </w:r>
      <w:r w:rsidRPr="000D6F83">
        <w:tab/>
        <w:t>поддерживать температуру разбавленных отработавших газов в диапазоне 315 К (42 °C) − 325 К (52 °C) в пределах 20</w:t>
      </w:r>
      <w:r w:rsidRPr="000D6F83">
        <w:rPr>
          <w:lang w:val="en-US"/>
        </w:rPr>
        <w:t> </w:t>
      </w:r>
      <w:r w:rsidRPr="000D6F83">
        <w:t>см перед фильтродержателем(ями) или после него (них);</w:t>
      </w:r>
    </w:p>
    <w:p w:rsidR="000D6F83" w:rsidRPr="000D6F83" w:rsidRDefault="000D6F83" w:rsidP="00CF6721">
      <w:pPr>
        <w:pStyle w:val="SingleTxtGR"/>
        <w:tabs>
          <w:tab w:val="clear" w:pos="1701"/>
        </w:tabs>
        <w:ind w:left="2835" w:hanging="1701"/>
      </w:pPr>
      <w:r w:rsidRPr="000D6F83">
        <w:tab/>
        <w:t>с)</w:t>
      </w:r>
      <w:r w:rsidRPr="000D6F83">
        <w:tab/>
        <w:t>температура разбавителя составляла 293</w:t>
      </w:r>
      <w:r w:rsidRPr="000D6F83">
        <w:rPr>
          <w:lang w:val="en-US"/>
        </w:rPr>
        <w:t> </w:t>
      </w:r>
      <w:r w:rsidRPr="000D6F83">
        <w:t>К − 325</w:t>
      </w:r>
      <w:r w:rsidRPr="000D6F83">
        <w:rPr>
          <w:lang w:val="en-US"/>
        </w:rPr>
        <w:t> </w:t>
      </w:r>
      <w:r w:rsidRPr="000D6F83">
        <w:t>К (20 °C −  52 °C) в непосредственной близости от входа в смесительный канал;</w:t>
      </w:r>
    </w:p>
    <w:p w:rsidR="000D6F83" w:rsidRPr="000D6F83" w:rsidRDefault="000D6F83" w:rsidP="00CF6721">
      <w:pPr>
        <w:pStyle w:val="SingleTxtGR"/>
        <w:tabs>
          <w:tab w:val="clear" w:pos="1701"/>
        </w:tabs>
        <w:ind w:left="2835" w:hanging="1701"/>
      </w:pPr>
      <w:r w:rsidRPr="000D6F83">
        <w:tab/>
        <w:t>d)</w:t>
      </w:r>
      <w:r w:rsidRPr="000D6F83">
        <w:tab/>
        <w:t>минимальный коэффициент разбавления составлял в пределах 5:1−7:1 и по меньшей мере 2:1 на этапе разбавления пер</w:t>
      </w:r>
      <w:r w:rsidRPr="000D6F83">
        <w:lastRenderedPageBreak/>
        <w:t>вичных газов с учетом максимального расхода отработавших газов, выбрасываемых двигателем;</w:t>
      </w:r>
    </w:p>
    <w:p w:rsidR="000D6F83" w:rsidRPr="000D6F83" w:rsidRDefault="000D6F83" w:rsidP="00CF6721">
      <w:pPr>
        <w:pStyle w:val="SingleTxtGR"/>
        <w:tabs>
          <w:tab w:val="clear" w:pos="1701"/>
        </w:tabs>
        <w:ind w:left="2835" w:hanging="1701"/>
      </w:pPr>
      <w:r w:rsidRPr="000D6F83">
        <w:tab/>
        <w:t>е)</w:t>
      </w:r>
      <w:r w:rsidRPr="000D6F83">
        <w:tab/>
        <w:t>в случае системы с частичным разбавлением потока время прохождения через систему от точки ввода разбавителя до фильтродержателя(ей) составляло 0,5−5</w:t>
      </w:r>
      <w:r w:rsidRPr="000D6F83">
        <w:rPr>
          <w:lang w:val="en-US"/>
        </w:rPr>
        <w:t> </w:t>
      </w:r>
      <w:r w:rsidRPr="000D6F83">
        <w:t>секунд;</w:t>
      </w:r>
    </w:p>
    <w:p w:rsidR="000D6F83" w:rsidRPr="000D6F83" w:rsidRDefault="000D6F83" w:rsidP="00CF6721">
      <w:pPr>
        <w:pStyle w:val="SingleTxtGR"/>
        <w:tabs>
          <w:tab w:val="clear" w:pos="1701"/>
        </w:tabs>
        <w:ind w:left="2835" w:hanging="1701"/>
      </w:pPr>
      <w:r w:rsidRPr="000D6F83">
        <w:tab/>
        <w:t>f)</w:t>
      </w:r>
      <w:r w:rsidRPr="000D6F83">
        <w:tab/>
        <w:t>в случае системы с полным разбавлением потока общее время прохождения через систему от точки ввода разбавителя до фильтродержателя(ей) составляло 1−5 секунд, а время прохождения через вторичную систему разбавления, если она используется, от точки ввода разбавителя до фильтродержателя(ей) составляло не менее 0,5 секунды.</w:t>
      </w:r>
    </w:p>
    <w:p w:rsidR="000D6F83" w:rsidRPr="000D6F83" w:rsidRDefault="00CF6721" w:rsidP="00222345">
      <w:pPr>
        <w:pStyle w:val="SingleTxtGR"/>
        <w:tabs>
          <w:tab w:val="clear" w:pos="1701"/>
        </w:tabs>
        <w:ind w:left="2268" w:hanging="1134"/>
      </w:pPr>
      <w:r>
        <w:tab/>
      </w:r>
      <w:r w:rsidR="000D6F83" w:rsidRPr="000D6F83">
        <w:t>Допускается осушение разбавителя перед входом в систему разбавления, причем к осушению целесообразно прибегать, в частности, в том случае, когда разбавитель имеет высокую влажность</w:t>
      </w:r>
      <w:r w:rsidR="00BD3C7D">
        <w:t>»</w:t>
      </w:r>
      <w:r w:rsidR="000D6F83" w:rsidRPr="000D6F83">
        <w:t>.</w:t>
      </w:r>
    </w:p>
    <w:p w:rsidR="000D6F83" w:rsidRPr="000D6F83" w:rsidRDefault="000D6F83" w:rsidP="000D6F83">
      <w:pPr>
        <w:pStyle w:val="SingleTxtGR"/>
      </w:pPr>
      <w:r w:rsidRPr="000D6F83">
        <w:rPr>
          <w:i/>
          <w:iCs/>
        </w:rPr>
        <w:t xml:space="preserve">Приложение </w:t>
      </w:r>
      <w:r w:rsidRPr="000D6F83">
        <w:rPr>
          <w:i/>
        </w:rPr>
        <w:t>4</w:t>
      </w:r>
      <w:r w:rsidRPr="000D6F83">
        <w:rPr>
          <w:i/>
          <w:lang w:val="fr-CH"/>
        </w:rPr>
        <w:t>B</w:t>
      </w:r>
      <w:r w:rsidRPr="000D6F83">
        <w:rPr>
          <w:i/>
        </w:rPr>
        <w:t xml:space="preserve">, </w:t>
      </w:r>
      <w:r w:rsidRPr="000D6F83">
        <w:rPr>
          <w:i/>
          <w:iCs/>
        </w:rPr>
        <w:t xml:space="preserve">пункт </w:t>
      </w:r>
      <w:r w:rsidRPr="000D6F83">
        <w:rPr>
          <w:i/>
        </w:rPr>
        <w:t>9.5.5</w:t>
      </w:r>
      <w:r w:rsidRPr="000D6F83">
        <w:t xml:space="preserve"> изменить следующим образом:</w:t>
      </w:r>
    </w:p>
    <w:p w:rsidR="000D6F83" w:rsidRPr="000D6F83" w:rsidRDefault="00BD3C7D" w:rsidP="00222345">
      <w:pPr>
        <w:pStyle w:val="SingleTxtGR"/>
        <w:tabs>
          <w:tab w:val="clear" w:pos="1701"/>
        </w:tabs>
      </w:pPr>
      <w:r>
        <w:t>«</w:t>
      </w:r>
      <w:r w:rsidR="000D6F83" w:rsidRPr="000D6F83">
        <w:t>9.5.5</w:t>
      </w:r>
      <w:r w:rsidR="000D6F83" w:rsidRPr="000D6F83">
        <w:tab/>
        <w:t>Общая проверка системы</w:t>
      </w:r>
    </w:p>
    <w:p w:rsidR="000D6F83" w:rsidRPr="000D6F83" w:rsidRDefault="00222345" w:rsidP="00222345">
      <w:pPr>
        <w:pStyle w:val="SingleTxtGR"/>
        <w:tabs>
          <w:tab w:val="clear" w:pos="1701"/>
        </w:tabs>
        <w:ind w:left="2268" w:hanging="1134"/>
      </w:pPr>
      <w:r>
        <w:tab/>
      </w:r>
      <w:r w:rsidR="000D6F83" w:rsidRPr="000D6F83">
        <w:t xml:space="preserve">Суммарная погрешность системы отбора проб </w:t>
      </w:r>
      <w:r w:rsidR="000D6F83" w:rsidRPr="000D6F83">
        <w:rPr>
          <w:lang w:val="fr-CH"/>
        </w:rPr>
        <w:t>CVS</w:t>
      </w:r>
      <w:r w:rsidR="000D6F83" w:rsidRPr="000D6F83">
        <w:t xml:space="preserve"> и аналитической системы определяют путем введения известной массы загрязняющего газа в систему во время ее работы в нормальном режиме. Загрязняющее вещество подвергают анализу, и его массу рассчитывают в соответствии с пунктом</w:t>
      </w:r>
      <w:r w:rsidR="000D6F83" w:rsidRPr="000D6F83">
        <w:rPr>
          <w:lang w:val="fr-CH"/>
        </w:rPr>
        <w:t> </w:t>
      </w:r>
      <w:r w:rsidR="000D6F83" w:rsidRPr="000D6F83">
        <w:t>8.5.2.3 настоящего приложения, за исключением случая пропана, когда для НС вместо </w:t>
      </w:r>
      <w:r w:rsidR="000D6F83" w:rsidRPr="000D6F83">
        <w:rPr>
          <w:bCs/>
        </w:rPr>
        <w:t>0,000483</w:t>
      </w:r>
      <w:r w:rsidR="000D6F83" w:rsidRPr="000D6F83">
        <w:t xml:space="preserve"> используется коэффициент </w:t>
      </w:r>
      <w:r w:rsidR="000D6F83" w:rsidRPr="000D6F83">
        <w:rPr>
          <w:iCs/>
          <w:lang w:val="fr-CH"/>
        </w:rPr>
        <w:t>u</w:t>
      </w:r>
      <w:r w:rsidR="000D6F83" w:rsidRPr="000D6F83">
        <w:t>, который принимается равным </w:t>
      </w:r>
      <w:r w:rsidR="000D6F83" w:rsidRPr="000D6F83">
        <w:rPr>
          <w:bCs/>
        </w:rPr>
        <w:t>0,000507</w:t>
      </w:r>
      <w:r w:rsidR="000D6F83" w:rsidRPr="000D6F83">
        <w:t>. При</w:t>
      </w:r>
      <w:r w:rsidR="000D6F83" w:rsidRPr="000D6F83">
        <w:rPr>
          <w:lang w:val="fr-CH"/>
        </w:rPr>
        <w:t> </w:t>
      </w:r>
      <w:r w:rsidR="000D6F83" w:rsidRPr="000D6F83">
        <w:t>этом используют один из следующих двух методов</w:t>
      </w:r>
      <w:r w:rsidR="00BD3C7D">
        <w:t>»</w:t>
      </w:r>
      <w:r w:rsidR="000D6F83" w:rsidRPr="000D6F83">
        <w:t>.</w:t>
      </w:r>
    </w:p>
    <w:p w:rsidR="000D6F83" w:rsidRPr="000D6F83" w:rsidRDefault="000D6F83" w:rsidP="000D6F83">
      <w:pPr>
        <w:pStyle w:val="SingleTxtGR"/>
      </w:pPr>
      <w:r w:rsidRPr="000D6F83">
        <w:rPr>
          <w:i/>
          <w:iCs/>
        </w:rPr>
        <w:t xml:space="preserve">Приложение </w:t>
      </w:r>
      <w:r w:rsidRPr="000D6F83">
        <w:rPr>
          <w:i/>
        </w:rPr>
        <w:t>4</w:t>
      </w:r>
      <w:r w:rsidRPr="000D6F83">
        <w:rPr>
          <w:i/>
          <w:lang w:val="fr-CH"/>
        </w:rPr>
        <w:t>B</w:t>
      </w:r>
      <w:r w:rsidRPr="000D6F83">
        <w:rPr>
          <w:i/>
        </w:rPr>
        <w:t xml:space="preserve">, </w:t>
      </w:r>
      <w:r w:rsidRPr="000D6F83">
        <w:rPr>
          <w:i/>
          <w:iCs/>
        </w:rPr>
        <w:t xml:space="preserve">добавление </w:t>
      </w:r>
      <w:r w:rsidRPr="000D6F83">
        <w:rPr>
          <w:i/>
        </w:rPr>
        <w:t xml:space="preserve">4, </w:t>
      </w:r>
      <w:r w:rsidRPr="000D6F83">
        <w:rPr>
          <w:i/>
          <w:iCs/>
        </w:rPr>
        <w:t xml:space="preserve">пункт </w:t>
      </w:r>
      <w:r w:rsidRPr="000D6F83">
        <w:rPr>
          <w:i/>
          <w:lang w:val="fr-CH"/>
        </w:rPr>
        <w:t>A</w:t>
      </w:r>
      <w:r w:rsidRPr="000D6F83">
        <w:rPr>
          <w:i/>
        </w:rPr>
        <w:t xml:space="preserve">.4.2 </w:t>
      </w:r>
      <w:r w:rsidRPr="000D6F83">
        <w:t>изменить следующим образом:</w:t>
      </w:r>
    </w:p>
    <w:p w:rsidR="000D6F83" w:rsidRPr="000D6F83" w:rsidRDefault="00BD3C7D" w:rsidP="000D6F83">
      <w:pPr>
        <w:pStyle w:val="SingleTxtGR"/>
      </w:pPr>
      <w:r>
        <w:t>«</w:t>
      </w:r>
      <w:r w:rsidR="000D6F83" w:rsidRPr="000D6F83">
        <w:rPr>
          <w:lang w:val="fr-CH"/>
        </w:rPr>
        <w:t>A</w:t>
      </w:r>
      <w:r w:rsidR="000D6F83" w:rsidRPr="000D6F83">
        <w:t>.4.2</w:t>
      </w:r>
      <w:r w:rsidR="000D6F83" w:rsidRPr="000D6F83">
        <w:tab/>
        <w:t>Регрессионный анализ</w:t>
      </w:r>
    </w:p>
    <w:p w:rsidR="008C6AFA" w:rsidRPr="000D6F83" w:rsidRDefault="000D6F83" w:rsidP="000D6F83">
      <w:pPr>
        <w:pStyle w:val="SingleTxtGR"/>
      </w:pPr>
      <w:r w:rsidRPr="000D6F83">
        <w:tab/>
      </w:r>
      <w:r w:rsidRPr="000D6F83">
        <w:tab/>
        <w:t>Наклон линии регрессии рассчитывают следующим образом:</w:t>
      </w:r>
    </w:p>
    <w:p w:rsidR="000D6F83" w:rsidRDefault="000D6F83" w:rsidP="002E0085">
      <w:pPr>
        <w:pStyle w:val="SingleTxtGR"/>
        <w:tabs>
          <w:tab w:val="right" w:pos="8505"/>
        </w:tabs>
        <w:ind w:left="2268"/>
      </w:pPr>
      <w:r w:rsidRPr="004F4143">
        <w:rPr>
          <w:noProof/>
          <w:lang w:val="en-GB" w:eastAsia="en-GB"/>
        </w:rPr>
        <w:drawing>
          <wp:inline distT="0" distB="0" distL="0" distR="0" wp14:anchorId="4C4300EC" wp14:editId="41872A03">
            <wp:extent cx="1500505" cy="838200"/>
            <wp:effectExtent l="0" t="0" r="4445" b="0"/>
            <wp:docPr id="33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085">
        <w:t>.</w:t>
      </w:r>
      <w:r>
        <w:tab/>
      </w:r>
      <w:r w:rsidRPr="00EA385E">
        <w:t>(94)</w:t>
      </w:r>
    </w:p>
    <w:p w:rsidR="000D6F83" w:rsidRDefault="00222345" w:rsidP="00222345">
      <w:pPr>
        <w:pStyle w:val="SingleTxtGR"/>
        <w:tabs>
          <w:tab w:val="clear" w:pos="1701"/>
        </w:tabs>
        <w:ind w:left="2268" w:hanging="1134"/>
      </w:pPr>
      <w:r>
        <w:tab/>
      </w:r>
      <w:r w:rsidR="002E0085" w:rsidRPr="002E0085">
        <w:t xml:space="preserve">Значение, отсекаемое на оси </w:t>
      </w:r>
      <w:r w:rsidR="002E0085" w:rsidRPr="002E0085">
        <w:rPr>
          <w:lang w:val="en-US"/>
        </w:rPr>
        <w:t>y</w:t>
      </w:r>
      <w:r w:rsidR="002E0085" w:rsidRPr="002E0085">
        <w:t xml:space="preserve"> линией регрессии, рассчитывают следующим образом:</w:t>
      </w:r>
    </w:p>
    <w:p w:rsidR="000D6F83" w:rsidRDefault="000D6F83" w:rsidP="002E0085">
      <w:pPr>
        <w:pStyle w:val="SingleTxtGR"/>
        <w:tabs>
          <w:tab w:val="right" w:pos="8505"/>
        </w:tabs>
        <w:ind w:left="2268"/>
      </w:pPr>
      <w:r w:rsidRPr="004F4143">
        <w:rPr>
          <w:noProof/>
          <w:lang w:val="en-GB" w:eastAsia="en-GB"/>
        </w:rPr>
        <w:drawing>
          <wp:inline distT="0" distB="0" distL="0" distR="0" wp14:anchorId="6C0777C2" wp14:editId="758A3985">
            <wp:extent cx="952520" cy="246491"/>
            <wp:effectExtent l="0" t="0" r="0" b="1270"/>
            <wp:docPr id="4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92" cy="2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085">
        <w:t xml:space="preserve"> .</w:t>
      </w:r>
      <w:r>
        <w:tab/>
      </w:r>
      <w:r>
        <w:tab/>
        <w:t>(95)</w:t>
      </w:r>
    </w:p>
    <w:p w:rsidR="000D6F83" w:rsidRPr="000D6F83" w:rsidRDefault="00222345" w:rsidP="00222345">
      <w:pPr>
        <w:pStyle w:val="SingleTxtGR"/>
        <w:tabs>
          <w:tab w:val="clear" w:pos="1701"/>
        </w:tabs>
        <w:ind w:left="2268" w:hanging="1134"/>
      </w:pPr>
      <w:r>
        <w:tab/>
      </w:r>
      <w:r w:rsidR="002E0085" w:rsidRPr="002E0085">
        <w:t>Стандартную погрешность оценки (СПО) рассчитывают следующим образом:</w:t>
      </w:r>
    </w:p>
    <w:p w:rsidR="000D6F83" w:rsidRPr="00371FED" w:rsidRDefault="000D6F83" w:rsidP="002E0085">
      <w:pPr>
        <w:tabs>
          <w:tab w:val="left" w:pos="2268"/>
          <w:tab w:val="right" w:pos="8505"/>
        </w:tabs>
        <w:spacing w:after="120"/>
        <w:ind w:firstLine="2268"/>
        <w:rPr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SEE</m:t>
        </m:r>
        <m:r>
          <w:rPr>
            <w:rFonts w:ascii="Cambria Math" w:hAnsi="Cambria Math"/>
            <w:sz w:val="28"/>
            <w:szCs w:val="28"/>
            <w:lang w:val="sv-SE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sv-SE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sv-SE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sv-SE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sv-SE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sv-SE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sv-SE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sv-SE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sv-SE"/>
                              </w:rPr>
                              <m:t>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sv-SE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sv-SE"/>
                  </w:rPr>
                  <m:t>-2</m:t>
                </m:r>
              </m:den>
            </m:f>
          </m:e>
        </m:rad>
      </m:oMath>
      <w:r w:rsidR="002E0085">
        <w:rPr>
          <w:iCs/>
          <w:sz w:val="28"/>
          <w:szCs w:val="28"/>
        </w:rPr>
        <w:t xml:space="preserve"> </w:t>
      </w:r>
      <w:r w:rsidR="002E0085" w:rsidRPr="0047267E">
        <w:rPr>
          <w:iCs/>
          <w:szCs w:val="20"/>
        </w:rPr>
        <w:t>.</w:t>
      </w:r>
      <w:r w:rsidRPr="002E0085">
        <w:tab/>
      </w:r>
      <w:r w:rsidRPr="00371FED">
        <w:rPr>
          <w:lang w:val="en-US"/>
        </w:rPr>
        <w:t>(96)</w:t>
      </w:r>
    </w:p>
    <w:p w:rsidR="002E0085" w:rsidRPr="002E0085" w:rsidRDefault="00222345" w:rsidP="00222345">
      <w:pPr>
        <w:pStyle w:val="SingleTxtGR"/>
        <w:tabs>
          <w:tab w:val="clear" w:pos="1701"/>
        </w:tabs>
        <w:ind w:left="2268" w:hanging="1134"/>
      </w:pPr>
      <w:r>
        <w:tab/>
      </w:r>
      <w:r w:rsidR="002E0085" w:rsidRPr="002E0085">
        <w:t>Коэффициент смешанной корреляции рассчитывают следующим образом:</w:t>
      </w:r>
    </w:p>
    <w:p w:rsidR="000D6F83" w:rsidRDefault="000D6F83" w:rsidP="002E0085">
      <w:pPr>
        <w:tabs>
          <w:tab w:val="left" w:pos="2268"/>
          <w:tab w:val="right" w:pos="8505"/>
        </w:tabs>
        <w:spacing w:after="120"/>
        <w:ind w:firstLine="2268"/>
      </w:pPr>
      <w:r w:rsidRPr="004F4143">
        <w:rPr>
          <w:noProof/>
          <w:lang w:val="en-GB" w:eastAsia="en-GB"/>
        </w:rPr>
        <w:drawing>
          <wp:inline distT="0" distB="0" distL="0" distR="0" wp14:anchorId="01919526" wp14:editId="491374D2">
            <wp:extent cx="1891030" cy="881380"/>
            <wp:effectExtent l="0" t="0" r="0" b="0"/>
            <wp:docPr id="3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085">
        <w:t>.</w:t>
      </w:r>
      <w:r>
        <w:tab/>
      </w:r>
      <w:r w:rsidR="00BD3C7D">
        <w:t>(97)»</w:t>
      </w:r>
    </w:p>
    <w:p w:rsidR="000D6F83" w:rsidRPr="002E0085" w:rsidRDefault="002E0085" w:rsidP="002E008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6F83" w:rsidRPr="002E0085" w:rsidSect="002C160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E3" w:rsidRPr="00A312BC" w:rsidRDefault="001B68E3" w:rsidP="00A312BC"/>
  </w:endnote>
  <w:endnote w:type="continuationSeparator" w:id="0">
    <w:p w:rsidR="001B68E3" w:rsidRPr="00A312BC" w:rsidRDefault="001B68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0C" w:rsidRPr="002C160C" w:rsidRDefault="002C160C">
    <w:pPr>
      <w:pStyle w:val="Footer"/>
    </w:pPr>
    <w:r w:rsidRPr="002C160C">
      <w:rPr>
        <w:b/>
        <w:sz w:val="18"/>
      </w:rPr>
      <w:fldChar w:fldCharType="begin"/>
    </w:r>
    <w:r w:rsidRPr="002C160C">
      <w:rPr>
        <w:b/>
        <w:sz w:val="18"/>
      </w:rPr>
      <w:instrText xml:space="preserve"> PAGE  \* MERGEFORMAT </w:instrText>
    </w:r>
    <w:r w:rsidRPr="002C160C">
      <w:rPr>
        <w:b/>
        <w:sz w:val="18"/>
      </w:rPr>
      <w:fldChar w:fldCharType="separate"/>
    </w:r>
    <w:r w:rsidR="00CB49FD">
      <w:rPr>
        <w:b/>
        <w:noProof/>
        <w:sz w:val="18"/>
      </w:rPr>
      <w:t>2</w:t>
    </w:r>
    <w:r w:rsidRPr="002C160C">
      <w:rPr>
        <w:b/>
        <w:sz w:val="18"/>
      </w:rPr>
      <w:fldChar w:fldCharType="end"/>
    </w:r>
    <w:r>
      <w:rPr>
        <w:b/>
        <w:sz w:val="18"/>
      </w:rPr>
      <w:tab/>
    </w:r>
    <w:r>
      <w:t>GE.17-14741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0C" w:rsidRPr="002C160C" w:rsidRDefault="002C160C" w:rsidP="002C160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GE.17-14741</w:t>
    </w:r>
    <w:r>
      <w:tab/>
    </w:r>
    <w:r w:rsidRPr="002C160C">
      <w:rPr>
        <w:b/>
        <w:sz w:val="18"/>
      </w:rPr>
      <w:fldChar w:fldCharType="begin"/>
    </w:r>
    <w:r w:rsidRPr="002C160C">
      <w:rPr>
        <w:b/>
        <w:sz w:val="18"/>
      </w:rPr>
      <w:instrText xml:space="preserve"> PAGE  \* MERGEFORMAT </w:instrText>
    </w:r>
    <w:r w:rsidRPr="002C160C">
      <w:rPr>
        <w:b/>
        <w:sz w:val="18"/>
      </w:rPr>
      <w:fldChar w:fldCharType="separate"/>
    </w:r>
    <w:r w:rsidR="00CB49FD">
      <w:rPr>
        <w:b/>
        <w:noProof/>
        <w:sz w:val="18"/>
      </w:rPr>
      <w:t>3</w:t>
    </w:r>
    <w:r w:rsidRPr="002C16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C160C" w:rsidRDefault="002C160C" w:rsidP="002C160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6539E30" wp14:editId="50E8489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17-14741  (R)</w:t>
    </w:r>
    <w:r w:rsidR="00BD3C7D">
      <w:t xml:space="preserve">  110917  1</w:t>
    </w:r>
    <w:r w:rsidR="00EA385E">
      <w:rPr>
        <w:lang w:val="en-US"/>
      </w:rPr>
      <w:t>3</w:t>
    </w:r>
    <w:r w:rsidR="00BD3C7D">
      <w:t>0917</w:t>
    </w:r>
    <w:r>
      <w:br/>
    </w:r>
    <w:r w:rsidRPr="002C160C">
      <w:rPr>
        <w:rFonts w:ascii="C39T30Lfz" w:hAnsi="C39T30Lfz"/>
        <w:spacing w:val="0"/>
        <w:w w:val="100"/>
        <w:sz w:val="56"/>
      </w:rPr>
      <w:t></w:t>
    </w:r>
    <w:r w:rsidRPr="002C160C">
      <w:rPr>
        <w:rFonts w:ascii="C39T30Lfz" w:hAnsi="C39T30Lfz"/>
        <w:spacing w:val="0"/>
        <w:w w:val="100"/>
        <w:sz w:val="56"/>
      </w:rPr>
      <w:t></w:t>
    </w:r>
    <w:r w:rsidRPr="002C160C">
      <w:rPr>
        <w:rFonts w:ascii="C39T30Lfz" w:hAnsi="C39T30Lfz"/>
        <w:spacing w:val="0"/>
        <w:w w:val="100"/>
        <w:sz w:val="56"/>
      </w:rPr>
      <w:t></w:t>
    </w:r>
    <w:r w:rsidRPr="002C160C">
      <w:rPr>
        <w:rFonts w:ascii="C39T30Lfz" w:hAnsi="C39T30Lfz"/>
        <w:spacing w:val="0"/>
        <w:w w:val="100"/>
        <w:sz w:val="56"/>
      </w:rPr>
      <w:t></w:t>
    </w:r>
    <w:r w:rsidRPr="002C160C">
      <w:rPr>
        <w:rFonts w:ascii="C39T30Lfz" w:hAnsi="C39T30Lfz"/>
        <w:spacing w:val="0"/>
        <w:w w:val="100"/>
        <w:sz w:val="56"/>
      </w:rPr>
      <w:t></w:t>
    </w:r>
    <w:r w:rsidRPr="002C160C">
      <w:rPr>
        <w:rFonts w:ascii="C39T30Lfz" w:hAnsi="C39T30Lfz"/>
        <w:spacing w:val="0"/>
        <w:w w:val="100"/>
        <w:sz w:val="56"/>
      </w:rPr>
      <w:t></w:t>
    </w:r>
    <w:r w:rsidRPr="002C160C">
      <w:rPr>
        <w:rFonts w:ascii="C39T30Lfz" w:hAnsi="C39T30Lfz"/>
        <w:spacing w:val="0"/>
        <w:w w:val="100"/>
        <w:sz w:val="56"/>
      </w:rPr>
      <w:t></w:t>
    </w:r>
    <w:r w:rsidRPr="002C160C">
      <w:rPr>
        <w:rFonts w:ascii="C39T30Lfz" w:hAnsi="C39T30Lfz"/>
        <w:spacing w:val="0"/>
        <w:w w:val="100"/>
        <w:sz w:val="56"/>
      </w:rPr>
      <w:t></w:t>
    </w:r>
    <w:r w:rsidRPr="002C160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E3" w:rsidRPr="001075E9" w:rsidRDefault="001B68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68E3" w:rsidRDefault="001B68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6AFA" w:rsidRPr="008C6AFA" w:rsidRDefault="008C6AFA">
      <w:pPr>
        <w:pStyle w:val="FootnoteText"/>
        <w:rPr>
          <w:sz w:val="20"/>
          <w:lang w:val="en-US"/>
        </w:rPr>
      </w:pPr>
      <w:r>
        <w:tab/>
      </w:r>
      <w:r w:rsidRPr="008C6AFA">
        <w:rPr>
          <w:rStyle w:val="FootnoteReference"/>
          <w:sz w:val="20"/>
          <w:vertAlign w:val="baseline"/>
          <w:lang w:val="ru-RU"/>
        </w:rPr>
        <w:t>*</w:t>
      </w:r>
      <w:r w:rsidRPr="008C6AFA">
        <w:rPr>
          <w:rStyle w:val="FootnoteReference"/>
          <w:vertAlign w:val="baseline"/>
          <w:lang w:val="ru-RU"/>
        </w:rPr>
        <w:tab/>
      </w:r>
      <w:r w:rsidRPr="008C6AFA">
        <w:rPr>
          <w:lang w:val="ru-RU"/>
        </w:rPr>
        <w:t xml:space="preserve">В соответствии с программой работы Комитета по внутреннему транспорту </w:t>
      </w:r>
      <w:r w:rsidRPr="008C6AFA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0C" w:rsidRPr="002C160C" w:rsidRDefault="008F0F5D">
    <w:pPr>
      <w:pStyle w:val="Header"/>
    </w:pPr>
    <w:fldSimple w:instr=" TITLE  \* MERGEFORMAT ">
      <w:r w:rsidR="00CB49FD">
        <w:t>ECE/TRANS/WP.29/2017/129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0C" w:rsidRPr="002C160C" w:rsidRDefault="008F0F5D" w:rsidP="002C160C">
    <w:pPr>
      <w:pStyle w:val="Header"/>
      <w:jc w:val="right"/>
    </w:pPr>
    <w:fldSimple w:instr=" TITLE  \* MERGEFORMAT ">
      <w:r w:rsidR="00CB49FD">
        <w:t>ECE/TRANS/WP.29/2017/129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E3"/>
    <w:rsid w:val="00033EE1"/>
    <w:rsid w:val="00042B72"/>
    <w:rsid w:val="000558BD"/>
    <w:rsid w:val="000B57E7"/>
    <w:rsid w:val="000B6373"/>
    <w:rsid w:val="000D6F8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8E3"/>
    <w:rsid w:val="001C7A89"/>
    <w:rsid w:val="00222345"/>
    <w:rsid w:val="00255343"/>
    <w:rsid w:val="0027151D"/>
    <w:rsid w:val="002A2EFC"/>
    <w:rsid w:val="002B0106"/>
    <w:rsid w:val="002B74B1"/>
    <w:rsid w:val="002C0E18"/>
    <w:rsid w:val="002C160C"/>
    <w:rsid w:val="002D5AAC"/>
    <w:rsid w:val="002E0085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24CFF"/>
    <w:rsid w:val="00452493"/>
    <w:rsid w:val="00453318"/>
    <w:rsid w:val="00454AF2"/>
    <w:rsid w:val="00454E07"/>
    <w:rsid w:val="0047267E"/>
    <w:rsid w:val="00472C5C"/>
    <w:rsid w:val="004E05B7"/>
    <w:rsid w:val="0050108D"/>
    <w:rsid w:val="00513081"/>
    <w:rsid w:val="00517901"/>
    <w:rsid w:val="00521165"/>
    <w:rsid w:val="00526683"/>
    <w:rsid w:val="00533639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2ADB"/>
    <w:rsid w:val="00806737"/>
    <w:rsid w:val="00825F8D"/>
    <w:rsid w:val="00834B71"/>
    <w:rsid w:val="0086445C"/>
    <w:rsid w:val="00894693"/>
    <w:rsid w:val="008A08D7"/>
    <w:rsid w:val="008A37C8"/>
    <w:rsid w:val="008B6909"/>
    <w:rsid w:val="008C6AFA"/>
    <w:rsid w:val="008D53B6"/>
    <w:rsid w:val="008F0F5D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A0A5A"/>
    <w:rsid w:val="00AB4B51"/>
    <w:rsid w:val="00B10CC7"/>
    <w:rsid w:val="00B36DF7"/>
    <w:rsid w:val="00B37199"/>
    <w:rsid w:val="00B539E7"/>
    <w:rsid w:val="00B62458"/>
    <w:rsid w:val="00BC18B2"/>
    <w:rsid w:val="00BD33EE"/>
    <w:rsid w:val="00BD3C7D"/>
    <w:rsid w:val="00BE1CC7"/>
    <w:rsid w:val="00C106D6"/>
    <w:rsid w:val="00C119AE"/>
    <w:rsid w:val="00C60F0C"/>
    <w:rsid w:val="00C805C9"/>
    <w:rsid w:val="00C92939"/>
    <w:rsid w:val="00CA1679"/>
    <w:rsid w:val="00CB151C"/>
    <w:rsid w:val="00CB49FD"/>
    <w:rsid w:val="00CE5A1A"/>
    <w:rsid w:val="00CF4D8E"/>
    <w:rsid w:val="00CF55F6"/>
    <w:rsid w:val="00CF6721"/>
    <w:rsid w:val="00D33D63"/>
    <w:rsid w:val="00D5253A"/>
    <w:rsid w:val="00D90028"/>
    <w:rsid w:val="00D90138"/>
    <w:rsid w:val="00DD78D1"/>
    <w:rsid w:val="00DE125F"/>
    <w:rsid w:val="00DE32CD"/>
    <w:rsid w:val="00DF5767"/>
    <w:rsid w:val="00DF71B9"/>
    <w:rsid w:val="00E12C5F"/>
    <w:rsid w:val="00E73F76"/>
    <w:rsid w:val="00EA2C9F"/>
    <w:rsid w:val="00EA385E"/>
    <w:rsid w:val="00EA420E"/>
    <w:rsid w:val="00ED0BDA"/>
    <w:rsid w:val="00EE142A"/>
    <w:rsid w:val="00EF1360"/>
    <w:rsid w:val="00EF3220"/>
    <w:rsid w:val="00F2523A"/>
    <w:rsid w:val="00F43903"/>
    <w:rsid w:val="00F94155"/>
    <w:rsid w:val="00F95E73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F0FC4B-D096-4705-AD26-46AAD10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MG">
    <w:name w:val="__S_M_G"/>
    <w:basedOn w:val="Normal"/>
    <w:next w:val="Normal"/>
    <w:rsid w:val="000D6F8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character" w:customStyle="1" w:styleId="SingleTxtGR0">
    <w:name w:val="_ Single Txt_GR Знак"/>
    <w:link w:val="SingleTxtGR"/>
    <w:rsid w:val="000D6F83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3C24-61B1-4E8B-8200-88E871B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ECE/TRANS/WP.29/2017/129</vt:lpstr>
      <vt:lpstr>ECE/TRANS/WP.29/2017/129</vt:lpstr>
      <vt:lpstr>A/</vt:lpstr>
    </vt:vector>
  </TitlesOfParts>
  <Company>DCM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ECE/TRANS/WP.29/2017/129</dc:title>
  <dc:subject/>
  <dc:creator>Marina Korotkova</dc:creator>
  <cp:keywords/>
  <cp:lastModifiedBy>Marie-Claude Collet</cp:lastModifiedBy>
  <cp:revision>3</cp:revision>
  <cp:lastPrinted>2017-09-26T13:09:00Z</cp:lastPrinted>
  <dcterms:created xsi:type="dcterms:W3CDTF">2017-09-26T13:08:00Z</dcterms:created>
  <dcterms:modified xsi:type="dcterms:W3CDTF">2017-09-26T13:09:00Z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