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E2F9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DE7635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E2F93" w:rsidP="00752682">
            <w:pPr>
              <w:jc w:val="right"/>
            </w:pPr>
            <w:r w:rsidRPr="00CE2F93">
              <w:rPr>
                <w:sz w:val="40"/>
              </w:rPr>
              <w:t>ECE</w:t>
            </w:r>
            <w:r>
              <w:t>/TR</w:t>
            </w:r>
            <w:r w:rsidR="005F2AB9">
              <w:t>A</w:t>
            </w:r>
            <w:r>
              <w:t>NS/WP.29/2017/</w:t>
            </w:r>
            <w:r w:rsidR="008D5FA3">
              <w:t>11</w:t>
            </w:r>
            <w:r w:rsidR="00752682">
              <w:t>7</w:t>
            </w:r>
          </w:p>
        </w:tc>
      </w:tr>
      <w:tr w:rsidR="00F35BAF" w:rsidRPr="00DB58B5" w:rsidTr="00DE7635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DE7635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DE763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E2F93" w:rsidP="00DE7635">
            <w:pPr>
              <w:spacing w:before="240"/>
            </w:pPr>
            <w:r>
              <w:t>Distr. générale</w:t>
            </w:r>
          </w:p>
          <w:p w:rsidR="00CE2F93" w:rsidRDefault="008D5FA3" w:rsidP="00CE2F93">
            <w:pPr>
              <w:spacing w:line="240" w:lineRule="exact"/>
            </w:pPr>
            <w:r>
              <w:t>1</w:t>
            </w:r>
            <w:r w:rsidR="006E3751">
              <w:t>8</w:t>
            </w:r>
            <w:r w:rsidR="00CE2F93">
              <w:t xml:space="preserve"> </w:t>
            </w:r>
            <w:r>
              <w:t>août</w:t>
            </w:r>
            <w:r w:rsidR="00CE2F93">
              <w:t xml:space="preserve"> 201</w:t>
            </w:r>
            <w:r w:rsidR="009F3C8D">
              <w:t>7</w:t>
            </w:r>
          </w:p>
          <w:p w:rsidR="00CE2F93" w:rsidRDefault="008D5FA3" w:rsidP="00CE2F93">
            <w:pPr>
              <w:spacing w:line="240" w:lineRule="exact"/>
            </w:pPr>
            <w:r w:rsidRPr="008D5FA3">
              <w:t>Français</w:t>
            </w:r>
          </w:p>
          <w:p w:rsidR="00CE2F93" w:rsidRPr="00DB58B5" w:rsidRDefault="00305A2E" w:rsidP="006E3751">
            <w:pPr>
              <w:spacing w:line="240" w:lineRule="exact"/>
            </w:pPr>
            <w:r>
              <w:t>Original</w:t>
            </w:r>
            <w:r w:rsidR="00CE2F93">
              <w:t xml:space="preserve">: </w:t>
            </w:r>
            <w:r w:rsidR="006E3751">
              <w:t>Anglais et f</w:t>
            </w:r>
            <w:r w:rsidR="006636BD">
              <w:t>rançais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E2F93" w:rsidRPr="00CE2F93" w:rsidRDefault="00CE2F93" w:rsidP="00CE2F93">
      <w:pPr>
        <w:spacing w:before="120"/>
        <w:rPr>
          <w:b/>
          <w:sz w:val="24"/>
          <w:szCs w:val="24"/>
        </w:rPr>
      </w:pPr>
      <w:r w:rsidRPr="00CE2F9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des Règlements</w:t>
      </w:r>
      <w:r>
        <w:rPr>
          <w:b/>
          <w:sz w:val="24"/>
          <w:szCs w:val="24"/>
        </w:rPr>
        <w:br/>
      </w:r>
      <w:r w:rsidRPr="00CE2F93">
        <w:rPr>
          <w:b/>
          <w:sz w:val="24"/>
          <w:szCs w:val="24"/>
        </w:rPr>
        <w:t>concernant les véhicules</w:t>
      </w:r>
    </w:p>
    <w:p w:rsidR="00CE2F93" w:rsidRPr="006D33D9" w:rsidRDefault="00CE2F93" w:rsidP="00CE2F93">
      <w:pPr>
        <w:tabs>
          <w:tab w:val="center" w:pos="4819"/>
        </w:tabs>
        <w:spacing w:before="120"/>
        <w:rPr>
          <w:b/>
        </w:rPr>
      </w:pPr>
      <w:r>
        <w:rPr>
          <w:b/>
        </w:rPr>
        <w:t>17</w:t>
      </w:r>
      <w:r w:rsidR="009F3C8D">
        <w:rPr>
          <w:b/>
        </w:rPr>
        <w:t>3</w:t>
      </w:r>
      <w:r>
        <w:rPr>
          <w:b/>
          <w:vertAlign w:val="superscript"/>
        </w:rPr>
        <w:t>e</w:t>
      </w:r>
      <w:r>
        <w:rPr>
          <w:b/>
        </w:rPr>
        <w:t> session</w:t>
      </w:r>
    </w:p>
    <w:p w:rsidR="00CE2F93" w:rsidRPr="006D33D9" w:rsidRDefault="00DE7635" w:rsidP="00CE2F93">
      <w:r>
        <w:t>Genève, 14-17 </w:t>
      </w:r>
      <w:r w:rsidR="009F3C8D">
        <w:t>novembre</w:t>
      </w:r>
      <w:r w:rsidR="00CE2F93">
        <w:t xml:space="preserve"> 2017</w:t>
      </w:r>
    </w:p>
    <w:p w:rsidR="00CE2F93" w:rsidRPr="00AF2205" w:rsidRDefault="00CE2F93" w:rsidP="00CE2F93">
      <w:r>
        <w:t>Point 4.</w:t>
      </w:r>
      <w:r w:rsidR="008D5FA3">
        <w:t>7</w:t>
      </w:r>
      <w:r>
        <w:t>.</w:t>
      </w:r>
      <w:r w:rsidR="00752682">
        <w:t>7</w:t>
      </w:r>
      <w:r>
        <w:t xml:space="preserve"> de l’ordre du jour provisoire</w:t>
      </w:r>
    </w:p>
    <w:p w:rsidR="00CE2F93" w:rsidRPr="00AF2205" w:rsidRDefault="00305A2E" w:rsidP="00CE2F93">
      <w:pPr>
        <w:rPr>
          <w:b/>
        </w:rPr>
      </w:pPr>
      <w:r>
        <w:rPr>
          <w:b/>
        </w:rPr>
        <w:t>Accord de 1958</w:t>
      </w:r>
      <w:r w:rsidR="006E3751">
        <w:rPr>
          <w:b/>
        </w:rPr>
        <w:t>:</w:t>
      </w:r>
      <w:r w:rsidR="006E3751">
        <w:rPr>
          <w:b/>
        </w:rPr>
        <w:br/>
      </w:r>
      <w:r w:rsidR="00CE2F93">
        <w:rPr>
          <w:b/>
        </w:rPr>
        <w:t>Examen de projets d’amendements</w:t>
      </w:r>
      <w:r w:rsidR="00CE2F93">
        <w:rPr>
          <w:b/>
        </w:rPr>
        <w:br/>
        <w:t>à des Règlements existants, soumis par le GRSG</w:t>
      </w:r>
      <w:bookmarkStart w:id="0" w:name="_GoBack"/>
      <w:bookmarkEnd w:id="0"/>
    </w:p>
    <w:p w:rsidR="00CE2F93" w:rsidRPr="00A90EA8" w:rsidRDefault="00CE2F93" w:rsidP="00CE2F93">
      <w:pPr>
        <w:pStyle w:val="HChG"/>
        <w:tabs>
          <w:tab w:val="clear" w:pos="851"/>
        </w:tabs>
        <w:ind w:firstLine="0"/>
        <w:jc w:val="both"/>
      </w:pPr>
      <w:r>
        <w:t xml:space="preserve">Proposition de </w:t>
      </w:r>
      <w:r w:rsidR="009F3C8D">
        <w:t>rectificatif</w:t>
      </w:r>
      <w:r>
        <w:t xml:space="preserve"> </w:t>
      </w:r>
      <w:r w:rsidR="00752682">
        <w:t>1</w:t>
      </w:r>
      <w:r>
        <w:t xml:space="preserve"> à la </w:t>
      </w:r>
      <w:r w:rsidR="00AC048F">
        <w:t>R</w:t>
      </w:r>
      <w:r w:rsidR="009F3C8D">
        <w:t xml:space="preserve">évision </w:t>
      </w:r>
      <w:r w:rsidR="00752682">
        <w:t>4</w:t>
      </w:r>
      <w:r>
        <w:t xml:space="preserve"> </w:t>
      </w:r>
      <w:r w:rsidR="00AC048F">
        <w:t>d</w:t>
      </w:r>
      <w:r>
        <w:t xml:space="preserve">u Règlement </w:t>
      </w:r>
      <w:r w:rsidR="00732625" w:rsidRPr="00732625">
        <w:rPr>
          <w:rFonts w:eastAsia="MS Mincho"/>
        </w:rPr>
        <w:t>n</w:t>
      </w:r>
      <w:r w:rsidR="00732625" w:rsidRPr="00732625">
        <w:rPr>
          <w:rFonts w:eastAsia="MS Mincho"/>
          <w:vertAlign w:val="superscript"/>
        </w:rPr>
        <w:t>o</w:t>
      </w:r>
      <w:r w:rsidR="00732625">
        <w:rPr>
          <w:rFonts w:eastAsia="MS Mincho"/>
        </w:rPr>
        <w:t> </w:t>
      </w:r>
      <w:r>
        <w:t>43 (Vitrages de sécurité)</w:t>
      </w:r>
    </w:p>
    <w:p w:rsidR="00CE2F93" w:rsidRPr="00A90EA8" w:rsidRDefault="00CE2F93" w:rsidP="00CE2F93">
      <w:pPr>
        <w:pStyle w:val="H1G"/>
      </w:pPr>
      <w:r>
        <w:tab/>
      </w:r>
      <w:r>
        <w:tab/>
        <w:t>Communication du Groupe de travail des dispositions générales</w:t>
      </w:r>
      <w:r>
        <w:br/>
        <w:t>de sécurité</w:t>
      </w:r>
      <w:r w:rsidRPr="00BB3DAA">
        <w:rPr>
          <w:b w:val="0"/>
          <w:sz w:val="20"/>
        </w:rPr>
        <w:footnoteReference w:customMarkFollows="1" w:id="2"/>
        <w:t>*</w:t>
      </w:r>
    </w:p>
    <w:p w:rsidR="00CE2F93" w:rsidRPr="00CE2F93" w:rsidRDefault="00CE2F93" w:rsidP="00CE2F93">
      <w:pPr>
        <w:pStyle w:val="SingleTxtG"/>
        <w:ind w:firstLine="567"/>
      </w:pPr>
      <w:r w:rsidRPr="00CE2F93">
        <w:t>Le texte reproduit ci-après, adopté par le Groupe de travail des dispositions générales de sécurité (GRSG) à sa 11</w:t>
      </w:r>
      <w:r w:rsidR="009F3C8D">
        <w:t>2</w:t>
      </w:r>
      <w:r w:rsidRPr="001A33BF">
        <w:rPr>
          <w:vertAlign w:val="superscript"/>
        </w:rPr>
        <w:t>e</w:t>
      </w:r>
      <w:r w:rsidR="001A33BF">
        <w:t> </w:t>
      </w:r>
      <w:r w:rsidRPr="00CE2F93">
        <w:t>session</w:t>
      </w:r>
      <w:r>
        <w:t xml:space="preserve"> (ECE/TRANS/WP.29/GRSG/9</w:t>
      </w:r>
      <w:r w:rsidR="009F3C8D">
        <w:t>1</w:t>
      </w:r>
      <w:r>
        <w:t>, par. </w:t>
      </w:r>
      <w:r w:rsidRPr="00CE2F93">
        <w:t>1</w:t>
      </w:r>
      <w:r w:rsidR="009F3C8D">
        <w:t>3</w:t>
      </w:r>
      <w:r w:rsidRPr="00CE2F93">
        <w:t xml:space="preserve">), est fondé sur le </w:t>
      </w:r>
      <w:r w:rsidR="00AC048F">
        <w:t>texte</w:t>
      </w:r>
      <w:r w:rsidRPr="00CE2F93">
        <w:t xml:space="preserve"> reproduit dans l’annexe II du rapport. Il est soumis au Forum mondial de l’harmonisation des Règlements concernant les véhicules (WP.29) et au Comité d’administration (AC.1) pour examen à leurs sessions de </w:t>
      </w:r>
      <w:r w:rsidR="009F3C8D">
        <w:t>novembre</w:t>
      </w:r>
      <w:r w:rsidRPr="00CE2F93">
        <w:t> 2017.</w:t>
      </w:r>
    </w:p>
    <w:p w:rsidR="009F3C8D" w:rsidRPr="009F3C8D" w:rsidRDefault="00CE2F93" w:rsidP="009F3C8D">
      <w:pPr>
        <w:pStyle w:val="SingleTxtG"/>
      </w:pPr>
      <w:r>
        <w:br w:type="page"/>
      </w:r>
      <w:r w:rsidR="009F3C8D" w:rsidRPr="009F3C8D">
        <w:rPr>
          <w:i/>
        </w:rPr>
        <w:lastRenderedPageBreak/>
        <w:t>Paragraph</w:t>
      </w:r>
      <w:r w:rsidR="009F3C8D">
        <w:rPr>
          <w:i/>
        </w:rPr>
        <w:t>e</w:t>
      </w:r>
      <w:r w:rsidR="009F3C8D" w:rsidRPr="009F3C8D">
        <w:rPr>
          <w:i/>
        </w:rPr>
        <w:t xml:space="preserve"> 2.6.1., </w:t>
      </w:r>
      <w:r w:rsidR="009F3C8D" w:rsidRPr="009F3C8D">
        <w:t>lire</w:t>
      </w:r>
      <w:r w:rsidR="00AC048F">
        <w:t xml:space="preserve"> comme suit</w:t>
      </w:r>
      <w:r w:rsidR="009F3C8D" w:rsidRPr="009F3C8D">
        <w:t>:</w:t>
      </w:r>
    </w:p>
    <w:p w:rsidR="009F3C8D" w:rsidRPr="00AC048F" w:rsidRDefault="00AC048F" w:rsidP="009F3C8D">
      <w:pPr>
        <w:pStyle w:val="SingleTxtG"/>
        <w:tabs>
          <w:tab w:val="left" w:pos="1985"/>
        </w:tabs>
        <w:ind w:left="1985" w:hanging="851"/>
      </w:pPr>
      <w:r w:rsidRPr="00AC048F">
        <w:rPr>
          <w:rFonts w:eastAsia="SimSun"/>
        </w:rPr>
        <w:t>«</w:t>
      </w:r>
      <w:r>
        <w:rPr>
          <w:rFonts w:eastAsia="SimSun"/>
        </w:rPr>
        <w:t xml:space="preserve"> </w:t>
      </w:r>
      <w:r w:rsidR="009F3C8D" w:rsidRPr="009F3C8D">
        <w:t>2.6.1.</w:t>
      </w:r>
      <w:r w:rsidR="009F3C8D" w:rsidRPr="009F3C8D">
        <w:tab/>
        <w:t>"Vitrage en plastique rigide", un vitrage en plastique qui ne fléchit pas verticalement de plus de 50 mm lors de l'essai d'élasticité (annexe 3, par. 12).</w:t>
      </w:r>
      <w:r w:rsidRPr="00AC048F">
        <w:rPr>
          <w:rFonts w:eastAsia="SimSun"/>
        </w:rPr>
        <w:t>».</w:t>
      </w:r>
    </w:p>
    <w:p w:rsidR="009F3C8D" w:rsidRPr="009F3C8D" w:rsidRDefault="009F3C8D" w:rsidP="00305A2E">
      <w:pPr>
        <w:pStyle w:val="SingleTxtG"/>
        <w:spacing w:before="240"/>
        <w:rPr>
          <w:i/>
        </w:rPr>
      </w:pPr>
      <w:r w:rsidRPr="009F3C8D">
        <w:rPr>
          <w:i/>
        </w:rPr>
        <w:t>Annexe 1 – Appendice 3</w:t>
      </w:r>
      <w:r w:rsidRPr="009F3C8D">
        <w:t>, lire</w:t>
      </w:r>
      <w:r w:rsidR="00AC048F">
        <w:t xml:space="preserve"> comme suit</w:t>
      </w:r>
      <w:r w:rsidRPr="009F3C8D">
        <w:t>:</w:t>
      </w:r>
    </w:p>
    <w:p w:rsidR="009F3C8D" w:rsidRPr="009F3C8D" w:rsidRDefault="00AC048F" w:rsidP="009F3C8D">
      <w:pPr>
        <w:pStyle w:val="SingleTxtG"/>
        <w:tabs>
          <w:tab w:val="left" w:leader="dot" w:pos="8364"/>
        </w:tabs>
      </w:pPr>
      <w:r w:rsidRPr="006636BD">
        <w:rPr>
          <w:rFonts w:eastAsia="SimSun"/>
        </w:rPr>
        <w:t>«</w:t>
      </w:r>
      <w:r w:rsidR="00FA6BD9">
        <w:rPr>
          <w:rFonts w:eastAsia="SimSun"/>
        </w:rPr>
        <w:t xml:space="preserve"> </w:t>
      </w:r>
      <w:r w:rsidR="00FA6BD9">
        <w:t>…</w:t>
      </w:r>
    </w:p>
    <w:p w:rsidR="009F3C8D" w:rsidRPr="009F3C8D" w:rsidRDefault="00305A2E" w:rsidP="009F3C8D">
      <w:pPr>
        <w:pStyle w:val="SingleTxtG"/>
        <w:tabs>
          <w:tab w:val="left" w:leader="dot" w:pos="8364"/>
        </w:tabs>
      </w:pPr>
      <w:r>
        <w:t>Caractéristiques principales</w:t>
      </w:r>
      <w:r w:rsidR="009F3C8D" w:rsidRPr="009F3C8D">
        <w:t>:</w:t>
      </w:r>
    </w:p>
    <w:p w:rsidR="009F3C8D" w:rsidRPr="009F3C8D" w:rsidRDefault="00305A2E" w:rsidP="009F3C8D">
      <w:pPr>
        <w:pStyle w:val="SingleTxtG"/>
        <w:tabs>
          <w:tab w:val="left" w:leader="dot" w:pos="8364"/>
        </w:tabs>
      </w:pPr>
      <w:r>
        <w:t>Nombre de feuilles de verre</w:t>
      </w:r>
      <w:r w:rsidR="009F3C8D" w:rsidRPr="009F3C8D">
        <w:t xml:space="preserve">: </w:t>
      </w:r>
      <w:r w:rsidR="009F3C8D"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Nom</w:t>
      </w:r>
      <w:r w:rsidR="00305A2E">
        <w:t>bre de feuilles d'intercalaires</w:t>
      </w:r>
      <w:r w:rsidRPr="009F3C8D">
        <w:t xml:space="preserve">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E</w:t>
      </w:r>
      <w:r w:rsidR="00305A2E">
        <w:t>paisseur nominale du pare-brise</w:t>
      </w:r>
      <w:r w:rsidRPr="009F3C8D">
        <w:t xml:space="preserve">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Epaisseur nominale de l'(des) inte</w:t>
      </w:r>
      <w:r w:rsidR="00305A2E">
        <w:t>rcalaire(s)</w:t>
      </w:r>
      <w:r w:rsidRPr="009F3C8D">
        <w:t xml:space="preserve">: </w:t>
      </w:r>
      <w:r w:rsidRPr="009F3C8D">
        <w:tab/>
      </w:r>
    </w:p>
    <w:p w:rsidR="009F3C8D" w:rsidRPr="009F3C8D" w:rsidRDefault="00305A2E" w:rsidP="009F3C8D">
      <w:pPr>
        <w:pStyle w:val="SingleTxtG"/>
        <w:tabs>
          <w:tab w:val="left" w:leader="dot" w:pos="8364"/>
        </w:tabs>
      </w:pPr>
      <w:r>
        <w:t>Traitement spécial du verre</w:t>
      </w:r>
      <w:r w:rsidR="009F3C8D" w:rsidRPr="009F3C8D">
        <w:t xml:space="preserve">: </w:t>
      </w:r>
      <w:r w:rsidR="009F3C8D"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Nature et </w:t>
      </w:r>
      <w:r w:rsidR="00305A2E">
        <w:t>type de l'(des) intercalaire(s)</w:t>
      </w:r>
      <w:r w:rsidRPr="009F3C8D">
        <w:t xml:space="preserve">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Nature et type du (</w:t>
      </w:r>
      <w:r w:rsidR="00305A2E">
        <w:t>des) revêtement(s) plastique(s)</w:t>
      </w:r>
      <w:r w:rsidRPr="009F3C8D">
        <w:t xml:space="preserve">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Epaisseur nominale du (</w:t>
      </w:r>
      <w:r w:rsidR="00305A2E">
        <w:t>des) revêtement(s) plastique(s)</w:t>
      </w:r>
      <w:r w:rsidRPr="009F3C8D">
        <w:t xml:space="preserve">: </w:t>
      </w:r>
      <w:r w:rsidRPr="009F3C8D">
        <w:tab/>
      </w:r>
    </w:p>
    <w:p w:rsidR="009F3C8D" w:rsidRPr="009F3C8D" w:rsidRDefault="00305A2E" w:rsidP="00305A2E">
      <w:pPr>
        <w:pStyle w:val="SingleTxtG"/>
        <w:tabs>
          <w:tab w:val="left" w:leader="dot" w:pos="8364"/>
        </w:tabs>
        <w:spacing w:before="240"/>
      </w:pPr>
      <w:r>
        <w:t>Caractéristiques secondaires</w:t>
      </w:r>
      <w:r w:rsidR="009F3C8D" w:rsidRPr="009F3C8D">
        <w:t>:</w:t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Nature du matériau (glace polie</w:t>
      </w:r>
      <w:r w:rsidR="00305A2E">
        <w:t>, glace flottée, verre à vitre)</w:t>
      </w:r>
      <w:r w:rsidRPr="009F3C8D">
        <w:t xml:space="preserve">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Colora</w:t>
      </w:r>
      <w:r w:rsidR="00305A2E">
        <w:t>tion du verre (incolore/teinté)</w:t>
      </w:r>
      <w:r w:rsidRPr="009F3C8D">
        <w:t xml:space="preserve">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Coloration du (</w:t>
      </w:r>
      <w:r w:rsidR="00305A2E">
        <w:t>des) revêtement(s) plastique(s)</w:t>
      </w:r>
      <w:r w:rsidRPr="009F3C8D">
        <w:t xml:space="preserve">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Coloration de l'</w:t>
      </w:r>
      <w:r w:rsidR="00305A2E">
        <w:t>intercalaire (totale/partielle)</w:t>
      </w:r>
      <w:r w:rsidRPr="009F3C8D">
        <w:t xml:space="preserve">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C</w:t>
      </w:r>
      <w:r w:rsidR="00305A2E">
        <w:t>onducteurs incorporés (OUI/NON)</w:t>
      </w:r>
      <w:r w:rsidRPr="009F3C8D">
        <w:t xml:space="preserve">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Marques</w:t>
      </w:r>
      <w:r w:rsidR="00305A2E">
        <w:t xml:space="preserve"> opaques incorporées (OUI/NON)</w:t>
      </w:r>
      <w:r w:rsidRPr="009F3C8D">
        <w:t xml:space="preserve">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…</w:t>
      </w:r>
      <w:r w:rsidR="00305A2E">
        <w:t xml:space="preserve"> </w:t>
      </w:r>
      <w:r w:rsidR="00AC048F">
        <w:rPr>
          <w:rFonts w:eastAsia="SimSun"/>
          <w:lang w:val="ru-RU"/>
        </w:rPr>
        <w:t>».</w:t>
      </w:r>
    </w:p>
    <w:p w:rsidR="00F9573C" w:rsidRPr="00CE2F93" w:rsidRDefault="00CE2F93" w:rsidP="00CE2F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E2F93" w:rsidSect="00CE2F9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35" w:rsidRDefault="00DE7635" w:rsidP="00F95C08">
      <w:pPr>
        <w:spacing w:line="240" w:lineRule="auto"/>
      </w:pPr>
    </w:p>
  </w:endnote>
  <w:endnote w:type="continuationSeparator" w:id="0">
    <w:p w:rsidR="00DE7635" w:rsidRPr="00AC3823" w:rsidRDefault="00DE7635" w:rsidP="00AC3823">
      <w:pPr>
        <w:pStyle w:val="Footer"/>
      </w:pPr>
    </w:p>
  </w:endnote>
  <w:endnote w:type="continuationNotice" w:id="1">
    <w:p w:rsidR="00DE7635" w:rsidRDefault="00DE76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5" w:rsidRPr="00CE2F93" w:rsidRDefault="00DE7635" w:rsidP="00CE2F93">
    <w:pPr>
      <w:pStyle w:val="Footer"/>
      <w:tabs>
        <w:tab w:val="right" w:pos="9638"/>
      </w:tabs>
    </w:pPr>
    <w:r w:rsidRPr="00CE2F93">
      <w:rPr>
        <w:b/>
        <w:sz w:val="18"/>
      </w:rPr>
      <w:fldChar w:fldCharType="begin"/>
    </w:r>
    <w:r w:rsidRPr="00CE2F93">
      <w:rPr>
        <w:b/>
        <w:sz w:val="18"/>
      </w:rPr>
      <w:instrText xml:space="preserve"> PAGE  \* MERGEFORMAT </w:instrText>
    </w:r>
    <w:r w:rsidRPr="00CE2F93">
      <w:rPr>
        <w:b/>
        <w:sz w:val="18"/>
      </w:rPr>
      <w:fldChar w:fldCharType="separate"/>
    </w:r>
    <w:r w:rsidR="00503FEB">
      <w:rPr>
        <w:b/>
        <w:noProof/>
        <w:sz w:val="18"/>
      </w:rPr>
      <w:t>2</w:t>
    </w:r>
    <w:r w:rsidRPr="00CE2F93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5" w:rsidRPr="00CE2F93" w:rsidRDefault="00DE7635" w:rsidP="00CE2F93">
    <w:pPr>
      <w:pStyle w:val="Footer"/>
      <w:tabs>
        <w:tab w:val="right" w:pos="9638"/>
      </w:tabs>
      <w:rPr>
        <w:b/>
        <w:sz w:val="18"/>
      </w:rPr>
    </w:pPr>
    <w:r>
      <w:t>GE.16-22635</w:t>
    </w:r>
    <w:r>
      <w:tab/>
    </w:r>
    <w:r w:rsidRPr="00CE2F93">
      <w:rPr>
        <w:b/>
        <w:sz w:val="18"/>
      </w:rPr>
      <w:fldChar w:fldCharType="begin"/>
    </w:r>
    <w:r w:rsidRPr="00CE2F93">
      <w:rPr>
        <w:b/>
        <w:sz w:val="18"/>
      </w:rPr>
      <w:instrText xml:space="preserve"> PAGE  \* MERGEFORMAT </w:instrText>
    </w:r>
    <w:r w:rsidRPr="00CE2F93">
      <w:rPr>
        <w:b/>
        <w:sz w:val="18"/>
      </w:rPr>
      <w:fldChar w:fldCharType="separate"/>
    </w:r>
    <w:r w:rsidR="009F3C8D">
      <w:rPr>
        <w:b/>
        <w:noProof/>
        <w:sz w:val="18"/>
      </w:rPr>
      <w:t>9</w:t>
    </w:r>
    <w:r w:rsidRPr="00CE2F9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35" w:rsidRPr="00AC3823" w:rsidRDefault="00DE763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7635" w:rsidRPr="00AC3823" w:rsidRDefault="00DE763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E7635" w:rsidRPr="00AC3823" w:rsidRDefault="00DE7635">
      <w:pPr>
        <w:spacing w:line="240" w:lineRule="auto"/>
        <w:rPr>
          <w:sz w:val="2"/>
          <w:szCs w:val="2"/>
        </w:rPr>
      </w:pPr>
    </w:p>
  </w:footnote>
  <w:footnote w:id="2">
    <w:p w:rsidR="00DE7635" w:rsidRPr="00706101" w:rsidRDefault="00DE7635" w:rsidP="00CE2F93">
      <w:pPr>
        <w:pStyle w:val="FootnoteText"/>
      </w:pPr>
      <w:r>
        <w:tab/>
        <w:t>*</w:t>
      </w:r>
      <w:r>
        <w:tab/>
        <w:t>Conformément au programme de travail du Comité des transports intérieurs pour la période 2016</w:t>
      </w:r>
      <w:r>
        <w:noBreakHyphen/>
        <w:t>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5" w:rsidRPr="00CE2F93" w:rsidRDefault="00DE7635">
    <w:pPr>
      <w:pStyle w:val="Header"/>
    </w:pPr>
    <w:r>
      <w:t>ECE/TRANS/WP.29/2017/</w:t>
    </w:r>
    <w:r w:rsidR="008D5FA3">
      <w:t>11</w:t>
    </w:r>
    <w:r w:rsidR="00FA6BD9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5" w:rsidRPr="00CE2F93" w:rsidRDefault="00DE7635" w:rsidP="00CE2F93">
    <w:pPr>
      <w:pStyle w:val="Header"/>
      <w:jc w:val="right"/>
    </w:pPr>
    <w:r>
      <w:t>ECE/TRANS/WP.29/2017/12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567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16"/>
    <w:rsid w:val="00017F94"/>
    <w:rsid w:val="00023842"/>
    <w:rsid w:val="000334F9"/>
    <w:rsid w:val="0007796D"/>
    <w:rsid w:val="000B7790"/>
    <w:rsid w:val="00111F2F"/>
    <w:rsid w:val="001165DE"/>
    <w:rsid w:val="0014321A"/>
    <w:rsid w:val="0014365E"/>
    <w:rsid w:val="00143C66"/>
    <w:rsid w:val="00176178"/>
    <w:rsid w:val="001A33BF"/>
    <w:rsid w:val="001F525A"/>
    <w:rsid w:val="00223272"/>
    <w:rsid w:val="0024779E"/>
    <w:rsid w:val="00257168"/>
    <w:rsid w:val="002744B8"/>
    <w:rsid w:val="002832AC"/>
    <w:rsid w:val="002D7C93"/>
    <w:rsid w:val="002F298B"/>
    <w:rsid w:val="00305801"/>
    <w:rsid w:val="00305A2E"/>
    <w:rsid w:val="003916DE"/>
    <w:rsid w:val="003D7816"/>
    <w:rsid w:val="00441C3B"/>
    <w:rsid w:val="00446FE5"/>
    <w:rsid w:val="00452396"/>
    <w:rsid w:val="004837D8"/>
    <w:rsid w:val="004E468C"/>
    <w:rsid w:val="004F47E5"/>
    <w:rsid w:val="00503FEB"/>
    <w:rsid w:val="0052079A"/>
    <w:rsid w:val="005505B7"/>
    <w:rsid w:val="00573BE5"/>
    <w:rsid w:val="00586ED3"/>
    <w:rsid w:val="00596AA9"/>
    <w:rsid w:val="005F2AB9"/>
    <w:rsid w:val="006636BD"/>
    <w:rsid w:val="006E3751"/>
    <w:rsid w:val="0071601D"/>
    <w:rsid w:val="00732625"/>
    <w:rsid w:val="00752682"/>
    <w:rsid w:val="007A62E6"/>
    <w:rsid w:val="007F20FA"/>
    <w:rsid w:val="0080684C"/>
    <w:rsid w:val="00871C75"/>
    <w:rsid w:val="008776DC"/>
    <w:rsid w:val="008D5FA3"/>
    <w:rsid w:val="00903C27"/>
    <w:rsid w:val="00965E15"/>
    <w:rsid w:val="009705C8"/>
    <w:rsid w:val="009C1CF4"/>
    <w:rsid w:val="009D412D"/>
    <w:rsid w:val="009F3C8D"/>
    <w:rsid w:val="009F6B74"/>
    <w:rsid w:val="00A30353"/>
    <w:rsid w:val="00AC048F"/>
    <w:rsid w:val="00AC3823"/>
    <w:rsid w:val="00AE323C"/>
    <w:rsid w:val="00AF0CB5"/>
    <w:rsid w:val="00B00181"/>
    <w:rsid w:val="00B00B0D"/>
    <w:rsid w:val="00B765F7"/>
    <w:rsid w:val="00BA0CA9"/>
    <w:rsid w:val="00BB3DAA"/>
    <w:rsid w:val="00C02897"/>
    <w:rsid w:val="00C452D8"/>
    <w:rsid w:val="00CE2F93"/>
    <w:rsid w:val="00D3439C"/>
    <w:rsid w:val="00DB1831"/>
    <w:rsid w:val="00DD3BFD"/>
    <w:rsid w:val="00DE7635"/>
    <w:rsid w:val="00DF6678"/>
    <w:rsid w:val="00E85C74"/>
    <w:rsid w:val="00EA6547"/>
    <w:rsid w:val="00EC146C"/>
    <w:rsid w:val="00EF2E22"/>
    <w:rsid w:val="00F35BAF"/>
    <w:rsid w:val="00F660DF"/>
    <w:rsid w:val="00F94664"/>
    <w:rsid w:val="00F9573C"/>
    <w:rsid w:val="00F95C08"/>
    <w:rsid w:val="00F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5E466B6"/>
  <w15:docId w15:val="{5BBBE0FB-FB2B-42CE-955A-1FD36575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E2F9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E2F93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1703</Characters>
  <Application>Microsoft Office Word</Application>
  <DocSecurity>0</DocSecurity>
  <Lines>53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ECE/TRNS/WP.29/2017/12</vt:lpstr>
      <vt:lpstr>ECE/TRNS/WP.29/2017/12</vt:lpstr>
    </vt:vector>
  </TitlesOfParts>
  <Company>DCM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ECE/TRNS/WP.29/2017/12</dc:title>
  <dc:subject>final</dc:subject>
  <dc:creator>Beaunee</dc:creator>
  <cp:lastModifiedBy>Marie-Claude Collet</cp:lastModifiedBy>
  <cp:revision>8</cp:revision>
  <cp:lastPrinted>2017-08-16T12:27:00Z</cp:lastPrinted>
  <dcterms:created xsi:type="dcterms:W3CDTF">2017-08-14T08:31:00Z</dcterms:created>
  <dcterms:modified xsi:type="dcterms:W3CDTF">2017-08-18T07:51:00Z</dcterms:modified>
</cp:coreProperties>
</file>