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1E29E8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1E29E8" w:rsidRDefault="00F35BAF" w:rsidP="001E29E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1E29E8" w:rsidRDefault="00F35BAF" w:rsidP="00892A2F">
            <w:pPr>
              <w:spacing w:after="80" w:line="300" w:lineRule="exact"/>
              <w:rPr>
                <w:sz w:val="28"/>
              </w:rPr>
            </w:pPr>
            <w:r w:rsidRPr="001E29E8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1E29E8" w:rsidRDefault="001E29E8" w:rsidP="001E29E8">
            <w:pPr>
              <w:jc w:val="right"/>
            </w:pPr>
            <w:r w:rsidRPr="001E29E8">
              <w:rPr>
                <w:sz w:val="40"/>
              </w:rPr>
              <w:t>ECE</w:t>
            </w:r>
            <w:r w:rsidRPr="001E29E8">
              <w:t>/TRANS/WP.29/2017/36</w:t>
            </w:r>
          </w:p>
        </w:tc>
      </w:tr>
      <w:tr w:rsidR="00F35BAF" w:rsidRPr="001E29E8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E29E8" w:rsidRDefault="00F35BAF" w:rsidP="00892A2F">
            <w:pPr>
              <w:spacing w:before="120"/>
              <w:jc w:val="center"/>
            </w:pPr>
            <w:r w:rsidRPr="001E29E8">
              <w:rPr>
                <w:noProof/>
                <w:lang w:val="en-GB" w:eastAsia="en-GB"/>
              </w:rPr>
              <w:drawing>
                <wp:inline distT="0" distB="0" distL="0" distR="0" wp14:anchorId="3B555F32" wp14:editId="5531D30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1E29E8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E29E8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E29E8" w:rsidRDefault="001E29E8" w:rsidP="00892A2F">
            <w:pPr>
              <w:spacing w:before="240"/>
            </w:pPr>
            <w:r w:rsidRPr="001E29E8">
              <w:t>Distr. générale</w:t>
            </w:r>
          </w:p>
          <w:p w:rsidR="001E29E8" w:rsidRPr="001E29E8" w:rsidRDefault="001E29E8" w:rsidP="001E29E8">
            <w:pPr>
              <w:spacing w:line="240" w:lineRule="exact"/>
            </w:pPr>
            <w:r w:rsidRPr="001E29E8">
              <w:t>20 décembre 2016</w:t>
            </w:r>
          </w:p>
          <w:p w:rsidR="001E29E8" w:rsidRPr="001E29E8" w:rsidRDefault="001E29E8" w:rsidP="001E29E8">
            <w:pPr>
              <w:spacing w:line="240" w:lineRule="exact"/>
            </w:pPr>
            <w:r w:rsidRPr="001E29E8">
              <w:t>Français</w:t>
            </w:r>
          </w:p>
          <w:p w:rsidR="001E29E8" w:rsidRPr="001E29E8" w:rsidRDefault="001E29E8" w:rsidP="001E29E8">
            <w:pPr>
              <w:spacing w:line="240" w:lineRule="exact"/>
            </w:pPr>
            <w:r w:rsidRPr="001E29E8">
              <w:t>Original : anglais</w:t>
            </w:r>
          </w:p>
        </w:tc>
      </w:tr>
    </w:tbl>
    <w:p w:rsidR="007F20FA" w:rsidRPr="001E29E8" w:rsidRDefault="007F20FA" w:rsidP="007F20FA">
      <w:pPr>
        <w:spacing w:before="120"/>
        <w:rPr>
          <w:b/>
          <w:sz w:val="28"/>
          <w:szCs w:val="28"/>
        </w:rPr>
      </w:pPr>
      <w:r w:rsidRPr="001E29E8">
        <w:rPr>
          <w:b/>
          <w:sz w:val="28"/>
          <w:szCs w:val="28"/>
        </w:rPr>
        <w:t>Commission économique pour l</w:t>
      </w:r>
      <w:r w:rsidR="008F4DEA">
        <w:rPr>
          <w:b/>
          <w:sz w:val="28"/>
          <w:szCs w:val="28"/>
        </w:rPr>
        <w:t>’</w:t>
      </w:r>
      <w:r w:rsidRPr="001E29E8">
        <w:rPr>
          <w:b/>
          <w:sz w:val="28"/>
          <w:szCs w:val="28"/>
        </w:rPr>
        <w:t>Europe</w:t>
      </w:r>
    </w:p>
    <w:p w:rsidR="007F20FA" w:rsidRPr="001E29E8" w:rsidRDefault="007F20FA" w:rsidP="007F20FA">
      <w:pPr>
        <w:spacing w:before="120"/>
        <w:rPr>
          <w:sz w:val="28"/>
          <w:szCs w:val="28"/>
        </w:rPr>
      </w:pPr>
      <w:r w:rsidRPr="001E29E8">
        <w:rPr>
          <w:sz w:val="28"/>
          <w:szCs w:val="28"/>
        </w:rPr>
        <w:t>Comité des transports intérieurs</w:t>
      </w:r>
    </w:p>
    <w:p w:rsidR="001E29E8" w:rsidRPr="001E29E8" w:rsidRDefault="001E29E8" w:rsidP="00AF0CB5">
      <w:pPr>
        <w:spacing w:before="120"/>
        <w:rPr>
          <w:b/>
          <w:sz w:val="24"/>
          <w:szCs w:val="24"/>
        </w:rPr>
      </w:pPr>
      <w:r w:rsidRPr="001E29E8">
        <w:rPr>
          <w:b/>
          <w:sz w:val="24"/>
          <w:szCs w:val="24"/>
        </w:rPr>
        <w:t>Forum mondial de l</w:t>
      </w:r>
      <w:r w:rsidR="008F4DEA">
        <w:rPr>
          <w:b/>
          <w:sz w:val="24"/>
          <w:szCs w:val="24"/>
        </w:rPr>
        <w:t>’</w:t>
      </w:r>
      <w:r w:rsidRPr="001E29E8">
        <w:rPr>
          <w:b/>
          <w:sz w:val="24"/>
          <w:szCs w:val="24"/>
        </w:rPr>
        <w:t>harmonisation</w:t>
      </w:r>
      <w:r w:rsidRPr="001E29E8">
        <w:rPr>
          <w:b/>
          <w:sz w:val="24"/>
          <w:szCs w:val="24"/>
        </w:rPr>
        <w:br/>
        <w:t>des Règlements concernant les véhicules</w:t>
      </w:r>
    </w:p>
    <w:p w:rsidR="001E29E8" w:rsidRPr="001E29E8" w:rsidRDefault="001E29E8" w:rsidP="00257168">
      <w:pPr>
        <w:spacing w:before="120" w:line="240" w:lineRule="exact"/>
        <w:rPr>
          <w:b/>
        </w:rPr>
      </w:pPr>
      <w:r w:rsidRPr="001E29E8">
        <w:rPr>
          <w:b/>
        </w:rPr>
        <w:t>171</w:t>
      </w:r>
      <w:r w:rsidRPr="001E29E8">
        <w:rPr>
          <w:b/>
          <w:vertAlign w:val="superscript"/>
        </w:rPr>
        <w:t>e</w:t>
      </w:r>
      <w:r w:rsidRPr="001E29E8">
        <w:rPr>
          <w:b/>
        </w:rPr>
        <w:t> session</w:t>
      </w:r>
    </w:p>
    <w:p w:rsidR="001E29E8" w:rsidRPr="001E29E8" w:rsidRDefault="001E29E8" w:rsidP="00257168">
      <w:pPr>
        <w:spacing w:line="240" w:lineRule="exact"/>
      </w:pPr>
      <w:r w:rsidRPr="001E29E8">
        <w:t xml:space="preserve">Genève, </w:t>
      </w:r>
      <w:r w:rsidRPr="001E29E8">
        <w:rPr>
          <w:bCs/>
        </w:rPr>
        <w:t>14-17 mars 2017</w:t>
      </w:r>
    </w:p>
    <w:p w:rsidR="001E29E8" w:rsidRPr="001E29E8" w:rsidRDefault="001E29E8" w:rsidP="00257168">
      <w:pPr>
        <w:spacing w:line="240" w:lineRule="exact"/>
      </w:pPr>
      <w:r w:rsidRPr="001E29E8">
        <w:t xml:space="preserve">Point </w:t>
      </w:r>
      <w:r w:rsidRPr="001E29E8">
        <w:rPr>
          <w:bCs/>
        </w:rPr>
        <w:t>4.9.18 de l</w:t>
      </w:r>
      <w:r w:rsidR="008F4DEA">
        <w:rPr>
          <w:bCs/>
        </w:rPr>
        <w:t>’</w:t>
      </w:r>
      <w:r w:rsidRPr="001E29E8">
        <w:rPr>
          <w:bCs/>
        </w:rPr>
        <w:t>ordre du jour provisoire</w:t>
      </w:r>
    </w:p>
    <w:p w:rsidR="00F9573C" w:rsidRPr="001E29E8" w:rsidRDefault="001E29E8" w:rsidP="001E29E8">
      <w:pPr>
        <w:spacing w:line="240" w:lineRule="exact"/>
        <w:rPr>
          <w:b/>
        </w:rPr>
      </w:pPr>
      <w:r w:rsidRPr="001E29E8">
        <w:rPr>
          <w:b/>
        </w:rPr>
        <w:t>Accord de 1958 : Examen de projets d</w:t>
      </w:r>
      <w:r w:rsidR="008F4DEA">
        <w:rPr>
          <w:b/>
        </w:rPr>
        <w:t>’</w:t>
      </w:r>
      <w:r w:rsidRPr="001E29E8">
        <w:rPr>
          <w:b/>
        </w:rPr>
        <w:t xml:space="preserve">amendements </w:t>
      </w:r>
      <w:r w:rsidRPr="001E29E8">
        <w:rPr>
          <w:b/>
        </w:rPr>
        <w:br/>
        <w:t>à des Règlements existants, proposés par le GRE</w:t>
      </w:r>
    </w:p>
    <w:p w:rsidR="001E29E8" w:rsidRPr="001E29E8" w:rsidRDefault="001E29E8" w:rsidP="001E29E8">
      <w:pPr>
        <w:pStyle w:val="HChG"/>
      </w:pPr>
      <w:r w:rsidRPr="001E29E8">
        <w:tab/>
      </w:r>
      <w:r w:rsidRPr="001E29E8">
        <w:tab/>
        <w:t>Proposition de Complément 13 au Règlement n</w:t>
      </w:r>
      <w:r w:rsidRPr="001E29E8">
        <w:rPr>
          <w:vertAlign w:val="superscript"/>
        </w:rPr>
        <w:t>o</w:t>
      </w:r>
      <w:r w:rsidRPr="001E29E8">
        <w:t xml:space="preserve"> 99 </w:t>
      </w:r>
      <w:r w:rsidRPr="001E29E8">
        <w:br/>
        <w:t>(Sources lumineuses à décharge)</w:t>
      </w:r>
    </w:p>
    <w:p w:rsidR="001E29E8" w:rsidRPr="001E29E8" w:rsidRDefault="001E29E8" w:rsidP="001E29E8">
      <w:pPr>
        <w:pStyle w:val="H1G"/>
      </w:pPr>
      <w:r w:rsidRPr="001E29E8">
        <w:tab/>
      </w:r>
      <w:r w:rsidRPr="001E29E8">
        <w:tab/>
        <w:t>Communication du Groupe de travail de l</w:t>
      </w:r>
      <w:r w:rsidR="008F4DEA">
        <w:t>’</w:t>
      </w:r>
      <w:r w:rsidRPr="001E29E8">
        <w:t xml:space="preserve">éclairage </w:t>
      </w:r>
      <w:r w:rsidRPr="001E29E8">
        <w:br/>
        <w:t>et de la signalisation lumineuse</w:t>
      </w:r>
      <w:r w:rsidRPr="001E29E8">
        <w:rPr>
          <w:bCs/>
        </w:rPr>
        <w:footnoteReference w:customMarkFollows="1" w:id="2"/>
        <w:t>*</w:t>
      </w:r>
    </w:p>
    <w:p w:rsidR="001E29E8" w:rsidRPr="001E29E8" w:rsidRDefault="001E29E8" w:rsidP="001E29E8">
      <w:pPr>
        <w:pStyle w:val="SingleTxtG"/>
        <w:ind w:firstLine="567"/>
      </w:pPr>
      <w:r w:rsidRPr="001E29E8">
        <w:t>Le texte ci-après a été adopté par le Groupe de travail de l</w:t>
      </w:r>
      <w:r w:rsidR="008F4DEA">
        <w:t>’</w:t>
      </w:r>
      <w:r w:rsidRPr="001E29E8">
        <w:t>éclairage et de la signalisation lumineuse à sa soixante-seizième session (ECE/TRANS/WP.29/GRE/76, par. 17). Il a été établi sur la base du document ECE/TRANS/WP.29/GRE/2016/26. Il e</w:t>
      </w:r>
      <w:r w:rsidR="008F4DEA">
        <w:t>st soumis au Forum mondial de l’</w:t>
      </w:r>
      <w:r w:rsidRPr="001E29E8">
        <w:t>harmonisation des Règlements concernant les véhicules (WP.29) et au Comité d</w:t>
      </w:r>
      <w:r w:rsidR="008F4DEA">
        <w:t>’</w:t>
      </w:r>
      <w:r w:rsidRPr="001E29E8">
        <w:t xml:space="preserve">administration (AC.1) pour </w:t>
      </w:r>
      <w:r w:rsidR="00FA71F5">
        <w:t>examen à leurs sessions de mars </w:t>
      </w:r>
      <w:r w:rsidRPr="001E29E8">
        <w:t>2017.</w:t>
      </w:r>
    </w:p>
    <w:p w:rsidR="001E29E8" w:rsidRPr="001E29E8" w:rsidRDefault="001E29E8" w:rsidP="001E29E8">
      <w:pPr>
        <w:pStyle w:val="HChG"/>
      </w:pPr>
      <w:r>
        <w:br w:type="page"/>
      </w:r>
      <w:r w:rsidRPr="001E29E8">
        <w:lastRenderedPageBreak/>
        <w:tab/>
      </w:r>
      <w:r>
        <w:tab/>
      </w:r>
      <w:r w:rsidRPr="001E29E8">
        <w:t>Complément 13 au Règlement n</w:t>
      </w:r>
      <w:r w:rsidRPr="001E29E8">
        <w:rPr>
          <w:vertAlign w:val="superscript"/>
        </w:rPr>
        <w:t>o</w:t>
      </w:r>
      <w:r w:rsidRPr="001E29E8">
        <w:t xml:space="preserve"> 99 </w:t>
      </w:r>
      <w:r>
        <w:br/>
      </w:r>
      <w:r w:rsidRPr="001E29E8">
        <w:t>(Sources lumineuses à décharge)</w:t>
      </w:r>
    </w:p>
    <w:p w:rsidR="001E29E8" w:rsidRPr="001E29E8" w:rsidRDefault="001E29E8" w:rsidP="001E29E8">
      <w:pPr>
        <w:pStyle w:val="SingleTxtG"/>
        <w:keepNext/>
        <w:keepLines/>
      </w:pPr>
      <w:r>
        <w:rPr>
          <w:i/>
        </w:rPr>
        <w:t>Paragraphe </w:t>
      </w:r>
      <w:r w:rsidRPr="001E29E8">
        <w:rPr>
          <w:i/>
        </w:rPr>
        <w:t>3.6.2</w:t>
      </w:r>
      <w:r w:rsidRPr="001E29E8">
        <w:t>, modifier comme suit :</w:t>
      </w:r>
    </w:p>
    <w:p w:rsidR="001E29E8" w:rsidRPr="001E29E8" w:rsidRDefault="001E29E8" w:rsidP="001E29E8">
      <w:pPr>
        <w:pStyle w:val="SingleTxtG"/>
        <w:keepNext/>
        <w:keepLines/>
      </w:pPr>
      <w:r w:rsidRPr="001E29E8">
        <w:t>« 3.6.2</w:t>
      </w:r>
      <w:r w:rsidRPr="001E29E8">
        <w:tab/>
      </w:r>
      <w:r>
        <w:tab/>
      </w:r>
      <w:r w:rsidRPr="001E29E8">
        <w:t>Montée en régime</w:t>
      </w:r>
    </w:p>
    <w:p w:rsidR="001E29E8" w:rsidRPr="001E29E8" w:rsidRDefault="001E29E8" w:rsidP="001E29E8">
      <w:pPr>
        <w:pStyle w:val="SingleTxtG"/>
        <w:ind w:left="2268" w:hanging="1134"/>
      </w:pPr>
      <w:r w:rsidRPr="001E29E8">
        <w:t>3.6.2.1</w:t>
      </w:r>
      <w:r w:rsidRPr="001E29E8">
        <w:tab/>
      </w:r>
      <w:r>
        <w:tab/>
      </w:r>
      <w:r w:rsidRPr="001E29E8">
        <w:t>Pour les sources lumineuses à décharge ayant un flux lumineux normal supérieur à 2</w:t>
      </w:r>
      <w:r>
        <w:t> </w:t>
      </w:r>
      <w:r w:rsidRPr="001E29E8">
        <w:t>000</w:t>
      </w:r>
      <w:r>
        <w:t> </w:t>
      </w:r>
      <w:r w:rsidRPr="001E29E8">
        <w:t>lm :</w:t>
      </w:r>
    </w:p>
    <w:p w:rsidR="001E29E8" w:rsidRPr="001E29E8" w:rsidRDefault="001E29E8" w:rsidP="001E29E8">
      <w:pPr>
        <w:pStyle w:val="SingleTxtG"/>
        <w:ind w:left="2268"/>
      </w:pPr>
      <w:r w:rsidRPr="001E29E8">
        <w:t>Lorsqu</w:t>
      </w:r>
      <w:r w:rsidR="008F4DEA">
        <w:t>’</w:t>
      </w:r>
      <w:r w:rsidRPr="001E29E8">
        <w:t>elle est mesurée conformément aux conditions spécifiées à l</w:t>
      </w:r>
      <w:r w:rsidR="008F4DEA">
        <w:t>’</w:t>
      </w:r>
      <w:r w:rsidRPr="001E29E8">
        <w:t>annexe 4, la source lumineuse à décharge doit émettre au moins :</w:t>
      </w:r>
    </w:p>
    <w:p w:rsidR="001E29E8" w:rsidRPr="001E29E8" w:rsidRDefault="001E29E8" w:rsidP="001E29E8">
      <w:pPr>
        <w:pStyle w:val="SingleTxtG"/>
        <w:ind w:left="2268"/>
      </w:pPr>
      <w:r w:rsidRPr="001E29E8">
        <w:t>Après 1 s : 25 % de son flux lumineux normal ;</w:t>
      </w:r>
    </w:p>
    <w:p w:rsidR="001E29E8" w:rsidRPr="001E29E8" w:rsidRDefault="001E29E8" w:rsidP="001E29E8">
      <w:pPr>
        <w:pStyle w:val="SingleTxtG"/>
        <w:ind w:left="2268"/>
      </w:pPr>
      <w:r w:rsidRPr="001E29E8">
        <w:t>Après 4 s : 80 % de son flux lumineux normal.</w:t>
      </w:r>
    </w:p>
    <w:p w:rsidR="001E29E8" w:rsidRPr="001E29E8" w:rsidRDefault="001E29E8" w:rsidP="001E29E8">
      <w:pPr>
        <w:pStyle w:val="SingleTxtG"/>
        <w:ind w:left="2268"/>
      </w:pPr>
      <w:r w:rsidRPr="001E29E8">
        <w:t>Le flux lumineux normal est celui qui est indiqué sur la feuille de données pertinente.</w:t>
      </w:r>
    </w:p>
    <w:p w:rsidR="001E29E8" w:rsidRPr="001E29E8" w:rsidRDefault="001E29E8" w:rsidP="001E29E8">
      <w:pPr>
        <w:pStyle w:val="SingleTxtG"/>
        <w:ind w:left="2268" w:hanging="1134"/>
      </w:pPr>
      <w:r w:rsidRPr="001E29E8">
        <w:t>3.6.2.2</w:t>
      </w:r>
      <w:r w:rsidRPr="001E29E8">
        <w:tab/>
      </w:r>
      <w:r>
        <w:tab/>
      </w:r>
      <w:r w:rsidRPr="001E29E8">
        <w:t>Pour les sources lumineuses à décharge dont le flux lumineux normal n</w:t>
      </w:r>
      <w:r w:rsidR="008F4DEA">
        <w:t>’</w:t>
      </w:r>
      <w:r w:rsidRPr="001E29E8">
        <w:t>est pas supérieur à 2</w:t>
      </w:r>
      <w:r>
        <w:t> 000 </w:t>
      </w:r>
      <w:r w:rsidRPr="001E29E8">
        <w:t>lm et ne comprend pas de bandes opaques :</w:t>
      </w:r>
    </w:p>
    <w:p w:rsidR="001E29E8" w:rsidRPr="001E29E8" w:rsidRDefault="001E29E8" w:rsidP="001E29E8">
      <w:pPr>
        <w:pStyle w:val="SingleTxtG"/>
        <w:ind w:left="2268"/>
      </w:pPr>
      <w:r w:rsidRPr="001E29E8">
        <w:t>Lorsqu</w:t>
      </w:r>
      <w:r w:rsidR="008F4DEA">
        <w:t>’</w:t>
      </w:r>
      <w:r w:rsidRPr="001E29E8">
        <w:t>elle est mesurée conformément aux conditions spécifiées à l</w:t>
      </w:r>
      <w:r w:rsidR="008F4DEA">
        <w:t>’</w:t>
      </w:r>
      <w:r w:rsidRPr="001E29E8">
        <w:t>annexe 4, la source lumineuse à décharge doit émettre au moins 800 lm après 1</w:t>
      </w:r>
      <w:r>
        <w:t> s et au moins 1 000 lm après </w:t>
      </w:r>
      <w:r w:rsidRPr="001E29E8">
        <w:t>4 s.</w:t>
      </w:r>
    </w:p>
    <w:p w:rsidR="001E29E8" w:rsidRPr="001E29E8" w:rsidRDefault="001E29E8" w:rsidP="001E29E8">
      <w:pPr>
        <w:pStyle w:val="SingleTxtG"/>
        <w:ind w:left="2268"/>
      </w:pPr>
      <w:r w:rsidRPr="001E29E8">
        <w:t>Le flux lumineux normal est celui qui est indiqué sur la feuille de données pertinente.</w:t>
      </w:r>
    </w:p>
    <w:p w:rsidR="001E29E8" w:rsidRPr="00FA71F5" w:rsidRDefault="001E29E8" w:rsidP="001E29E8">
      <w:pPr>
        <w:pStyle w:val="SingleTxtG"/>
        <w:ind w:left="2268" w:hanging="1134"/>
      </w:pPr>
      <w:r w:rsidRPr="00FA71F5">
        <w:t>3.6.2.3</w:t>
      </w:r>
      <w:r w:rsidRPr="00FA71F5">
        <w:tab/>
      </w:r>
      <w:r w:rsidRPr="00FA71F5">
        <w:tab/>
        <w:t>Pour les sources lumineuses à décharge ayant un flux lumineux normal qui n</w:t>
      </w:r>
      <w:r w:rsidR="008F4DEA">
        <w:t>’</w:t>
      </w:r>
      <w:r w:rsidRPr="00FA71F5">
        <w:t>est pas supérieur à 2 000 lm, mais qui comprend des bandes opaques :</w:t>
      </w:r>
    </w:p>
    <w:p w:rsidR="001E29E8" w:rsidRPr="00FA71F5" w:rsidRDefault="001E29E8" w:rsidP="001E29E8">
      <w:pPr>
        <w:pStyle w:val="SingleTxtG"/>
        <w:ind w:left="2268"/>
      </w:pPr>
      <w:r w:rsidRPr="00FA71F5">
        <w:t>Lorsqu</w:t>
      </w:r>
      <w:r w:rsidR="008F4DEA">
        <w:t>’</w:t>
      </w:r>
      <w:r w:rsidRPr="00FA71F5">
        <w:t>elle est mesurée conformément aux conditions spécifiées à l</w:t>
      </w:r>
      <w:r w:rsidR="008F4DEA">
        <w:t>’</w:t>
      </w:r>
      <w:r w:rsidRPr="00FA71F5">
        <w:t>annexe 4, la source lumineuse à décharge doit émettre au moins 700 lm après 1 s et au moins 900 lm après 4 s.</w:t>
      </w:r>
    </w:p>
    <w:p w:rsidR="001E29E8" w:rsidRPr="00FA71F5" w:rsidRDefault="001E29E8" w:rsidP="001E29E8">
      <w:pPr>
        <w:pStyle w:val="SingleTxtG"/>
        <w:ind w:left="2268"/>
      </w:pPr>
      <w:r w:rsidRPr="00FA71F5">
        <w:t>Le flux lumineux normal est celui qui est indiqué sur la feuille de données pertinente.</w:t>
      </w:r>
    </w:p>
    <w:p w:rsidR="001E29E8" w:rsidRPr="00FA71F5" w:rsidRDefault="001E29E8" w:rsidP="001E29E8">
      <w:pPr>
        <w:pStyle w:val="SingleTxtG"/>
        <w:ind w:left="2268" w:hanging="1134"/>
      </w:pPr>
      <w:r w:rsidRPr="00FA71F5">
        <w:t>3.6.2.4</w:t>
      </w:r>
      <w:r w:rsidRPr="00FA71F5">
        <w:tab/>
      </w:r>
      <w:r w:rsidRPr="00FA71F5">
        <w:tab/>
        <w:t>Pour les sources lumineuses à décharge ayant plusieurs flux lumineux normaux, dont un au moins ne dépasse pas 2 000 lm :</w:t>
      </w:r>
    </w:p>
    <w:p w:rsidR="001E29E8" w:rsidRPr="001E29E8" w:rsidRDefault="001E29E8" w:rsidP="001E29E8">
      <w:pPr>
        <w:pStyle w:val="SingleTxtG"/>
        <w:ind w:left="2268"/>
      </w:pPr>
      <w:r w:rsidRPr="001E29E8">
        <w:t>Lorsqu</w:t>
      </w:r>
      <w:r w:rsidR="008F4DEA">
        <w:t>’</w:t>
      </w:r>
      <w:r w:rsidRPr="001E29E8">
        <w:t>elle est mesurée conformément aux conditions spécifiées à l</w:t>
      </w:r>
      <w:r w:rsidR="008F4DEA">
        <w:t>’</w:t>
      </w:r>
      <w:r w:rsidRPr="001E29E8">
        <w:t>annexe 4, la source lumineuse à décharge doit émettre au moins 800 lm après 1 s et au moins 1</w:t>
      </w:r>
      <w:r>
        <w:t> </w:t>
      </w:r>
      <w:r w:rsidRPr="001E29E8">
        <w:t>0</w:t>
      </w:r>
      <w:r>
        <w:t>00 </w:t>
      </w:r>
      <w:r w:rsidRPr="001E29E8">
        <w:t>lm après 4 s.</w:t>
      </w:r>
    </w:p>
    <w:p w:rsidR="001E29E8" w:rsidRPr="001E29E8" w:rsidRDefault="001E29E8" w:rsidP="001E29E8">
      <w:pPr>
        <w:pStyle w:val="SingleTxtG"/>
        <w:ind w:left="2268"/>
      </w:pPr>
      <w:r w:rsidRPr="001E29E8">
        <w:t>Le flux lumineux normal est celui qui est indiqué sur la</w:t>
      </w:r>
      <w:r>
        <w:t xml:space="preserve"> feuille de données pertinentes</w:t>
      </w:r>
      <w:r w:rsidRPr="001E29E8">
        <w:rPr>
          <w:bCs/>
        </w:rPr>
        <w:t> ».</w:t>
      </w:r>
    </w:p>
    <w:p w:rsidR="001E29E8" w:rsidRPr="001E29E8" w:rsidRDefault="001E29E8" w:rsidP="001E29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29E8" w:rsidRPr="001E29E8" w:rsidSect="001E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68" w:rsidRDefault="00510568" w:rsidP="00F95C08">
      <w:pPr>
        <w:spacing w:line="240" w:lineRule="auto"/>
      </w:pPr>
    </w:p>
  </w:endnote>
  <w:endnote w:type="continuationSeparator" w:id="0">
    <w:p w:rsidR="00510568" w:rsidRPr="00AC3823" w:rsidRDefault="00510568" w:rsidP="00AC3823">
      <w:pPr>
        <w:pStyle w:val="Footer"/>
      </w:pPr>
    </w:p>
  </w:endnote>
  <w:endnote w:type="continuationNotice" w:id="1">
    <w:p w:rsidR="00510568" w:rsidRDefault="005105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E8" w:rsidRPr="001E29E8" w:rsidRDefault="001E29E8" w:rsidP="001E29E8">
    <w:pPr>
      <w:pStyle w:val="Footer"/>
      <w:tabs>
        <w:tab w:val="right" w:pos="9638"/>
      </w:tabs>
    </w:pPr>
    <w:r w:rsidRPr="001E29E8">
      <w:rPr>
        <w:b/>
        <w:sz w:val="18"/>
      </w:rPr>
      <w:fldChar w:fldCharType="begin"/>
    </w:r>
    <w:r w:rsidRPr="001E29E8">
      <w:rPr>
        <w:b/>
        <w:sz w:val="18"/>
      </w:rPr>
      <w:instrText xml:space="preserve"> PAGE  \* MERGEFORMAT </w:instrText>
    </w:r>
    <w:r w:rsidRPr="001E29E8">
      <w:rPr>
        <w:b/>
        <w:sz w:val="18"/>
      </w:rPr>
      <w:fldChar w:fldCharType="separate"/>
    </w:r>
    <w:r w:rsidR="00D36947">
      <w:rPr>
        <w:b/>
        <w:noProof/>
        <w:sz w:val="18"/>
      </w:rPr>
      <w:t>2</w:t>
    </w:r>
    <w:r w:rsidRPr="001E29E8">
      <w:rPr>
        <w:b/>
        <w:sz w:val="18"/>
      </w:rPr>
      <w:fldChar w:fldCharType="end"/>
    </w:r>
    <w:r>
      <w:rPr>
        <w:b/>
        <w:sz w:val="18"/>
      </w:rPr>
      <w:tab/>
    </w:r>
    <w:r>
      <w:t>GE.16-22500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E8" w:rsidRPr="001E29E8" w:rsidRDefault="001E29E8" w:rsidP="001E29E8">
    <w:pPr>
      <w:pStyle w:val="Footer"/>
      <w:tabs>
        <w:tab w:val="right" w:pos="9638"/>
      </w:tabs>
      <w:rPr>
        <w:b/>
        <w:sz w:val="18"/>
      </w:rPr>
    </w:pPr>
    <w:r>
      <w:t>GE.16-22500</w:t>
    </w:r>
    <w:r>
      <w:tab/>
    </w:r>
    <w:r w:rsidRPr="001E29E8">
      <w:rPr>
        <w:b/>
        <w:sz w:val="18"/>
      </w:rPr>
      <w:fldChar w:fldCharType="begin"/>
    </w:r>
    <w:r w:rsidRPr="001E29E8">
      <w:rPr>
        <w:b/>
        <w:sz w:val="18"/>
      </w:rPr>
      <w:instrText xml:space="preserve"> PAGE  \* MERGEFORMAT </w:instrText>
    </w:r>
    <w:r w:rsidRPr="001E29E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E29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E29E8" w:rsidRDefault="001E29E8" w:rsidP="001E29E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104C7BE" wp14:editId="1F6F99D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16-22500  (F)</w:t>
    </w:r>
    <w:r w:rsidR="00FA71F5">
      <w:rPr>
        <w:sz w:val="20"/>
      </w:rPr>
      <w:t xml:space="preserve">    221216    170117</w:t>
    </w:r>
    <w:r>
      <w:rPr>
        <w:sz w:val="20"/>
      </w:rPr>
      <w:br/>
    </w:r>
    <w:r w:rsidRPr="001E29E8">
      <w:rPr>
        <w:rFonts w:ascii="C39T30Lfz" w:hAnsi="C39T30Lfz"/>
        <w:sz w:val="56"/>
      </w:rPr>
      <w:t></w:t>
    </w:r>
    <w:r w:rsidRPr="001E29E8">
      <w:rPr>
        <w:rFonts w:ascii="C39T30Lfz" w:hAnsi="C39T30Lfz"/>
        <w:sz w:val="56"/>
      </w:rPr>
      <w:t></w:t>
    </w:r>
    <w:r w:rsidRPr="001E29E8">
      <w:rPr>
        <w:rFonts w:ascii="C39T30Lfz" w:hAnsi="C39T30Lfz"/>
        <w:sz w:val="56"/>
      </w:rPr>
      <w:t></w:t>
    </w:r>
    <w:r w:rsidRPr="001E29E8">
      <w:rPr>
        <w:rFonts w:ascii="C39T30Lfz" w:hAnsi="C39T30Lfz"/>
        <w:sz w:val="56"/>
      </w:rPr>
      <w:t></w:t>
    </w:r>
    <w:r w:rsidRPr="001E29E8">
      <w:rPr>
        <w:rFonts w:ascii="C39T30Lfz" w:hAnsi="C39T30Lfz"/>
        <w:sz w:val="56"/>
      </w:rPr>
      <w:t></w:t>
    </w:r>
    <w:r w:rsidRPr="001E29E8">
      <w:rPr>
        <w:rFonts w:ascii="C39T30Lfz" w:hAnsi="C39T30Lfz"/>
        <w:sz w:val="56"/>
      </w:rPr>
      <w:t></w:t>
    </w:r>
    <w:r w:rsidRPr="001E29E8">
      <w:rPr>
        <w:rFonts w:ascii="C39T30Lfz" w:hAnsi="C39T30Lfz"/>
        <w:sz w:val="56"/>
      </w:rPr>
      <w:t></w:t>
    </w:r>
    <w:r w:rsidRPr="001E29E8">
      <w:rPr>
        <w:rFonts w:ascii="C39T30Lfz" w:hAnsi="C39T30Lfz"/>
        <w:sz w:val="56"/>
      </w:rPr>
      <w:t></w:t>
    </w:r>
    <w:r w:rsidRPr="001E29E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68" w:rsidRPr="00AC3823" w:rsidRDefault="005105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0568" w:rsidRPr="00AC3823" w:rsidRDefault="005105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10568" w:rsidRPr="00AC3823" w:rsidRDefault="00510568">
      <w:pPr>
        <w:spacing w:line="240" w:lineRule="auto"/>
        <w:rPr>
          <w:sz w:val="2"/>
          <w:szCs w:val="2"/>
        </w:rPr>
      </w:pPr>
    </w:p>
  </w:footnote>
  <w:footnote w:id="2">
    <w:p w:rsidR="001E29E8" w:rsidRPr="00B61CCF" w:rsidRDefault="001E29E8" w:rsidP="001E29E8">
      <w:pPr>
        <w:pStyle w:val="FootnoteText"/>
      </w:pPr>
      <w:r w:rsidRPr="00B61CCF">
        <w:rPr>
          <w:sz w:val="20"/>
        </w:rPr>
        <w:tab/>
        <w:t>*</w:t>
      </w:r>
      <w:r w:rsidRPr="00B61CCF">
        <w:rPr>
          <w:sz w:val="20"/>
        </w:rPr>
        <w:tab/>
      </w:r>
      <w:r w:rsidRPr="00B61CCF">
        <w:t xml:space="preserve">Conformément au programme de travail du Comité des transports intérieurs pour la période </w:t>
      </w:r>
      <w:r>
        <w:t>2016-2017</w:t>
      </w:r>
      <w:r w:rsidRPr="00B61CCF">
        <w:t xml:space="preserve"> (ECE/TRANS/</w:t>
      </w:r>
      <w:r>
        <w:t>254</w:t>
      </w:r>
      <w:r w:rsidRPr="00B61CCF">
        <w:t>, par. </w:t>
      </w:r>
      <w:r>
        <w:t>159</w:t>
      </w:r>
      <w:r w:rsidRPr="00B61CCF">
        <w:t>, et ECE/TRANS/</w:t>
      </w:r>
      <w:r>
        <w:t>2016/28/Add.1</w:t>
      </w:r>
      <w:r w:rsidRPr="00B61CCF">
        <w:t xml:space="preserve">, </w:t>
      </w:r>
      <w:r>
        <w:t>module</w:t>
      </w:r>
      <w:r w:rsidRPr="00B61CCF">
        <w:t> </w:t>
      </w:r>
      <w:r>
        <w:t>3.1</w:t>
      </w:r>
      <w:r w:rsidRPr="00B61CCF">
        <w:t>), le Forum mondial a pour mission d’élaborer, d’harmoniser et de mettre à jour les Règlements en vue d’améliorer les caractéristiques fonctionnelles des véhicules. Le présent document est soumis d</w:t>
      </w:r>
      <w:r>
        <w:t>ans le cadre de ce </w:t>
      </w:r>
      <w:r w:rsidRPr="00B61CCF">
        <w:t>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E8" w:rsidRPr="001E29E8" w:rsidRDefault="001E29E8">
    <w:pPr>
      <w:pStyle w:val="Header"/>
    </w:pPr>
    <w:r>
      <w:t>ECE/TRANS/WP.29/2017/36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E8" w:rsidRPr="001E29E8" w:rsidRDefault="001E29E8" w:rsidP="001E29E8">
    <w:pPr>
      <w:pStyle w:val="Header"/>
      <w:jc w:val="right"/>
    </w:pPr>
    <w:r>
      <w:t>ECE/TRANS/WP.29/2017/36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F5" w:rsidRDefault="00FA7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68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E29E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10568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F4DEA"/>
    <w:rsid w:val="00964E82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C12BC"/>
    <w:rsid w:val="00C02897"/>
    <w:rsid w:val="00D3439C"/>
    <w:rsid w:val="00D36947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545390-71AF-4D0F-9377-91B6C4F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ECE/TRANS/WP.29/2017/36</vt:lpstr>
      <vt:lpstr>ECE/TRANS/WP.29/2017/36</vt:lpstr>
    </vt:vector>
  </TitlesOfParts>
  <Company>DCM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ECE/TRANS/WP.29/2017/36</dc:title>
  <dc:subject/>
  <dc:creator>Bourion</dc:creator>
  <cp:keywords/>
  <dc:description/>
  <cp:lastModifiedBy>Lucille</cp:lastModifiedBy>
  <cp:revision>2</cp:revision>
  <cp:lastPrinted>2017-01-17T10:30:00Z</cp:lastPrinted>
  <dcterms:created xsi:type="dcterms:W3CDTF">2017-01-18T10:41:00Z</dcterms:created>
  <dcterms:modified xsi:type="dcterms:W3CDTF">2017-01-18T10:41:00Z</dcterms:modified>
</cp:coreProperties>
</file>