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61E3C" w:rsidRPr="00B74FCB" w:rsidTr="00386106">
        <w:trPr>
          <w:cantSplit/>
          <w:trHeight w:hRule="exact" w:val="854"/>
        </w:trPr>
        <w:tc>
          <w:tcPr>
            <w:tcW w:w="1276" w:type="dxa"/>
            <w:tcBorders>
              <w:bottom w:val="single" w:sz="4" w:space="0" w:color="auto"/>
            </w:tcBorders>
            <w:shd w:val="clear" w:color="auto" w:fill="auto"/>
            <w:vAlign w:val="bottom"/>
          </w:tcPr>
          <w:p w:rsidR="00961E3C" w:rsidRPr="00B74FCB" w:rsidRDefault="00961E3C" w:rsidP="00386106"/>
        </w:tc>
        <w:tc>
          <w:tcPr>
            <w:tcW w:w="2268" w:type="dxa"/>
            <w:tcBorders>
              <w:bottom w:val="single" w:sz="4" w:space="0" w:color="auto"/>
            </w:tcBorders>
            <w:shd w:val="clear" w:color="auto" w:fill="auto"/>
            <w:vAlign w:val="bottom"/>
          </w:tcPr>
          <w:p w:rsidR="00961E3C" w:rsidRPr="00B74FCB" w:rsidRDefault="00961E3C" w:rsidP="00386106">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961E3C" w:rsidRPr="00B74FCB" w:rsidRDefault="00961E3C" w:rsidP="00961E3C">
            <w:pPr>
              <w:jc w:val="right"/>
            </w:pPr>
            <w:r w:rsidRPr="00B74FCB">
              <w:rPr>
                <w:sz w:val="40"/>
              </w:rPr>
              <w:t>ECE</w:t>
            </w:r>
            <w:r>
              <w:t>/TRANS/WP.11</w:t>
            </w:r>
            <w:r w:rsidRPr="00B74FCB">
              <w:t>/201</w:t>
            </w:r>
            <w:r>
              <w:t>7</w:t>
            </w:r>
            <w:r w:rsidRPr="00B74FCB">
              <w:t>/</w:t>
            </w:r>
            <w:r>
              <w:t>6</w:t>
            </w:r>
          </w:p>
        </w:tc>
      </w:tr>
      <w:tr w:rsidR="00961E3C" w:rsidRPr="00B74FCB" w:rsidTr="00386106">
        <w:trPr>
          <w:cantSplit/>
          <w:trHeight w:hRule="exact" w:val="2835"/>
        </w:trPr>
        <w:tc>
          <w:tcPr>
            <w:tcW w:w="1276" w:type="dxa"/>
            <w:tcBorders>
              <w:top w:val="single" w:sz="4" w:space="0" w:color="auto"/>
              <w:bottom w:val="single" w:sz="12" w:space="0" w:color="auto"/>
            </w:tcBorders>
            <w:shd w:val="clear" w:color="auto" w:fill="auto"/>
          </w:tcPr>
          <w:p w:rsidR="00961E3C" w:rsidRPr="00B74FCB" w:rsidRDefault="00F66154" w:rsidP="00386106">
            <w:pPr>
              <w:spacing w:before="120"/>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_unlogo" style="width:56.45pt;height:47.25pt;visibility:visible;mso-wrap-style:square">
                  <v:imagedata r:id="rId7" o:title="_unlogo"/>
                </v:shape>
              </w:pict>
            </w:r>
          </w:p>
        </w:tc>
        <w:tc>
          <w:tcPr>
            <w:tcW w:w="5528" w:type="dxa"/>
            <w:gridSpan w:val="2"/>
            <w:tcBorders>
              <w:top w:val="single" w:sz="4" w:space="0" w:color="auto"/>
              <w:bottom w:val="single" w:sz="12" w:space="0" w:color="auto"/>
            </w:tcBorders>
            <w:shd w:val="clear" w:color="auto" w:fill="auto"/>
          </w:tcPr>
          <w:p w:rsidR="00961E3C" w:rsidRPr="00B74FCB" w:rsidRDefault="00961E3C" w:rsidP="00386106">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961E3C" w:rsidRPr="00B74FCB" w:rsidRDefault="00961E3C" w:rsidP="00386106">
            <w:pPr>
              <w:spacing w:before="240" w:line="240" w:lineRule="exact"/>
            </w:pPr>
            <w:r w:rsidRPr="00B74FCB">
              <w:t>Distr.: General</w:t>
            </w:r>
          </w:p>
          <w:p w:rsidR="00961E3C" w:rsidRPr="00B74FCB" w:rsidRDefault="00643B98" w:rsidP="00386106">
            <w:pPr>
              <w:spacing w:line="240" w:lineRule="exact"/>
            </w:pPr>
            <w:r>
              <w:t>2</w:t>
            </w:r>
            <w:r w:rsidR="007C3A08">
              <w:t>4</w:t>
            </w:r>
            <w:r w:rsidR="00961E3C">
              <w:t xml:space="preserve"> July 2017</w:t>
            </w:r>
          </w:p>
          <w:p w:rsidR="00961E3C" w:rsidRPr="00B74FCB" w:rsidRDefault="00961E3C" w:rsidP="00386106">
            <w:pPr>
              <w:spacing w:line="240" w:lineRule="exact"/>
            </w:pPr>
          </w:p>
          <w:p w:rsidR="00961E3C" w:rsidRPr="00B74FCB" w:rsidRDefault="00961E3C" w:rsidP="00386106">
            <w:pPr>
              <w:spacing w:line="240" w:lineRule="exact"/>
            </w:pPr>
            <w:r w:rsidRPr="00B74FCB">
              <w:t>Original: English</w:t>
            </w:r>
          </w:p>
        </w:tc>
      </w:tr>
    </w:tbl>
    <w:p w:rsidR="00E60F61" w:rsidRDefault="008E1050">
      <w:pPr>
        <w:spacing w:before="120"/>
        <w:rPr>
          <w:b/>
          <w:sz w:val="28"/>
          <w:szCs w:val="28"/>
        </w:rPr>
      </w:pPr>
      <w:r>
        <w:rPr>
          <w:b/>
          <w:sz w:val="28"/>
          <w:szCs w:val="28"/>
        </w:rPr>
        <w:t>Economic Commission for Europe</w:t>
      </w:r>
    </w:p>
    <w:p w:rsidR="00E60F61" w:rsidRDefault="008E1050">
      <w:pPr>
        <w:spacing w:before="120"/>
        <w:rPr>
          <w:sz w:val="28"/>
          <w:szCs w:val="28"/>
        </w:rPr>
      </w:pPr>
      <w:r>
        <w:rPr>
          <w:sz w:val="28"/>
          <w:szCs w:val="28"/>
        </w:rPr>
        <w:t>Inland Transport Committee</w:t>
      </w:r>
    </w:p>
    <w:p w:rsidR="00E60F61" w:rsidRDefault="008E1050">
      <w:pPr>
        <w:spacing w:before="120"/>
        <w:rPr>
          <w:b/>
          <w:sz w:val="24"/>
          <w:szCs w:val="24"/>
        </w:rPr>
      </w:pPr>
      <w:r>
        <w:rPr>
          <w:b/>
          <w:sz w:val="24"/>
          <w:szCs w:val="24"/>
        </w:rPr>
        <w:t>Working Party on the Transport of Perishable Foodstuffs</w:t>
      </w:r>
    </w:p>
    <w:p w:rsidR="00067AA7" w:rsidRPr="000B5F0F" w:rsidRDefault="00067AA7" w:rsidP="00067AA7">
      <w:pPr>
        <w:spacing w:before="120"/>
        <w:rPr>
          <w:b/>
          <w:lang w:eastAsia="en-US"/>
        </w:rPr>
      </w:pPr>
      <w:r>
        <w:rPr>
          <w:b/>
          <w:lang w:eastAsia="en-US"/>
        </w:rPr>
        <w:t>Seventy-third</w:t>
      </w:r>
      <w:r w:rsidRPr="000B5F0F">
        <w:rPr>
          <w:b/>
          <w:lang w:eastAsia="en-US"/>
        </w:rPr>
        <w:t xml:space="preserve"> session</w:t>
      </w:r>
    </w:p>
    <w:p w:rsidR="00067AA7" w:rsidRPr="000B5F0F" w:rsidRDefault="00067AA7" w:rsidP="00067AA7">
      <w:pPr>
        <w:rPr>
          <w:lang w:eastAsia="en-US"/>
        </w:rPr>
      </w:pPr>
      <w:r w:rsidRPr="000B5F0F">
        <w:rPr>
          <w:lang w:eastAsia="en-US"/>
        </w:rPr>
        <w:t xml:space="preserve">Geneva, </w:t>
      </w:r>
      <w:r>
        <w:rPr>
          <w:lang w:eastAsia="en-US"/>
        </w:rPr>
        <w:t>10-</w:t>
      </w:r>
      <w:r w:rsidRPr="000B5F0F">
        <w:rPr>
          <w:lang w:eastAsia="en-US"/>
        </w:rPr>
        <w:t>1</w:t>
      </w:r>
      <w:r>
        <w:rPr>
          <w:lang w:eastAsia="en-US"/>
        </w:rPr>
        <w:t>3</w:t>
      </w:r>
      <w:r w:rsidRPr="000B5F0F">
        <w:rPr>
          <w:lang w:eastAsia="en-US"/>
        </w:rPr>
        <w:t xml:space="preserve"> October 201</w:t>
      </w:r>
      <w:r>
        <w:rPr>
          <w:lang w:eastAsia="en-US"/>
        </w:rPr>
        <w:t>7</w:t>
      </w:r>
    </w:p>
    <w:p w:rsidR="00067AA7" w:rsidRPr="000B5F0F" w:rsidRDefault="00067AA7" w:rsidP="00067AA7">
      <w:pPr>
        <w:rPr>
          <w:lang w:eastAsia="en-US"/>
        </w:rPr>
      </w:pPr>
      <w:r w:rsidRPr="000B5F0F">
        <w:rPr>
          <w:lang w:eastAsia="en-US"/>
        </w:rPr>
        <w:t xml:space="preserve">Item </w:t>
      </w:r>
      <w:r w:rsidRPr="009B4035">
        <w:rPr>
          <w:lang w:eastAsia="en-US"/>
        </w:rPr>
        <w:t>5 (</w:t>
      </w:r>
      <w:r w:rsidR="007C3A08">
        <w:rPr>
          <w:lang w:eastAsia="en-US"/>
        </w:rPr>
        <w:t>a</w:t>
      </w:r>
      <w:r w:rsidRPr="009B4035">
        <w:rPr>
          <w:lang w:eastAsia="en-US"/>
        </w:rPr>
        <w:t>) of</w:t>
      </w:r>
      <w:r w:rsidRPr="000B5F0F">
        <w:rPr>
          <w:lang w:eastAsia="en-US"/>
        </w:rPr>
        <w:t xml:space="preserve"> the provisional agenda</w:t>
      </w:r>
    </w:p>
    <w:p w:rsidR="00E60F61" w:rsidRDefault="00067AA7" w:rsidP="00067AA7">
      <w:pPr>
        <w:rPr>
          <w:b/>
        </w:rPr>
      </w:pPr>
      <w:r w:rsidRPr="000B5F0F">
        <w:rPr>
          <w:b/>
          <w:lang w:eastAsia="en-US"/>
        </w:rPr>
        <w:t xml:space="preserve">Proposals of amendments to ATP: </w:t>
      </w:r>
      <w:r>
        <w:rPr>
          <w:b/>
          <w:lang w:eastAsia="en-US"/>
        </w:rPr>
        <w:br/>
      </w:r>
      <w:r w:rsidR="007C3A08">
        <w:rPr>
          <w:b/>
          <w:lang w:eastAsia="en-US"/>
        </w:rPr>
        <w:t>pending</w:t>
      </w:r>
      <w:r w:rsidRPr="000B5F0F">
        <w:rPr>
          <w:b/>
          <w:lang w:eastAsia="en-US"/>
        </w:rPr>
        <w:t xml:space="preserve"> proposals</w:t>
      </w:r>
    </w:p>
    <w:p w:rsidR="00E60F61" w:rsidRDefault="00F44D17" w:rsidP="00F44D17">
      <w:pPr>
        <w:pStyle w:val="HChG"/>
      </w:pPr>
      <w:r>
        <w:rPr>
          <w:lang w:eastAsia="ar-SA"/>
        </w:rPr>
        <w:tab/>
      </w:r>
      <w:r w:rsidR="008E1050">
        <w:t xml:space="preserve">Proposal to amend annex 1, </w:t>
      </w:r>
      <w:r w:rsidR="008E1050" w:rsidRPr="00F44D17">
        <w:t>appendices</w:t>
      </w:r>
      <w:r w:rsidR="008E1050">
        <w:t xml:space="preserve"> 2 and 4:</w:t>
      </w:r>
      <w:r w:rsidR="008E1050">
        <w:br/>
        <w:t>Multi-temperature equipment – certification and distinguishing mark</w:t>
      </w:r>
    </w:p>
    <w:p w:rsidR="00E60F61" w:rsidRDefault="00564090">
      <w:pPr>
        <w:pStyle w:val="H1G"/>
      </w:pPr>
      <w:r>
        <w:tab/>
      </w:r>
      <w:r w:rsidR="008E1050">
        <w:t xml:space="preserve">Transmitted by the </w:t>
      </w:r>
      <w:r w:rsidR="0048311A">
        <w:t>g</w:t>
      </w:r>
      <w:r w:rsidR="008E1050">
        <w:t>overnments of France and Germany</w:t>
      </w:r>
    </w:p>
    <w:tbl>
      <w:tblPr>
        <w:tblW w:w="9072" w:type="dxa"/>
        <w:jc w:val="center"/>
        <w:tblLayout w:type="fixed"/>
        <w:tblCellMar>
          <w:left w:w="10" w:type="dxa"/>
          <w:right w:w="10" w:type="dxa"/>
        </w:tblCellMar>
        <w:tblLook w:val="0000" w:firstRow="0" w:lastRow="0" w:firstColumn="0" w:lastColumn="0" w:noHBand="0" w:noVBand="0"/>
      </w:tblPr>
      <w:tblGrid>
        <w:gridCol w:w="2694"/>
        <w:gridCol w:w="6378"/>
      </w:tblGrid>
      <w:tr w:rsidR="00B85885" w:rsidTr="008D38CC">
        <w:trPr>
          <w:trHeight w:val="609"/>
          <w:jc w:val="center"/>
        </w:trPr>
        <w:tc>
          <w:tcPr>
            <w:tcW w:w="9072" w:type="dxa"/>
            <w:gridSpan w:val="2"/>
            <w:tcBorders>
              <w:top w:val="single" w:sz="4" w:space="0" w:color="000000"/>
              <w:left w:val="single" w:sz="4" w:space="0" w:color="000000"/>
              <w:bottom w:val="single" w:sz="2" w:space="0" w:color="auto"/>
              <w:right w:val="single" w:sz="4" w:space="0" w:color="000000"/>
            </w:tcBorders>
            <w:tcMar>
              <w:top w:w="0" w:type="dxa"/>
              <w:left w:w="0" w:type="dxa"/>
              <w:bottom w:w="0" w:type="dxa"/>
              <w:right w:w="0" w:type="dxa"/>
            </w:tcMar>
          </w:tcPr>
          <w:p w:rsidR="00B85885" w:rsidRPr="00B85885" w:rsidRDefault="00B85885">
            <w:pPr>
              <w:spacing w:before="240" w:after="120"/>
              <w:ind w:left="255"/>
            </w:pPr>
            <w:r w:rsidRPr="000F13CF">
              <w:rPr>
                <w:i/>
              </w:rPr>
              <w:t>Summary</w:t>
            </w:r>
          </w:p>
        </w:tc>
      </w:tr>
      <w:tr w:rsidR="00B85885" w:rsidTr="00B85885">
        <w:trPr>
          <w:trHeight w:val="609"/>
          <w:jc w:val="center"/>
        </w:trPr>
        <w:tc>
          <w:tcPr>
            <w:tcW w:w="2694" w:type="dxa"/>
            <w:tcBorders>
              <w:top w:val="single" w:sz="4" w:space="0" w:color="000000"/>
              <w:left w:val="single" w:sz="4" w:space="0" w:color="000000"/>
              <w:right w:val="single" w:sz="4" w:space="0" w:color="000000"/>
            </w:tcBorders>
            <w:tcMar>
              <w:top w:w="0" w:type="dxa"/>
              <w:left w:w="0" w:type="dxa"/>
              <w:bottom w:w="0" w:type="dxa"/>
              <w:right w:w="0" w:type="dxa"/>
            </w:tcMar>
          </w:tcPr>
          <w:p w:rsidR="00B85885" w:rsidRPr="000F13CF" w:rsidRDefault="00B85885" w:rsidP="00B85885">
            <w:pPr>
              <w:spacing w:after="120"/>
              <w:ind w:left="255"/>
              <w:rPr>
                <w:i/>
              </w:rPr>
            </w:pPr>
            <w:r>
              <w:rPr>
                <w:b/>
              </w:rPr>
              <w:t>Executive summary</w:t>
            </w:r>
            <w:r>
              <w:t>:</w:t>
            </w:r>
          </w:p>
        </w:tc>
        <w:tc>
          <w:tcPr>
            <w:tcW w:w="6378" w:type="dxa"/>
            <w:tcBorders>
              <w:top w:val="single" w:sz="4" w:space="0" w:color="000000"/>
              <w:left w:val="single" w:sz="4" w:space="0" w:color="000000"/>
              <w:right w:val="single" w:sz="4" w:space="0" w:color="000000"/>
            </w:tcBorders>
          </w:tcPr>
          <w:p w:rsidR="00B85885" w:rsidRPr="00B85885" w:rsidRDefault="00B85885" w:rsidP="00B85885">
            <w:pPr>
              <w:pStyle w:val="SingleTxtG"/>
              <w:ind w:left="131" w:right="278"/>
            </w:pPr>
            <w:r w:rsidRPr="00B85885">
              <w:t>The present version of ATP does not include marking requirements for multi-temperature equipment, i.e. the external marking does not allow the distinction between multi- and mono- temperature equipment. It is proposed that the marking of multi-temperature equipment display, in the case of multi-temperature equipment divided in two compartments, the ATP class of both compartments (e.g.: FRC-FRA) or, in the case of multi-temperature equipment divided in three or more compartments, the distinguishing mark for the highest ATP class supplemented by the letter M (e.g. FRC-M). Additional and more detailed information is provided in a supplementary document to the certificate of conformity issued by the competent authority of the country of manufacture based on the information given by the manufacturer.</w:t>
            </w:r>
          </w:p>
        </w:tc>
      </w:tr>
      <w:tr w:rsidR="00B85885" w:rsidTr="00F154F8">
        <w:trPr>
          <w:trHeight w:val="377"/>
          <w:jc w:val="center"/>
        </w:trPr>
        <w:tc>
          <w:tcPr>
            <w:tcW w:w="2694" w:type="dxa"/>
            <w:tcBorders>
              <w:left w:val="single" w:sz="4" w:space="0" w:color="000000"/>
              <w:right w:val="single" w:sz="4" w:space="0" w:color="000000"/>
            </w:tcBorders>
            <w:tcMar>
              <w:top w:w="0" w:type="dxa"/>
              <w:left w:w="0" w:type="dxa"/>
              <w:bottom w:w="0" w:type="dxa"/>
              <w:right w:w="0" w:type="dxa"/>
            </w:tcMar>
          </w:tcPr>
          <w:p w:rsidR="00B85885" w:rsidRDefault="00B85885" w:rsidP="00B85885">
            <w:pPr>
              <w:spacing w:after="120"/>
              <w:ind w:left="255"/>
              <w:rPr>
                <w:b/>
              </w:rPr>
            </w:pPr>
            <w:r>
              <w:rPr>
                <w:b/>
              </w:rPr>
              <w:t>Action to be taken</w:t>
            </w:r>
            <w:r>
              <w:t>:</w:t>
            </w:r>
          </w:p>
        </w:tc>
        <w:tc>
          <w:tcPr>
            <w:tcW w:w="6378" w:type="dxa"/>
            <w:tcBorders>
              <w:left w:val="single" w:sz="4" w:space="0" w:color="000000"/>
              <w:right w:val="single" w:sz="4" w:space="0" w:color="000000"/>
            </w:tcBorders>
          </w:tcPr>
          <w:p w:rsidR="00B85885" w:rsidRDefault="00B85885" w:rsidP="00B85885">
            <w:pPr>
              <w:pStyle w:val="SingleTxtG"/>
              <w:spacing w:after="0"/>
              <w:ind w:left="130"/>
              <w:rPr>
                <w:lang w:val="en-US"/>
              </w:rPr>
            </w:pPr>
            <w:r w:rsidRPr="00B85885">
              <w:t xml:space="preserve">Amend </w:t>
            </w:r>
            <w:r>
              <w:t>annex 1, appendices 2 and 4.</w:t>
            </w:r>
          </w:p>
        </w:tc>
      </w:tr>
      <w:tr w:rsidR="00B85885" w:rsidTr="00B85885">
        <w:trPr>
          <w:trHeight w:val="609"/>
          <w:jc w:val="center"/>
        </w:trPr>
        <w:tc>
          <w:tcPr>
            <w:tcW w:w="2694" w:type="dxa"/>
            <w:tcBorders>
              <w:left w:val="single" w:sz="4" w:space="0" w:color="000000"/>
              <w:bottom w:val="single" w:sz="2" w:space="0" w:color="auto"/>
              <w:right w:val="single" w:sz="4" w:space="0" w:color="000000"/>
            </w:tcBorders>
            <w:tcMar>
              <w:top w:w="0" w:type="dxa"/>
              <w:left w:w="0" w:type="dxa"/>
              <w:bottom w:w="0" w:type="dxa"/>
              <w:right w:w="0" w:type="dxa"/>
            </w:tcMar>
          </w:tcPr>
          <w:p w:rsidR="00B85885" w:rsidRDefault="00B85885" w:rsidP="00B85885">
            <w:pPr>
              <w:spacing w:after="120"/>
              <w:ind w:left="255"/>
              <w:rPr>
                <w:b/>
              </w:rPr>
            </w:pPr>
            <w:r>
              <w:rPr>
                <w:b/>
              </w:rPr>
              <w:t>Related documents</w:t>
            </w:r>
            <w:r>
              <w:t>:</w:t>
            </w:r>
          </w:p>
        </w:tc>
        <w:tc>
          <w:tcPr>
            <w:tcW w:w="6378" w:type="dxa"/>
            <w:tcBorders>
              <w:left w:val="single" w:sz="4" w:space="0" w:color="000000"/>
              <w:bottom w:val="single" w:sz="2" w:space="0" w:color="auto"/>
              <w:right w:val="single" w:sz="4" w:space="0" w:color="000000"/>
            </w:tcBorders>
          </w:tcPr>
          <w:p w:rsidR="00B85885" w:rsidRDefault="00B85885" w:rsidP="00B85885">
            <w:pPr>
              <w:spacing w:after="120"/>
              <w:ind w:left="131"/>
            </w:pPr>
            <w:r>
              <w:t>ECE/TRANS/WP.11/2013/4, ECE/TRANS/WP.11/2013/11 part II, Informal document INF 7 (2013), ECE/TRANS/WP.11/2014/8, ECE/TRANS/WP.11/2014/10, ECE/TRANS/WP.11/2014/22, ECE/TRANS/WP.11/2015/15, ECE/TRANS/WP.11/2016/16, ECE/TRANS/WP.11/2016/21.</w:t>
            </w:r>
          </w:p>
        </w:tc>
      </w:tr>
    </w:tbl>
    <w:p w:rsidR="00E60F61" w:rsidRDefault="00F44D17">
      <w:pPr>
        <w:pStyle w:val="HChG"/>
      </w:pPr>
      <w:r>
        <w:rPr>
          <w:lang w:val="en-US"/>
        </w:rPr>
        <w:lastRenderedPageBreak/>
        <w:tab/>
      </w:r>
      <w:r w:rsidR="008E1050">
        <w:t>Introduction</w:t>
      </w:r>
    </w:p>
    <w:p w:rsidR="00E60F61" w:rsidRDefault="008E1050">
      <w:pPr>
        <w:pStyle w:val="SingleTxtG"/>
      </w:pPr>
      <w:r>
        <w:rPr>
          <w:lang w:val="en-US"/>
        </w:rPr>
        <w:t>1.</w:t>
      </w:r>
      <w:r>
        <w:rPr>
          <w:lang w:val="en-US"/>
        </w:rPr>
        <w:tab/>
        <w:t xml:space="preserve">The </w:t>
      </w:r>
      <w:r>
        <w:t>present</w:t>
      </w:r>
      <w:r>
        <w:rPr>
          <w:lang w:val="en-US"/>
        </w:rPr>
        <w:t xml:space="preserve"> version of annex 1, appendix 4 covers insulated equipment which may be refrigerated, mechanically refrigerated or heated with respect to placing distinguishing marks onto the external surface of the equipment. The same distinguishing mark is indicated on the certification plate as required in annex 1, appendix 1, para</w:t>
      </w:r>
      <w:r w:rsidR="00F44D17">
        <w:rPr>
          <w:lang w:val="en-US"/>
        </w:rPr>
        <w:t>.</w:t>
      </w:r>
      <w:r>
        <w:rPr>
          <w:lang w:val="en-US"/>
        </w:rPr>
        <w:t xml:space="preserve"> 3.</w:t>
      </w:r>
    </w:p>
    <w:p w:rsidR="00E60F61" w:rsidRDefault="008E1050">
      <w:pPr>
        <w:pStyle w:val="SingleTxtG"/>
        <w:rPr>
          <w:lang w:val="en-US"/>
        </w:rPr>
      </w:pPr>
      <w:r>
        <w:rPr>
          <w:lang w:val="en-US"/>
        </w:rPr>
        <w:t>2.</w:t>
      </w:r>
      <w:r>
        <w:rPr>
          <w:lang w:val="en-US"/>
        </w:rPr>
        <w:tab/>
        <w:t>The present version of ATP does not include marking requirements for multi-temperature equipment, i.e. the external marking does not allow the distinction between multi- and mono- temperature equipment. Marking of equipment has to be based on the needs of control authorities and users and should be understood in an unambiguous way by all users regardless of whether the separating bulkheads are fixed, movable or removable.</w:t>
      </w:r>
      <w:r w:rsidR="00F44D17">
        <w:rPr>
          <w:lang w:val="en-US"/>
        </w:rPr>
        <w:t xml:space="preserve"> </w:t>
      </w:r>
      <w:r>
        <w:rPr>
          <w:lang w:val="en-US"/>
        </w:rPr>
        <w:t>Multi-temperature vehicles may be designed for up to six independent temperature zones allowing fixed or variable temperature configurations within these zones.</w:t>
      </w:r>
    </w:p>
    <w:p w:rsidR="00E60F61" w:rsidRDefault="008E1050">
      <w:pPr>
        <w:pStyle w:val="SingleTxtG"/>
      </w:pPr>
      <w:r>
        <w:rPr>
          <w:lang w:val="en-US"/>
        </w:rPr>
        <w:t>3.</w:t>
      </w:r>
      <w:r>
        <w:rPr>
          <w:lang w:val="en-US"/>
        </w:rPr>
        <w:tab/>
        <w:t xml:space="preserve">At the </w:t>
      </w:r>
      <w:r w:rsidR="00DF7D4F">
        <w:rPr>
          <w:lang w:val="en-US"/>
        </w:rPr>
        <w:t>sixty-ninth</w:t>
      </w:r>
      <w:r>
        <w:rPr>
          <w:lang w:val="en-US"/>
        </w:rPr>
        <w:t xml:space="preserve"> session of WP.11 the following documents were presented, all focusing on the topic of marking of multi-temperature equipment: ECE/TRANS/WP.11/2013/4 (Portugal), ECE/TRANS/WP.11/2013/11, part II (France) and Informal document INF.</w:t>
      </w:r>
      <w:r w:rsidR="00F44D17">
        <w:rPr>
          <w:lang w:val="en-US"/>
        </w:rPr>
        <w:t> </w:t>
      </w:r>
      <w:r>
        <w:rPr>
          <w:lang w:val="en-US"/>
        </w:rPr>
        <w:t>7 (Netherlands). The discussion continued at the 70</w:t>
      </w:r>
      <w:r w:rsidRPr="00F44D17">
        <w:rPr>
          <w:lang w:val="en-US"/>
        </w:rPr>
        <w:t>th</w:t>
      </w:r>
      <w:r>
        <w:rPr>
          <w:lang w:val="en-US"/>
        </w:rPr>
        <w:t>, 71</w:t>
      </w:r>
      <w:r w:rsidRPr="00F44D17">
        <w:rPr>
          <w:lang w:val="en-US"/>
        </w:rPr>
        <w:t xml:space="preserve">st </w:t>
      </w:r>
      <w:r>
        <w:rPr>
          <w:lang w:val="en-US"/>
        </w:rPr>
        <w:t>and 72</w:t>
      </w:r>
      <w:r w:rsidRPr="00F44D17">
        <w:rPr>
          <w:lang w:val="en-US"/>
        </w:rPr>
        <w:t xml:space="preserve">nd </w:t>
      </w:r>
      <w:r>
        <w:rPr>
          <w:lang w:val="en-US"/>
        </w:rPr>
        <w:t xml:space="preserve">session, as the following </w:t>
      </w:r>
      <w:r w:rsidRPr="00AC172C">
        <w:rPr>
          <w:spacing w:val="-10"/>
          <w:lang w:val="en-US"/>
        </w:rPr>
        <w:t>documents were presented ECE/TRANS/WP.11/2014/8 (Portugal)</w:t>
      </w:r>
      <w:r>
        <w:rPr>
          <w:lang w:val="en-US"/>
        </w:rPr>
        <w:t>, ECE/TRANS/WP.11/2014/10 (Germany), ECE/TRANS/WP.11/2014/22 (France), ECE/TRANS/WP.11/2015/15 (France), ECE/TRANS/WP.11/2016/16 (France), ECE/TRANS/WP.11/2016/21 (Netherlands).</w:t>
      </w:r>
    </w:p>
    <w:p w:rsidR="00E60F61" w:rsidRDefault="008E1050">
      <w:pPr>
        <w:pStyle w:val="SingleTxtG"/>
      </w:pPr>
      <w:r>
        <w:rPr>
          <w:lang w:val="en-US"/>
        </w:rPr>
        <w:t>4.</w:t>
      </w:r>
      <w:r>
        <w:rPr>
          <w:lang w:val="en-US"/>
        </w:rPr>
        <w:tab/>
        <w:t xml:space="preserve">The outcome of the discussions revealed that minimum external marking of multi-temperature equipment is necessary. Detailed markings cannot represent the variety of available equipment </w:t>
      </w:r>
      <w:r>
        <w:t>configurations</w:t>
      </w:r>
      <w:r>
        <w:rPr>
          <w:lang w:val="en-US"/>
        </w:rPr>
        <w:t>. Instead, a simple and pragmatic solution is needed to bridge this gap between external marking and the accurate description of the specification of multi-temperature equipment.</w:t>
      </w:r>
    </w:p>
    <w:p w:rsidR="00E60F61" w:rsidRDefault="008A4969" w:rsidP="008A4969">
      <w:pPr>
        <w:pStyle w:val="HChG"/>
        <w:ind w:hanging="567"/>
      </w:pPr>
      <w:r>
        <w:rPr>
          <w:lang w:val="en-US"/>
        </w:rPr>
        <w:t>I.</w:t>
      </w:r>
      <w:r>
        <w:rPr>
          <w:lang w:val="en-US"/>
        </w:rPr>
        <w:tab/>
      </w:r>
      <w:r w:rsidR="008E1050">
        <w:t>Proposal</w:t>
      </w:r>
    </w:p>
    <w:p w:rsidR="00E60F61" w:rsidRDefault="008E1050" w:rsidP="006D3359">
      <w:pPr>
        <w:pStyle w:val="SingleTxtG"/>
        <w:rPr>
          <w:lang w:val="en-US"/>
        </w:rPr>
      </w:pPr>
      <w:r>
        <w:rPr>
          <w:lang w:val="en-US"/>
        </w:rPr>
        <w:t>5.</w:t>
      </w:r>
      <w:r>
        <w:rPr>
          <w:lang w:val="en-US"/>
        </w:rPr>
        <w:tab/>
        <w:t>It is proposed that the marking of multi-temperature equipment is different depending on the number of compartments:</w:t>
      </w:r>
    </w:p>
    <w:p w:rsidR="00E60F61" w:rsidRPr="00DF7D4F" w:rsidRDefault="00F44D17" w:rsidP="00DF7D4F">
      <w:pPr>
        <w:pStyle w:val="SingleTxtG"/>
        <w:numPr>
          <w:ilvl w:val="0"/>
          <w:numId w:val="1"/>
        </w:numPr>
        <w:autoSpaceDN/>
        <w:ind w:left="2268" w:hanging="567"/>
        <w:textAlignment w:val="auto"/>
        <w:rPr>
          <w:kern w:val="0"/>
          <w:lang w:eastAsia="en-US"/>
        </w:rPr>
      </w:pPr>
      <w:r>
        <w:rPr>
          <w:lang w:val="en-US"/>
        </w:rPr>
        <w:t>I</w:t>
      </w:r>
      <w:r w:rsidR="008E1050">
        <w:rPr>
          <w:lang w:val="en-US"/>
        </w:rPr>
        <w:t>f the equipment is divided in two compartments, the marking displays the ATP class of each compartments (e.g. FRC-FRA) starting with the compartment located at the front or on</w:t>
      </w:r>
      <w:r w:rsidR="007C0C46">
        <w:rPr>
          <w:lang w:val="en-US"/>
        </w:rPr>
        <w:t xml:space="preserve"> the left side of the equipment</w:t>
      </w:r>
      <w:r w:rsidR="008E1050">
        <w:rPr>
          <w:lang w:val="en-US"/>
        </w:rPr>
        <w:t>;</w:t>
      </w:r>
    </w:p>
    <w:p w:rsidR="00E60F61" w:rsidRPr="00DF7D4F" w:rsidRDefault="00F44D17" w:rsidP="00DF7D4F">
      <w:pPr>
        <w:pStyle w:val="SingleTxtG"/>
        <w:numPr>
          <w:ilvl w:val="0"/>
          <w:numId w:val="1"/>
        </w:numPr>
        <w:autoSpaceDN/>
        <w:ind w:left="2268" w:hanging="567"/>
        <w:textAlignment w:val="auto"/>
        <w:rPr>
          <w:kern w:val="0"/>
          <w:lang w:eastAsia="en-US"/>
        </w:rPr>
      </w:pPr>
      <w:r>
        <w:rPr>
          <w:lang w:val="en-US"/>
        </w:rPr>
        <w:t>I</w:t>
      </w:r>
      <w:r w:rsidR="008E1050">
        <w:rPr>
          <w:lang w:val="en-US"/>
        </w:rPr>
        <w:t>f the equipment is divided in three or more compartments, the marking displays the distinguishing mark for the highest ATP class supplemented by the letter M (e.g. FRC-M) regardless of the total number of independently refrigerated compartments in use.</w:t>
      </w:r>
    </w:p>
    <w:p w:rsidR="00E60F61" w:rsidRPr="006D3359" w:rsidRDefault="008E1050">
      <w:pPr>
        <w:pStyle w:val="SingleTxtG"/>
        <w:rPr>
          <w:lang w:val="en-US"/>
        </w:rPr>
      </w:pPr>
      <w:r>
        <w:rPr>
          <w:lang w:val="en-US"/>
        </w:rPr>
        <w:t>6.</w:t>
      </w:r>
      <w:r>
        <w:rPr>
          <w:lang w:val="en-US"/>
        </w:rPr>
        <w:tab/>
        <w:t xml:space="preserve">Additional and more detailed information should be given by the manufacturer and should be provided in a supplementary document to the certificate of </w:t>
      </w:r>
      <w:r w:rsidRPr="006D3359">
        <w:rPr>
          <w:lang w:val="en-US"/>
        </w:rPr>
        <w:t>conformity</w:t>
      </w:r>
      <w:r>
        <w:rPr>
          <w:lang w:val="en-US"/>
        </w:rPr>
        <w:t xml:space="preserve"> issued by the competent authority of the country of manufacture.</w:t>
      </w:r>
    </w:p>
    <w:p w:rsidR="00E60F61" w:rsidRDefault="008E1050">
      <w:pPr>
        <w:pStyle w:val="SingleTxtG"/>
        <w:rPr>
          <w:lang w:val="en-US"/>
        </w:rPr>
      </w:pPr>
      <w:r>
        <w:rPr>
          <w:lang w:val="en-US"/>
        </w:rPr>
        <w:t>7.</w:t>
      </w:r>
      <w:r>
        <w:rPr>
          <w:lang w:val="en-US"/>
        </w:rPr>
        <w:tab/>
        <w:t>This supplementary document should include:</w:t>
      </w:r>
    </w:p>
    <w:p w:rsidR="00F44D17" w:rsidRPr="00DF7D4F" w:rsidRDefault="00F44D17" w:rsidP="00DF7D4F">
      <w:pPr>
        <w:pStyle w:val="SingleTxtG"/>
        <w:numPr>
          <w:ilvl w:val="0"/>
          <w:numId w:val="1"/>
        </w:numPr>
        <w:autoSpaceDN/>
        <w:ind w:left="2268" w:hanging="567"/>
        <w:textAlignment w:val="auto"/>
        <w:rPr>
          <w:kern w:val="0"/>
          <w:lang w:eastAsia="en-US"/>
        </w:rPr>
      </w:pPr>
      <w:bookmarkStart w:id="0" w:name="_GoBack"/>
      <w:bookmarkEnd w:id="0"/>
      <w:r>
        <w:rPr>
          <w:lang w:val="en-US"/>
        </w:rPr>
        <w:t>A sketch showing the actual compartment configuration and evaporator arrangement;</w:t>
      </w:r>
    </w:p>
    <w:p w:rsidR="00E60F61" w:rsidRPr="00DF7D4F" w:rsidRDefault="008E1050" w:rsidP="00DF7D4F">
      <w:pPr>
        <w:pStyle w:val="SingleTxtG"/>
        <w:numPr>
          <w:ilvl w:val="0"/>
          <w:numId w:val="1"/>
        </w:numPr>
        <w:autoSpaceDN/>
        <w:ind w:left="2268" w:hanging="567"/>
        <w:textAlignment w:val="auto"/>
        <w:rPr>
          <w:kern w:val="0"/>
          <w:lang w:eastAsia="en-US"/>
        </w:rPr>
      </w:pPr>
      <w:r>
        <w:rPr>
          <w:lang w:val="en-US"/>
        </w:rPr>
        <w:t>Proof by calculation that the multi-temperature refrigerated equipment meets the requirements of ATP for the user’s intended degree of freedom with regard to compartment temperatures and compartment dimensions.</w:t>
      </w:r>
    </w:p>
    <w:p w:rsidR="00E60F61" w:rsidRDefault="008E1050">
      <w:pPr>
        <w:pStyle w:val="SingleTxtG"/>
        <w:rPr>
          <w:lang w:val="en-US"/>
        </w:rPr>
      </w:pPr>
      <w:r>
        <w:rPr>
          <w:lang w:val="en-US"/>
        </w:rPr>
        <w:lastRenderedPageBreak/>
        <w:t>8.</w:t>
      </w:r>
      <w:r>
        <w:rPr>
          <w:lang w:val="en-US"/>
        </w:rPr>
        <w:tab/>
        <w:t>The supplementary document could for example be generated by the multi-temperature calculation tool provided by Transfrigoroute International. In this case the ATP Handbook should be amended by making a reference to the calculation tool to be used for this purpose.</w:t>
      </w:r>
    </w:p>
    <w:p w:rsidR="00E60F61" w:rsidRDefault="008E1050">
      <w:pPr>
        <w:pStyle w:val="SingleTxtG"/>
        <w:rPr>
          <w:lang w:val="en-US"/>
        </w:rPr>
      </w:pPr>
      <w:r>
        <w:rPr>
          <w:lang w:val="en-US"/>
        </w:rPr>
        <w:t>9.</w:t>
      </w:r>
      <w:r>
        <w:rPr>
          <w:lang w:val="en-US"/>
        </w:rPr>
        <w:tab/>
        <w:t>Upon implementation of these requirements, and based on the additional information provided by the supplementary document, multi-temperature equipment will be more transparent with respect to operational capability and restrictions which is to the benefit of all parties involved - equipment operators, perishable cargo shippers, equipment manufacturers and competent authorities.</w:t>
      </w:r>
    </w:p>
    <w:p w:rsidR="00E60F61" w:rsidRDefault="008E1050">
      <w:pPr>
        <w:pStyle w:val="SingleTxtG"/>
        <w:rPr>
          <w:lang w:val="en-US"/>
        </w:rPr>
      </w:pPr>
      <w:r>
        <w:rPr>
          <w:lang w:val="en-US"/>
        </w:rPr>
        <w:t>10.</w:t>
      </w:r>
      <w:r>
        <w:rPr>
          <w:lang w:val="en-US"/>
        </w:rPr>
        <w:tab/>
        <w:t>This requirement shall apply only to</w:t>
      </w:r>
      <w:r w:rsidR="00AC172C">
        <w:rPr>
          <w:lang w:val="en-US"/>
        </w:rPr>
        <w:t xml:space="preserve"> equipment which is built from 1 </w:t>
      </w:r>
      <w:r>
        <w:rPr>
          <w:lang w:val="en-US"/>
        </w:rPr>
        <w:t>October 2020. This date is estimated to correspond to one year after the date of entry into force of the proposed amendments and should give all parties sufficient time to prepare. There is no requirement to change the external marking of existing multi-temperature equipment. Already established marking schemes of multi-temperature equipment can be kept on existing equipment.</w:t>
      </w:r>
    </w:p>
    <w:p w:rsidR="00E60F61" w:rsidRDefault="008A4969" w:rsidP="008A4969">
      <w:pPr>
        <w:pStyle w:val="HChG"/>
        <w:ind w:hanging="567"/>
      </w:pPr>
      <w:r>
        <w:rPr>
          <w:lang w:val="en-US"/>
        </w:rPr>
        <w:t>II.</w:t>
      </w:r>
      <w:r>
        <w:rPr>
          <w:lang w:val="en-US"/>
        </w:rPr>
        <w:tab/>
      </w:r>
      <w:r w:rsidR="008E1050">
        <w:rPr>
          <w:lang w:val="en-US"/>
        </w:rPr>
        <w:t xml:space="preserve">Required </w:t>
      </w:r>
      <w:r w:rsidR="008E1050">
        <w:t>amendments</w:t>
      </w:r>
    </w:p>
    <w:p w:rsidR="00E60F61" w:rsidRDefault="008E1050">
      <w:pPr>
        <w:pStyle w:val="SingleTxtG"/>
        <w:rPr>
          <w:lang w:val="en-US"/>
        </w:rPr>
      </w:pPr>
      <w:r>
        <w:rPr>
          <w:lang w:val="en-US"/>
        </w:rPr>
        <w:t>11.</w:t>
      </w:r>
      <w:r>
        <w:rPr>
          <w:lang w:val="en-US"/>
        </w:rPr>
        <w:tab/>
        <w:t>In annex 1, appendix 4, add the following text after the table:</w:t>
      </w:r>
    </w:p>
    <w:p w:rsidR="00E60F61" w:rsidRDefault="008E1050">
      <w:pPr>
        <w:pStyle w:val="SingleTxtG"/>
        <w:rPr>
          <w:lang w:val="en-US"/>
        </w:rPr>
      </w:pPr>
      <w:r>
        <w:rPr>
          <w:lang w:val="en-US"/>
        </w:rPr>
        <w:t>"In the case of multi-temperature equipment divided in two compartments the equipment mark shall consist in the distinguishing marks of each compartment (example: FRC-FRA) starting with the compartment located at the front or on the left side of the equipment;</w:t>
      </w:r>
    </w:p>
    <w:p w:rsidR="00E60F61" w:rsidRDefault="008E1050">
      <w:pPr>
        <w:pStyle w:val="SingleTxtG"/>
        <w:rPr>
          <w:lang w:val="en-US"/>
        </w:rPr>
      </w:pPr>
      <w:r>
        <w:rPr>
          <w:lang w:val="en-US"/>
        </w:rPr>
        <w:t>In the case of multi-temperature equipment divided in three or more compartments the distinguishing mark shall be selected only for the highest ATP class and supplemented by the letter M (example: FRC-M).</w:t>
      </w:r>
    </w:p>
    <w:p w:rsidR="00E60F61" w:rsidRDefault="008E1050">
      <w:pPr>
        <w:pStyle w:val="SingleTxtG"/>
      </w:pPr>
      <w:r>
        <w:rPr>
          <w:lang w:val="en-US"/>
        </w:rPr>
        <w:t>This labeling is mandatory for all equipment, which is built from 1 October 2020.</w:t>
      </w:r>
      <w:r>
        <w:t xml:space="preserve"> M</w:t>
      </w:r>
      <w:r>
        <w:rPr>
          <w:lang w:val="en-US"/>
        </w:rPr>
        <w:t>arking schemes of multi-temperature equipment which are already established can be kept on existing equipment."</w:t>
      </w:r>
      <w:r w:rsidR="006D0205">
        <w:rPr>
          <w:lang w:val="en-US"/>
        </w:rPr>
        <w:t>.</w:t>
      </w:r>
    </w:p>
    <w:p w:rsidR="00E60F61" w:rsidRDefault="008E1050">
      <w:pPr>
        <w:pStyle w:val="SingleTxtG"/>
      </w:pPr>
      <w:r>
        <w:rPr>
          <w:lang w:val="en-US"/>
        </w:rPr>
        <w:t>12.</w:t>
      </w:r>
      <w:r>
        <w:rPr>
          <w:lang w:val="en-US"/>
        </w:rPr>
        <w:tab/>
        <w:t xml:space="preserve">In annex 1, appendix 2, add the </w:t>
      </w:r>
      <w:r>
        <w:t>following</w:t>
      </w:r>
      <w:r>
        <w:rPr>
          <w:lang w:val="en-US"/>
        </w:rPr>
        <w:t xml:space="preserve"> text after the present text of 7.3.6:</w:t>
      </w:r>
    </w:p>
    <w:p w:rsidR="00E60F61" w:rsidRDefault="008E1050">
      <w:pPr>
        <w:pStyle w:val="SingleTxtG"/>
        <w:rPr>
          <w:lang w:val="en-US"/>
        </w:rPr>
      </w:pPr>
      <w:r>
        <w:rPr>
          <w:lang w:val="en-US"/>
        </w:rPr>
        <w:t>"A declaration of conformity shall be provided in a supplementary document to the certificate of conformity issued by the competent authority of the country of manufacture. The document shall be based on information given by the manufacturer.</w:t>
      </w:r>
    </w:p>
    <w:p w:rsidR="00E60F61" w:rsidRDefault="008E1050">
      <w:pPr>
        <w:pStyle w:val="SingleTxtG"/>
        <w:rPr>
          <w:lang w:val="en-US"/>
        </w:rPr>
      </w:pPr>
      <w:r>
        <w:rPr>
          <w:lang w:val="en-US"/>
        </w:rPr>
        <w:t>This document shall include at least:</w:t>
      </w:r>
    </w:p>
    <w:p w:rsidR="00E60F61" w:rsidRPr="006D0205" w:rsidRDefault="008E1050" w:rsidP="00B3570B">
      <w:pPr>
        <w:pStyle w:val="SingleTxtG"/>
        <w:numPr>
          <w:ilvl w:val="0"/>
          <w:numId w:val="1"/>
        </w:numPr>
        <w:autoSpaceDN/>
        <w:ind w:left="2268" w:hanging="567"/>
        <w:textAlignment w:val="auto"/>
        <w:rPr>
          <w:kern w:val="0"/>
          <w:lang w:eastAsia="en-US"/>
        </w:rPr>
      </w:pPr>
      <w:r>
        <w:rPr>
          <w:lang w:val="en-US"/>
        </w:rPr>
        <w:t>A sketch showing the actual compartment configuration and evaporator arrangement;</w:t>
      </w:r>
    </w:p>
    <w:p w:rsidR="00E60F61" w:rsidRPr="006D0205" w:rsidRDefault="008E1050" w:rsidP="00B3570B">
      <w:pPr>
        <w:pStyle w:val="SingleTxtG"/>
        <w:numPr>
          <w:ilvl w:val="0"/>
          <w:numId w:val="1"/>
        </w:numPr>
        <w:autoSpaceDN/>
        <w:ind w:left="2268" w:hanging="567"/>
        <w:textAlignment w:val="auto"/>
        <w:rPr>
          <w:kern w:val="0"/>
          <w:lang w:eastAsia="en-US"/>
        </w:rPr>
      </w:pPr>
      <w:r>
        <w:rPr>
          <w:lang w:val="en-US"/>
        </w:rPr>
        <w:t xml:space="preserve">Proof by calculation that the multi-temperature refrigerated equipment meets the requirements of ATP for the user’s </w:t>
      </w:r>
      <w:r>
        <w:t>intended</w:t>
      </w:r>
      <w:r>
        <w:rPr>
          <w:lang w:val="en-US"/>
        </w:rPr>
        <w:t xml:space="preserve"> degree of freedom with regards to compartment temperatures and compartment dimensions."</w:t>
      </w:r>
      <w:r w:rsidR="006D0205">
        <w:rPr>
          <w:lang w:val="en-US"/>
        </w:rPr>
        <w:t>.</w:t>
      </w:r>
    </w:p>
    <w:p w:rsidR="00E60F61" w:rsidRDefault="008E1050">
      <w:pPr>
        <w:pStyle w:val="SingleTxtG"/>
      </w:pPr>
      <w:r>
        <w:rPr>
          <w:lang w:val="en-US"/>
        </w:rPr>
        <w:t>13.</w:t>
      </w:r>
      <w:r>
        <w:rPr>
          <w:lang w:val="en-US"/>
        </w:rPr>
        <w:tab/>
        <w:t xml:space="preserve">Add the following </w:t>
      </w:r>
      <w:r>
        <w:t>comment</w:t>
      </w:r>
      <w:r>
        <w:rPr>
          <w:lang w:val="en-US"/>
        </w:rPr>
        <w:t xml:space="preserve"> to annex 1, appendix 2 of the ATP Handbook:</w:t>
      </w:r>
    </w:p>
    <w:p w:rsidR="00E60F61" w:rsidRDefault="008E1050">
      <w:pPr>
        <w:pStyle w:val="SingleTxtG"/>
        <w:rPr>
          <w:i/>
          <w:lang w:val="en-US"/>
        </w:rPr>
      </w:pPr>
      <w:r>
        <w:rPr>
          <w:i/>
          <w:lang w:val="en-US"/>
        </w:rPr>
        <w:t>"Comment to paragraph 7.3.6</w:t>
      </w:r>
    </w:p>
    <w:p w:rsidR="00E60F61" w:rsidRDefault="008E1050">
      <w:pPr>
        <w:pStyle w:val="SingleTxtG"/>
        <w:rPr>
          <w:i/>
          <w:lang w:val="en-US"/>
        </w:rPr>
      </w:pPr>
      <w:r>
        <w:rPr>
          <w:i/>
          <w:lang w:val="en-US"/>
        </w:rPr>
        <w:t>Calculations in conformity with item 7.3.6 can be carried out using a calculation tool approved by the competent authority.</w:t>
      </w:r>
    </w:p>
    <w:p w:rsidR="00F44D17" w:rsidRDefault="008E1050">
      <w:pPr>
        <w:pStyle w:val="SingleTxtG"/>
        <w:rPr>
          <w:i/>
          <w:lang w:val="en-US"/>
        </w:rPr>
      </w:pPr>
      <w:r>
        <w:rPr>
          <w:i/>
          <w:lang w:val="en-US"/>
        </w:rPr>
        <w:t>Such a multi-temperature calculation tool may be obtained from Transfrigoroute International."</w:t>
      </w:r>
      <w:r w:rsidR="006D0205">
        <w:rPr>
          <w:i/>
          <w:lang w:val="en-US"/>
        </w:rPr>
        <w:t>.</w:t>
      </w:r>
    </w:p>
    <w:tbl>
      <w:tblPr>
        <w:tblW w:w="7513" w:type="dxa"/>
        <w:tblInd w:w="1134" w:type="dxa"/>
        <w:tblLayout w:type="fixed"/>
        <w:tblCellMar>
          <w:left w:w="10" w:type="dxa"/>
          <w:right w:w="10" w:type="dxa"/>
        </w:tblCellMar>
        <w:tblLook w:val="0000" w:firstRow="0" w:lastRow="0" w:firstColumn="0" w:lastColumn="0" w:noHBand="0" w:noVBand="0"/>
      </w:tblPr>
      <w:tblGrid>
        <w:gridCol w:w="1421"/>
        <w:gridCol w:w="6092"/>
      </w:tblGrid>
      <w:tr w:rsidR="00E60F61">
        <w:tc>
          <w:tcPr>
            <w:tcW w:w="1421" w:type="dxa"/>
            <w:tcMar>
              <w:top w:w="0" w:type="dxa"/>
              <w:left w:w="0" w:type="dxa"/>
              <w:bottom w:w="0" w:type="dxa"/>
              <w:right w:w="0" w:type="dxa"/>
            </w:tcMar>
          </w:tcPr>
          <w:p w:rsidR="00E60F61" w:rsidRDefault="00F44D17" w:rsidP="006D0205">
            <w:pPr>
              <w:pageBreakBefore/>
              <w:spacing w:after="120"/>
              <w:jc w:val="both"/>
            </w:pPr>
            <w:r>
              <w:rPr>
                <w:i/>
                <w:lang w:val="en-US"/>
              </w:rPr>
              <w:lastRenderedPageBreak/>
              <w:br w:type="page"/>
            </w:r>
            <w:r>
              <w:rPr>
                <w:i/>
                <w:lang w:val="en-US"/>
              </w:rPr>
              <w:br w:type="page"/>
            </w:r>
            <w:r w:rsidR="008E1050">
              <w:t>Cost:</w:t>
            </w:r>
          </w:p>
        </w:tc>
        <w:tc>
          <w:tcPr>
            <w:tcW w:w="6092" w:type="dxa"/>
            <w:tcMar>
              <w:top w:w="0" w:type="dxa"/>
              <w:left w:w="10" w:type="dxa"/>
              <w:bottom w:w="0" w:type="dxa"/>
              <w:right w:w="10" w:type="dxa"/>
            </w:tcMar>
          </w:tcPr>
          <w:p w:rsidR="00E60F61" w:rsidRDefault="008E1050">
            <w:pPr>
              <w:spacing w:after="120"/>
              <w:jc w:val="both"/>
              <w:rPr>
                <w:lang w:val="en-US"/>
              </w:rPr>
            </w:pPr>
            <w:r>
              <w:rPr>
                <w:lang w:val="en-US"/>
              </w:rPr>
              <w:t>Minor cost implications may arise for equipment manufacturers resulting from the supplement to the certificate of compliance to be issued by competent authorities. Competent authorities may need to build up necessary technical competencies for the issuance of these supplements.</w:t>
            </w:r>
          </w:p>
        </w:tc>
      </w:tr>
      <w:tr w:rsidR="00E60F61">
        <w:tc>
          <w:tcPr>
            <w:tcW w:w="1421" w:type="dxa"/>
            <w:tcMar>
              <w:top w:w="0" w:type="dxa"/>
              <w:left w:w="0" w:type="dxa"/>
              <w:bottom w:w="0" w:type="dxa"/>
              <w:right w:w="0" w:type="dxa"/>
            </w:tcMar>
          </w:tcPr>
          <w:p w:rsidR="00E60F61" w:rsidRDefault="008E1050">
            <w:pPr>
              <w:spacing w:after="120"/>
              <w:jc w:val="both"/>
            </w:pPr>
            <w:r>
              <w:t>Feasibility:</w:t>
            </w:r>
          </w:p>
        </w:tc>
        <w:tc>
          <w:tcPr>
            <w:tcW w:w="6092" w:type="dxa"/>
            <w:tcMar>
              <w:top w:w="0" w:type="dxa"/>
              <w:left w:w="10" w:type="dxa"/>
              <w:bottom w:w="0" w:type="dxa"/>
              <w:right w:w="10" w:type="dxa"/>
            </w:tcMar>
          </w:tcPr>
          <w:p w:rsidR="00E60F61" w:rsidRDefault="008E1050">
            <w:pPr>
              <w:spacing w:after="120"/>
              <w:jc w:val="both"/>
            </w:pPr>
            <w:r>
              <w:rPr>
                <w:lang w:val="en-US"/>
              </w:rPr>
              <w:t>The marking of newly built multi-temperature equipment will be easily implemented by equipment manufacturers. No transitional period is needed</w:t>
            </w:r>
            <w:r>
              <w:t>.</w:t>
            </w:r>
          </w:p>
          <w:p w:rsidR="00E60F61" w:rsidRDefault="008E1050">
            <w:pPr>
              <w:spacing w:after="120"/>
              <w:rPr>
                <w:lang w:val="en-US"/>
              </w:rPr>
            </w:pPr>
            <w:r>
              <w:rPr>
                <w:lang w:val="en-US"/>
              </w:rPr>
              <w:t xml:space="preserve">Issuance of the complementary documentation by the competent authority will require a calculation tool to be available and used. If deemed appropriate a transitional period of a maximum of 2 years for implementation could be introduced. Within this period, familiarization with the calculation tool may take place by all parties involved, competent authorities and equipment manufacturers.  </w:t>
            </w:r>
          </w:p>
        </w:tc>
      </w:tr>
      <w:tr w:rsidR="00E60F61">
        <w:tc>
          <w:tcPr>
            <w:tcW w:w="1421" w:type="dxa"/>
            <w:tcMar>
              <w:top w:w="0" w:type="dxa"/>
              <w:left w:w="0" w:type="dxa"/>
              <w:bottom w:w="0" w:type="dxa"/>
              <w:right w:w="0" w:type="dxa"/>
            </w:tcMar>
          </w:tcPr>
          <w:p w:rsidR="00E60F61" w:rsidRDefault="008E1050">
            <w:pPr>
              <w:spacing w:after="120"/>
              <w:jc w:val="both"/>
            </w:pPr>
            <w:r>
              <w:t>Enforceability:</w:t>
            </w:r>
          </w:p>
        </w:tc>
        <w:tc>
          <w:tcPr>
            <w:tcW w:w="6092" w:type="dxa"/>
            <w:tcMar>
              <w:top w:w="0" w:type="dxa"/>
              <w:left w:w="10" w:type="dxa"/>
              <w:bottom w:w="0" w:type="dxa"/>
              <w:right w:w="10" w:type="dxa"/>
            </w:tcMar>
          </w:tcPr>
          <w:p w:rsidR="00E60F61" w:rsidRDefault="008E1050">
            <w:pPr>
              <w:spacing w:after="120"/>
              <w:jc w:val="both"/>
            </w:pPr>
            <w:r>
              <w:t>No problems are expected.</w:t>
            </w:r>
          </w:p>
        </w:tc>
      </w:tr>
    </w:tbl>
    <w:p w:rsidR="00E60F61" w:rsidRDefault="008E1050">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E60F61" w:rsidSect="00961E3C">
      <w:headerReference w:type="even" r:id="rId8"/>
      <w:headerReference w:type="default" r:id="rId9"/>
      <w:footerReference w:type="even" r:id="rId10"/>
      <w:footerReference w:type="default" r:id="rId11"/>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C07" w:rsidRDefault="00204C07">
      <w:pPr>
        <w:spacing w:line="240" w:lineRule="auto"/>
      </w:pPr>
      <w:r>
        <w:separator/>
      </w:r>
    </w:p>
  </w:endnote>
  <w:endnote w:type="continuationSeparator" w:id="0">
    <w:p w:rsidR="00204C07" w:rsidRDefault="00204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宋体">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50" w:rsidRDefault="008E1050">
    <w:pPr>
      <w:pStyle w:val="Footer"/>
      <w:tabs>
        <w:tab w:val="right" w:pos="9638"/>
      </w:tabs>
    </w:pPr>
    <w:r>
      <w:rPr>
        <w:b/>
        <w:sz w:val="18"/>
      </w:rPr>
      <w:fldChar w:fldCharType="begin"/>
    </w:r>
    <w:r>
      <w:rPr>
        <w:b/>
        <w:sz w:val="18"/>
      </w:rPr>
      <w:instrText xml:space="preserve"> PAGE </w:instrText>
    </w:r>
    <w:r>
      <w:rPr>
        <w:b/>
        <w:sz w:val="18"/>
      </w:rPr>
      <w:fldChar w:fldCharType="separate"/>
    </w:r>
    <w:r w:rsidR="00F66154">
      <w:rPr>
        <w:b/>
        <w:noProof/>
        <w:sz w:val="18"/>
      </w:rPr>
      <w:t>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50" w:rsidRDefault="008E1050">
    <w:pPr>
      <w:pStyle w:val="Footer"/>
      <w:tabs>
        <w:tab w:val="right" w:pos="9638"/>
      </w:tabs>
    </w:pPr>
    <w:r>
      <w:tab/>
    </w:r>
    <w:r>
      <w:rPr>
        <w:b/>
        <w:sz w:val="18"/>
      </w:rPr>
      <w:fldChar w:fldCharType="begin"/>
    </w:r>
    <w:r>
      <w:rPr>
        <w:b/>
        <w:sz w:val="18"/>
      </w:rPr>
      <w:instrText xml:space="preserve"> PAGE </w:instrText>
    </w:r>
    <w:r>
      <w:rPr>
        <w:b/>
        <w:sz w:val="18"/>
      </w:rPr>
      <w:fldChar w:fldCharType="separate"/>
    </w:r>
    <w:r w:rsidR="00F66154">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C07" w:rsidRDefault="00204C07">
      <w:pPr>
        <w:spacing w:line="240" w:lineRule="auto"/>
      </w:pPr>
      <w:r>
        <w:rPr>
          <w:color w:val="000000"/>
        </w:rPr>
        <w:separator/>
      </w:r>
    </w:p>
  </w:footnote>
  <w:footnote w:type="continuationSeparator" w:id="0">
    <w:p w:rsidR="00204C07" w:rsidRDefault="00204C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50" w:rsidRDefault="008E1050">
    <w:pPr>
      <w:pStyle w:val="Header"/>
    </w:pPr>
    <w:r>
      <w:t>ECE/TRANS/WP.11/2017</w:t>
    </w:r>
    <w:r w:rsidR="0028702A">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F5E" w:rsidRDefault="00716F5E" w:rsidP="00716F5E">
    <w:pPr>
      <w:pStyle w:val="Header"/>
      <w:jc w:val="right"/>
    </w:pPr>
    <w:r>
      <w:t>ECE/TRANS/WP.11/2017/6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406"/>
    <w:multiLevelType w:val="multilevel"/>
    <w:tmpl w:val="15863AF8"/>
    <w:styleLink w:val="WW8Num6"/>
    <w:lvl w:ilvl="0">
      <w:start w:val="1"/>
      <w:numFmt w:val="decimal"/>
      <w:pStyle w:val="ListNumber4"/>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344807"/>
    <w:multiLevelType w:val="multilevel"/>
    <w:tmpl w:val="E4E4BDC2"/>
    <w:styleLink w:val="WW8Num13"/>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78F71E1"/>
    <w:multiLevelType w:val="multilevel"/>
    <w:tmpl w:val="0DA01AC4"/>
    <w:styleLink w:val="WW8Num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870300B"/>
    <w:multiLevelType w:val="multilevel"/>
    <w:tmpl w:val="99721B8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DBE3FB3"/>
    <w:multiLevelType w:val="multilevel"/>
    <w:tmpl w:val="DC3EF94A"/>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282729B9"/>
    <w:multiLevelType w:val="multilevel"/>
    <w:tmpl w:val="D50480EE"/>
    <w:styleLink w:val="WW8Num24"/>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BCA1219"/>
    <w:multiLevelType w:val="multilevel"/>
    <w:tmpl w:val="0F7A1DF0"/>
    <w:styleLink w:val="WW8Num14"/>
    <w:lvl w:ilvl="0">
      <w:numFmt w:val="bullet"/>
      <w:pStyle w:val="List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35930DCF"/>
    <w:multiLevelType w:val="multilevel"/>
    <w:tmpl w:val="FCC23290"/>
    <w:styleLink w:val="WW8Num18"/>
    <w:lvl w:ilvl="0">
      <w:start w:val="1"/>
      <w:numFmt w:val="decimal"/>
      <w:pStyle w:val="ListNumber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8C22A66"/>
    <w:multiLevelType w:val="hybridMultilevel"/>
    <w:tmpl w:val="FE24532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 w15:restartNumberingAfterBreak="0">
    <w:nsid w:val="3FFD027B"/>
    <w:multiLevelType w:val="multilevel"/>
    <w:tmpl w:val="8B40BF14"/>
    <w:styleLink w:val="WW8Num1"/>
    <w:lvl w:ilvl="0">
      <w:numFmt w:val="bullet"/>
      <w:pStyle w:val="Bullet1G"/>
      <w:lvlText w:val="•"/>
      <w:lvlJc w:val="left"/>
      <w:rPr>
        <w:rFonts w:ascii="Times New Roman" w:hAnsi="Times New Roman" w:cs="Times New Roman"/>
        <w:b w:val="0"/>
        <w:i w:val="0"/>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48676BA3"/>
    <w:multiLevelType w:val="multilevel"/>
    <w:tmpl w:val="52CA714C"/>
    <w:styleLink w:val="WW8Num5"/>
    <w:lvl w:ilvl="0">
      <w:numFmt w:val="bullet"/>
      <w:pStyle w:val="ListBullet3"/>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8F36457"/>
    <w:multiLevelType w:val="multilevel"/>
    <w:tmpl w:val="5CB8653E"/>
    <w:styleLink w:val="WW8Num22"/>
    <w:lvl w:ilvl="0">
      <w:start w:val="1"/>
      <w:numFmt w:val="decimal"/>
      <w:pStyle w:val="ListNumber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A665F2F"/>
    <w:multiLevelType w:val="multilevel"/>
    <w:tmpl w:val="AE4E580C"/>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56844F51"/>
    <w:multiLevelType w:val="hybridMultilevel"/>
    <w:tmpl w:val="2B7E088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15:restartNumberingAfterBreak="0">
    <w:nsid w:val="5A9426E3"/>
    <w:multiLevelType w:val="multilevel"/>
    <w:tmpl w:val="1630B08E"/>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5D1007A0"/>
    <w:multiLevelType w:val="multilevel"/>
    <w:tmpl w:val="6FD4B45C"/>
    <w:styleLink w:val="WW8Num8"/>
    <w:lvl w:ilvl="0">
      <w:numFmt w:val="bullet"/>
      <w:pStyle w:val="ListBullet4"/>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E8843B8"/>
    <w:multiLevelType w:val="multilevel"/>
    <w:tmpl w:val="499AF1BC"/>
    <w:styleLink w:val="WW8Num25"/>
    <w:lvl w:ilvl="0">
      <w:numFmt w:val="bullet"/>
      <w:pStyle w:val="Bullet2G"/>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603B7F1E"/>
    <w:multiLevelType w:val="multilevel"/>
    <w:tmpl w:val="D69EF266"/>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61095149"/>
    <w:multiLevelType w:val="multilevel"/>
    <w:tmpl w:val="33ACDD74"/>
    <w:styleLink w:val="WW8Num10"/>
    <w:lvl w:ilvl="0">
      <w:start w:val="1"/>
      <w:numFmt w:val="decimal"/>
      <w:pStyle w:val="ListNumb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11C3127"/>
    <w:multiLevelType w:val="multilevel"/>
    <w:tmpl w:val="BF18A96A"/>
    <w:styleLink w:val="WW8Num20"/>
    <w:lvl w:ilvl="0">
      <w:numFmt w:val="bullet"/>
      <w:pStyle w:val="ListBullet5"/>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64707828"/>
    <w:multiLevelType w:val="multilevel"/>
    <w:tmpl w:val="BB2C12F4"/>
    <w:styleLink w:val="WW8Num17"/>
    <w:lvl w:ilvl="0">
      <w:start w:val="1"/>
      <w:numFmt w:val="upperRoman"/>
      <w:lvlText w:val="Article %1."/>
      <w:lvlJc w:val="left"/>
    </w:lvl>
    <w:lvl w:ilvl="1">
      <w:start w:val="1"/>
      <w:numFmt w:val="decimal"/>
      <w:lvlText w:val="Section %1.%2"/>
      <w:lvlJc w:val="left"/>
    </w:lvl>
    <w:lvl w:ilvl="2">
      <w:start w:val="1"/>
      <w:numFmt w:val="lowerLetter"/>
      <w:lvlText w:val="(%3)"/>
      <w:lvlJc w:val="left"/>
    </w:lvl>
    <w:lvl w:ilvl="3">
      <w:start w:val="1"/>
      <w:numFmt w:val="lowerRoman"/>
      <w:lvlText w:val="(%4)"/>
      <w:lvlJc w:val="right"/>
    </w:lvl>
    <w:lvl w:ilvl="4">
      <w:start w:val="1"/>
      <w:numFmt w:val="decimal"/>
      <w:lvlText w:val="%5)"/>
      <w:lvlJc w:val="left"/>
    </w:lvl>
    <w:lvl w:ilvl="5">
      <w:start w:val="1"/>
      <w:numFmt w:val="lowerLetter"/>
      <w:lvlText w:val="%6)"/>
      <w:lvlJc w:val="left"/>
    </w:lvl>
    <w:lvl w:ilvl="6">
      <w:start w:val="1"/>
      <w:numFmt w:val="lowerRoman"/>
      <w:lvlText w:val="%7)"/>
      <w:lvlJc w:val="right"/>
    </w:lvl>
    <w:lvl w:ilvl="7">
      <w:start w:val="1"/>
      <w:numFmt w:val="lowerLetter"/>
      <w:lvlText w:val="%8."/>
      <w:lvlJc w:val="left"/>
    </w:lvl>
    <w:lvl w:ilvl="8">
      <w:start w:val="1"/>
      <w:numFmt w:val="lowerRoman"/>
      <w:lvlText w:val="%9."/>
      <w:lvlJc w:val="right"/>
    </w:lvl>
  </w:abstractNum>
  <w:abstractNum w:abstractNumId="21" w15:restartNumberingAfterBreak="0">
    <w:nsid w:val="6C734872"/>
    <w:multiLevelType w:val="multilevel"/>
    <w:tmpl w:val="1FCE69BA"/>
    <w:styleLink w:val="WW8Num21"/>
    <w:lvl w:ilvl="0">
      <w:start w:val="1"/>
      <w:numFmt w:val="decimal"/>
      <w:pStyle w:val="ListNumber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DC315A7"/>
    <w:multiLevelType w:val="multilevel"/>
    <w:tmpl w:val="A1803F3E"/>
    <w:styleLink w:val="WW8Num9"/>
    <w:lvl w:ilvl="0">
      <w:numFmt w:val="bullet"/>
      <w:pStyle w:val="ListBullet2"/>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7218529D"/>
    <w:multiLevelType w:val="multilevel"/>
    <w:tmpl w:val="38C8B0F0"/>
    <w:styleLink w:val="WW8Num4"/>
    <w:lvl w:ilvl="0">
      <w:numFmt w:val="bullet"/>
      <w:lvlText w:val=""/>
      <w:lvlJc w:val="left"/>
      <w:rPr>
        <w:rFonts w:ascii="Symbol" w:hAnsi="Symbol" w:cs="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72E334A8"/>
    <w:multiLevelType w:val="multilevel"/>
    <w:tmpl w:val="C2581FE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73820B02"/>
    <w:multiLevelType w:val="multilevel"/>
    <w:tmpl w:val="041038EA"/>
    <w:styleLink w:val="WW8Num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749D0DD7"/>
    <w:multiLevelType w:val="multilevel"/>
    <w:tmpl w:val="23722376"/>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25"/>
  </w:num>
  <w:num w:numId="3">
    <w:abstractNumId w:val="24"/>
  </w:num>
  <w:num w:numId="4">
    <w:abstractNumId w:val="23"/>
  </w:num>
  <w:num w:numId="5">
    <w:abstractNumId w:val="10"/>
  </w:num>
  <w:num w:numId="6">
    <w:abstractNumId w:val="0"/>
  </w:num>
  <w:num w:numId="7">
    <w:abstractNumId w:val="17"/>
  </w:num>
  <w:num w:numId="8">
    <w:abstractNumId w:val="15"/>
  </w:num>
  <w:num w:numId="9">
    <w:abstractNumId w:val="22"/>
  </w:num>
  <w:num w:numId="10">
    <w:abstractNumId w:val="18"/>
  </w:num>
  <w:num w:numId="11">
    <w:abstractNumId w:val="2"/>
  </w:num>
  <w:num w:numId="12">
    <w:abstractNumId w:val="4"/>
  </w:num>
  <w:num w:numId="13">
    <w:abstractNumId w:val="1"/>
  </w:num>
  <w:num w:numId="14">
    <w:abstractNumId w:val="6"/>
  </w:num>
  <w:num w:numId="15">
    <w:abstractNumId w:val="26"/>
  </w:num>
  <w:num w:numId="16">
    <w:abstractNumId w:val="14"/>
  </w:num>
  <w:num w:numId="17">
    <w:abstractNumId w:val="20"/>
  </w:num>
  <w:num w:numId="18">
    <w:abstractNumId w:val="7"/>
  </w:num>
  <w:num w:numId="19">
    <w:abstractNumId w:val="3"/>
  </w:num>
  <w:num w:numId="20">
    <w:abstractNumId w:val="19"/>
  </w:num>
  <w:num w:numId="21">
    <w:abstractNumId w:val="21"/>
  </w:num>
  <w:num w:numId="22">
    <w:abstractNumId w:val="11"/>
  </w:num>
  <w:num w:numId="23">
    <w:abstractNumId w:val="12"/>
  </w:num>
  <w:num w:numId="24">
    <w:abstractNumId w:val="5"/>
  </w:num>
  <w:num w:numId="25">
    <w:abstractNumId w:val="16"/>
  </w:num>
  <w:num w:numId="26">
    <w:abstractNumId w:val="4"/>
  </w:num>
  <w:num w:numId="27">
    <w:abstractNumId w:val="8"/>
  </w:num>
  <w:num w:numId="28">
    <w:abstractNumId w:val="13"/>
  </w:num>
  <w:num w:numId="29">
    <w:abstractNumId w:val="9"/>
  </w:num>
  <w:num w:numId="30">
    <w:abstractNumId w:val="9"/>
  </w:num>
  <w:num w:numId="31">
    <w:abstractNumId w:val="9"/>
  </w:num>
  <w:num w:numId="32">
    <w:abstractNumId w:val="9"/>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567"/>
  <w:autoHyphenation/>
  <w:hyphenationZone w:val="425"/>
  <w:evenAndOddHeaders/>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F61"/>
    <w:rsid w:val="0006081A"/>
    <w:rsid w:val="00067AA7"/>
    <w:rsid w:val="000C7F6D"/>
    <w:rsid w:val="000F13CF"/>
    <w:rsid w:val="00204C07"/>
    <w:rsid w:val="0028702A"/>
    <w:rsid w:val="002C1FD5"/>
    <w:rsid w:val="0035257B"/>
    <w:rsid w:val="00366673"/>
    <w:rsid w:val="003C55BE"/>
    <w:rsid w:val="0048311A"/>
    <w:rsid w:val="00564090"/>
    <w:rsid w:val="00596666"/>
    <w:rsid w:val="00643B98"/>
    <w:rsid w:val="006D0205"/>
    <w:rsid w:val="006D3359"/>
    <w:rsid w:val="00716F5E"/>
    <w:rsid w:val="00787032"/>
    <w:rsid w:val="007C0C46"/>
    <w:rsid w:val="007C3A08"/>
    <w:rsid w:val="008862BF"/>
    <w:rsid w:val="008A4969"/>
    <w:rsid w:val="008E1050"/>
    <w:rsid w:val="00961E3C"/>
    <w:rsid w:val="00AC172C"/>
    <w:rsid w:val="00B3570B"/>
    <w:rsid w:val="00B85885"/>
    <w:rsid w:val="00B90ACA"/>
    <w:rsid w:val="00C6367C"/>
    <w:rsid w:val="00D275CD"/>
    <w:rsid w:val="00D90927"/>
    <w:rsid w:val="00DF7D4F"/>
    <w:rsid w:val="00E43741"/>
    <w:rsid w:val="00E60F61"/>
    <w:rsid w:val="00F12F26"/>
    <w:rsid w:val="00F154F8"/>
    <w:rsid w:val="00F44D17"/>
    <w:rsid w:val="00F66154"/>
    <w:rsid w:val="00F66D5A"/>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0FCB588-8903-4F97-AFAE-5BC22A92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4D17"/>
    <w:pPr>
      <w:suppressAutoHyphens/>
      <w:autoSpaceDN w:val="0"/>
      <w:spacing w:line="240" w:lineRule="atLeast"/>
      <w:textAlignment w:val="baseline"/>
    </w:pPr>
    <w:rPr>
      <w:rFonts w:ascii="Times New Roman" w:eastAsia="Times New Roman" w:hAnsi="Times New Roman" w:cs="Times New Roman"/>
      <w:kern w:val="3"/>
      <w:lang w:eastAsia="zh-CN"/>
    </w:rPr>
  </w:style>
  <w:style w:type="paragraph" w:styleId="Heading1">
    <w:name w:val="heading 1"/>
    <w:basedOn w:val="SingleTxtG"/>
    <w:next w:val="SingleTxtG"/>
    <w:pPr>
      <w:spacing w:after="0" w:line="240" w:lineRule="auto"/>
      <w:ind w:right="0"/>
      <w:jc w:val="left"/>
      <w:outlineLvl w:val="0"/>
    </w:pPr>
  </w:style>
  <w:style w:type="paragraph" w:styleId="Heading2">
    <w:name w:val="heading 2"/>
    <w:basedOn w:val="Normal"/>
    <w:next w:val="Normal"/>
    <w:pPr>
      <w:spacing w:line="240" w:lineRule="auto"/>
      <w:outlineLvl w:val="1"/>
    </w:pPr>
  </w:style>
  <w:style w:type="paragraph" w:styleId="Heading3">
    <w:name w:val="heading 3"/>
    <w:basedOn w:val="Normal"/>
    <w:next w:val="Normal"/>
    <w:pPr>
      <w:spacing w:line="240" w:lineRule="auto"/>
      <w:outlineLvl w:val="2"/>
    </w:pPr>
  </w:style>
  <w:style w:type="paragraph" w:styleId="Heading4">
    <w:name w:val="heading 4"/>
    <w:basedOn w:val="Normal"/>
    <w:next w:val="Normal"/>
    <w:pPr>
      <w:spacing w:line="240" w:lineRule="auto"/>
      <w:outlineLvl w:val="3"/>
    </w:pPr>
  </w:style>
  <w:style w:type="paragraph" w:styleId="Heading5">
    <w:name w:val="heading 5"/>
    <w:basedOn w:val="Normal"/>
    <w:next w:val="Normal"/>
    <w:pPr>
      <w:spacing w:line="240" w:lineRule="auto"/>
      <w:outlineLvl w:val="4"/>
    </w:pPr>
  </w:style>
  <w:style w:type="paragraph" w:styleId="Heading6">
    <w:name w:val="heading 6"/>
    <w:basedOn w:val="Normal"/>
    <w:next w:val="Normal"/>
    <w:pPr>
      <w:spacing w:line="240" w:lineRule="auto"/>
      <w:outlineLvl w:val="5"/>
    </w:pPr>
  </w:style>
  <w:style w:type="paragraph" w:styleId="Heading7">
    <w:name w:val="heading 7"/>
    <w:basedOn w:val="Normal"/>
    <w:next w:val="Normal"/>
    <w:pPr>
      <w:spacing w:line="240" w:lineRule="auto"/>
      <w:outlineLvl w:val="6"/>
    </w:pPr>
  </w:style>
  <w:style w:type="paragraph" w:styleId="Heading8">
    <w:name w:val="heading 8"/>
    <w:basedOn w:val="Normal"/>
    <w:next w:val="Normal"/>
    <w:pPr>
      <w:spacing w:line="240" w:lineRule="auto"/>
      <w:outlineLvl w:val="7"/>
    </w:pPr>
  </w:style>
  <w:style w:type="paragraph" w:styleId="Heading9">
    <w:name w:val="heading 9"/>
    <w:basedOn w:val="Normal"/>
    <w:next w:val="Normal"/>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eadinguser"/>
    <w:next w:val="Textbodyuser"/>
    <w:rPr>
      <w:sz w:val="56"/>
      <w:szCs w:val="56"/>
    </w:rPr>
  </w:style>
  <w:style w:type="paragraph" w:customStyle="1" w:styleId="Textbody">
    <w:name w:val="Text body"/>
    <w:basedOn w:val="Normal"/>
    <w:pPr>
      <w:spacing w:after="140" w:line="288" w:lineRule="auto"/>
    </w:pPr>
  </w:style>
  <w:style w:type="paragraph" w:styleId="List">
    <w:name w:val="List"/>
    <w:basedOn w:val="Normal"/>
    <w:pPr>
      <w:ind w:left="283" w:hanging="283"/>
    </w:pPr>
  </w:style>
  <w:style w:type="paragraph" w:styleId="Caption">
    <w:name w:val="caption"/>
    <w:basedOn w:val="Normal"/>
    <w:pPr>
      <w:suppressLineNumbers/>
      <w:spacing w:before="120" w:after="120"/>
    </w:pPr>
    <w:rPr>
      <w:rFonts w:ascii="Arial" w:hAnsi="Arial" w:cs="Mangal"/>
      <w:i/>
      <w:iCs/>
      <w:sz w:val="24"/>
      <w:szCs w:val="24"/>
    </w:rPr>
  </w:style>
  <w:style w:type="paragraph" w:customStyle="1" w:styleId="Index">
    <w:name w:val="Index"/>
    <w:basedOn w:val="Normal"/>
    <w:pPr>
      <w:suppressLineNumbers/>
    </w:pPr>
    <w:rPr>
      <w:rFonts w:ascii="Arial" w:hAnsi="Arial" w:cs="Mangal"/>
      <w:sz w:val="24"/>
    </w:rPr>
  </w:style>
  <w:style w:type="paragraph" w:customStyle="1" w:styleId="SingleTxtG">
    <w:name w:val="_ Single Txt_G"/>
    <w:basedOn w:val="Normal"/>
    <w:pPr>
      <w:spacing w:after="120"/>
      <w:ind w:left="1134" w:right="1134"/>
      <w:jc w:val="both"/>
    </w:pPr>
  </w:style>
  <w:style w:type="paragraph" w:customStyle="1" w:styleId="Headinguser">
    <w:name w:val="Heading (user)"/>
    <w:basedOn w:val="Normal"/>
    <w:next w:val="Textbodyuser"/>
    <w:pPr>
      <w:spacing w:before="240" w:after="60"/>
      <w:jc w:val="center"/>
      <w:outlineLvl w:val="0"/>
    </w:pPr>
    <w:rPr>
      <w:rFonts w:ascii="Arial" w:hAnsi="Arial" w:cs="Arial"/>
      <w:b/>
      <w:bCs/>
      <w:sz w:val="32"/>
      <w:szCs w:val="32"/>
    </w:rPr>
  </w:style>
  <w:style w:type="paragraph" w:customStyle="1" w:styleId="Textbodyuser">
    <w:name w:val="Text body (user)"/>
    <w:basedOn w:val="Normal"/>
    <w:next w:val="Normal"/>
  </w:style>
  <w:style w:type="paragraph" w:customStyle="1" w:styleId="HMG">
    <w:name w:val="_ H __M_G"/>
    <w:basedOn w:val="Normal"/>
    <w:next w:val="Normal"/>
    <w:pPr>
      <w:keepNext/>
      <w:keepLines/>
      <w:spacing w:before="240" w:after="240" w:line="360" w:lineRule="exact"/>
      <w:ind w:left="1134" w:right="1134" w:hanging="1134"/>
    </w:pPr>
    <w:rPr>
      <w:b/>
      <w:sz w:val="34"/>
    </w:rPr>
  </w:style>
  <w:style w:type="paragraph" w:customStyle="1" w:styleId="HChG">
    <w:name w:val="_ H _Ch_G"/>
    <w:basedOn w:val="Normal"/>
    <w:next w:val="Normal"/>
    <w:pPr>
      <w:keepNext/>
      <w:keepLines/>
      <w:spacing w:before="360" w:after="240" w:line="300" w:lineRule="exact"/>
      <w:ind w:left="1134" w:right="1134" w:hanging="1134"/>
    </w:pPr>
    <w:rPr>
      <w:b/>
      <w:sz w:val="28"/>
    </w:rPr>
  </w:style>
  <w:style w:type="paragraph" w:styleId="PlainText">
    <w:name w:val="Plain Text"/>
    <w:basedOn w:val="Normal"/>
    <w:rPr>
      <w:rFonts w:cs="Courier New"/>
    </w:rPr>
  </w:style>
  <w:style w:type="paragraph" w:customStyle="1" w:styleId="Textbodyindentuser">
    <w:name w:val="Text body indent (user)"/>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Footnoteuser">
    <w:name w:val="Footnote (user)"/>
    <w:basedOn w:val="Normal"/>
    <w:pPr>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Endnoteuser">
    <w:name w:val="Endnote (user)"/>
    <w:basedOn w:val="Footnoteuser"/>
  </w:style>
  <w:style w:type="paragraph" w:styleId="CommentText">
    <w:name w:val="annotation text"/>
    <w:basedOn w:val="Normal"/>
  </w:style>
  <w:style w:type="paragraph" w:customStyle="1" w:styleId="Bullet2G">
    <w:name w:val="_Bullet 2_G"/>
    <w:basedOn w:val="Normal"/>
    <w:pPr>
      <w:numPr>
        <w:numId w:val="25"/>
      </w:numPr>
      <w:spacing w:after="120"/>
      <w:ind w:right="1134"/>
      <w:jc w:val="both"/>
    </w:pPr>
  </w:style>
  <w:style w:type="paragraph" w:customStyle="1" w:styleId="H1G">
    <w:name w:val="_ H_1_G"/>
    <w:basedOn w:val="Normal"/>
    <w:next w:val="Normal"/>
    <w:pPr>
      <w:keepNext/>
      <w:keepLines/>
      <w:spacing w:before="360" w:after="240" w:line="270" w:lineRule="exact"/>
      <w:ind w:left="1134" w:right="1134" w:hanging="1134"/>
    </w:pPr>
    <w:rPr>
      <w:b/>
      <w:sz w:val="24"/>
    </w:rPr>
  </w:style>
  <w:style w:type="paragraph" w:customStyle="1" w:styleId="H23G">
    <w:name w:val="_ H_2/3_G"/>
    <w:basedOn w:val="Normal"/>
    <w:next w:val="Normal"/>
    <w:pPr>
      <w:keepNext/>
      <w:keepLines/>
      <w:spacing w:before="240" w:after="120" w:line="240" w:lineRule="exact"/>
      <w:ind w:left="1134" w:right="1134" w:hanging="1134"/>
    </w:pPr>
    <w:rPr>
      <w:b/>
    </w:rPr>
  </w:style>
  <w:style w:type="paragraph" w:customStyle="1" w:styleId="H4G">
    <w:name w:val="_ H_4_G"/>
    <w:basedOn w:val="Normal"/>
    <w:next w:val="Normal"/>
    <w:pPr>
      <w:keepNext/>
      <w:keepLines/>
      <w:spacing w:before="240" w:after="120" w:line="240" w:lineRule="exact"/>
      <w:ind w:left="1134" w:right="1134" w:hanging="1134"/>
    </w:pPr>
    <w:rPr>
      <w:i/>
    </w:rPr>
  </w:style>
  <w:style w:type="paragraph" w:customStyle="1" w:styleId="H56G">
    <w:name w:val="_ H_5/6_G"/>
    <w:basedOn w:val="Normal"/>
    <w:next w:val="Normal"/>
    <w:pPr>
      <w:keepNext/>
      <w:keepLines/>
      <w:spacing w:before="240" w:after="120" w:line="240" w:lineRule="exact"/>
      <w:ind w:left="1134" w:right="1134" w:hanging="1134"/>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Textbodyuser"/>
    <w:pPr>
      <w:spacing w:after="120"/>
      <w:ind w:firstLine="210"/>
    </w:pPr>
  </w:style>
  <w:style w:type="paragraph" w:styleId="BodyTextFirstIndent2">
    <w:name w:val="Body Text First Indent 2"/>
    <w:basedOn w:val="Textbodyindentuser"/>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paragraph" w:customStyle="1" w:styleId="Senderuser">
    <w:name w:val="Sender (us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4"/>
      </w:numPr>
    </w:pPr>
  </w:style>
  <w:style w:type="paragraph" w:styleId="ListBullet2">
    <w:name w:val="List Bullet 2"/>
    <w:basedOn w:val="Normal"/>
    <w:pPr>
      <w:numPr>
        <w:numId w:val="9"/>
      </w:numPr>
    </w:pPr>
  </w:style>
  <w:style w:type="paragraph" w:styleId="ListBullet3">
    <w:name w:val="List Bullet 3"/>
    <w:basedOn w:val="Normal"/>
    <w:pPr>
      <w:numPr>
        <w:numId w:val="5"/>
      </w:numPr>
    </w:pPr>
  </w:style>
  <w:style w:type="paragraph" w:styleId="ListBullet4">
    <w:name w:val="List Bullet 4"/>
    <w:basedOn w:val="Normal"/>
    <w:pPr>
      <w:numPr>
        <w:numId w:val="8"/>
      </w:numPr>
    </w:pPr>
  </w:style>
  <w:style w:type="paragraph" w:styleId="ListBullet5">
    <w:name w:val="List Bullet 5"/>
    <w:basedOn w:val="Normal"/>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21"/>
      </w:numPr>
    </w:pPr>
  </w:style>
  <w:style w:type="paragraph" w:styleId="ListNumber3">
    <w:name w:val="List Number 3"/>
    <w:basedOn w:val="Normal"/>
    <w:pPr>
      <w:numPr>
        <w:numId w:val="18"/>
      </w:numPr>
    </w:pPr>
  </w:style>
  <w:style w:type="paragraph" w:styleId="ListNumber4">
    <w:name w:val="List Number 4"/>
    <w:basedOn w:val="Normal"/>
    <w:pPr>
      <w:numPr>
        <w:numId w:val="6"/>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Textbodyuser"/>
    <w:pPr>
      <w:spacing w:after="60"/>
      <w:jc w:val="center"/>
      <w:outlineLvl w:val="1"/>
    </w:pPr>
    <w:rPr>
      <w:rFonts w:ascii="Arial" w:hAnsi="Arial" w:cs="Arial"/>
      <w:sz w:val="24"/>
      <w:szCs w:val="24"/>
    </w:rPr>
  </w:style>
  <w:style w:type="paragraph" w:customStyle="1" w:styleId="Addresseeuser">
    <w:name w:val="Addressee (user)"/>
    <w:basedOn w:val="Normal"/>
    <w:pPr>
      <w:ind w:left="2880"/>
    </w:pPr>
    <w:rPr>
      <w:rFonts w:ascii="Arial" w:hAnsi="Arial" w:cs="Arial"/>
      <w:sz w:val="24"/>
      <w:szCs w:val="24"/>
    </w:rPr>
  </w:style>
  <w:style w:type="paragraph" w:styleId="Footer">
    <w:name w:val="footer"/>
    <w:basedOn w:val="Normal"/>
    <w:pPr>
      <w:spacing w:line="240" w:lineRule="auto"/>
    </w:pPr>
    <w:rPr>
      <w:sz w:val="16"/>
    </w:rPr>
  </w:style>
  <w:style w:type="paragraph" w:styleId="Header">
    <w:name w:val="header"/>
    <w:basedOn w:val="Normal"/>
    <w:pPr>
      <w:pBdr>
        <w:bottom w:val="single" w:sz="4" w:space="4" w:color="000000"/>
      </w:pBdr>
      <w:spacing w:line="240" w:lineRule="auto"/>
    </w:pPr>
    <w:rPr>
      <w:b/>
      <w:sz w:val="18"/>
    </w:rPr>
  </w:style>
  <w:style w:type="paragraph" w:styleId="BalloonText">
    <w:name w:val="Balloon Text"/>
    <w:basedOn w:val="Normal"/>
    <w:pPr>
      <w:spacing w:line="240" w:lineRule="auto"/>
    </w:pPr>
    <w:rPr>
      <w:rFonts w:ascii="Tahoma" w:hAnsi="Tahoma" w:cs="Tahoma"/>
      <w:sz w:val="16"/>
      <w:szCs w:val="16"/>
    </w:rPr>
  </w:style>
  <w:style w:type="paragraph" w:styleId="ListParagraph">
    <w:name w:val="List Paragraph"/>
    <w:basedOn w:val="Normal"/>
    <w:pPr>
      <w:suppressAutoHyphens w:val="0"/>
      <w:spacing w:after="200" w:line="276" w:lineRule="auto"/>
      <w:ind w:left="720"/>
    </w:pPr>
    <w:rPr>
      <w:rFonts w:ascii="Calibri" w:eastAsia="SimSun, 宋体" w:hAnsi="Calibri" w:cs="Arial"/>
      <w:sz w:val="22"/>
      <w:szCs w:val="22"/>
      <w:lang w:val="de-DE"/>
    </w:rPr>
  </w:style>
  <w:style w:type="paragraph" w:customStyle="1" w:styleId="TableContentsuser">
    <w:name w:val="Table Contents (user)"/>
    <w:basedOn w:val="Normal"/>
    <w:pPr>
      <w:suppressLineNumbers/>
    </w:pPr>
  </w:style>
  <w:style w:type="paragraph" w:customStyle="1" w:styleId="TableHeadinguser">
    <w:name w:val="Table Heading (user)"/>
    <w:basedOn w:val="TableContentsuser"/>
    <w:pPr>
      <w:jc w:val="center"/>
    </w:pPr>
    <w:rPr>
      <w:b/>
      <w:bCs/>
    </w:rPr>
  </w:style>
  <w:style w:type="paragraph" w:customStyle="1" w:styleId="Quotations">
    <w:name w:val="Quotations"/>
    <w:basedOn w:val="Normal"/>
    <w:pPr>
      <w:spacing w:after="283"/>
      <w:ind w:left="567" w:right="56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next w:val="Textbody"/>
  </w:style>
  <w:style w:type="character" w:customStyle="1" w:styleId="WW8Num1z0">
    <w:name w:val="WW8Num1z0"/>
    <w:rPr>
      <w:rFonts w:ascii="Times New Roman" w:hAnsi="Times New Roman" w:cs="Times New Roman"/>
      <w:b w:val="0"/>
      <w:i w:val="0"/>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OpenSymbol" w:eastAsia="OpenSymbol" w:hAnsi="OpenSymbol" w:cs="OpenSymbol"/>
    </w:rPr>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OpenSymbol" w:eastAsia="OpenSymbol" w:hAnsi="OpenSymbol" w:cs="OpenSymbol"/>
    </w:rPr>
  </w:style>
  <w:style w:type="character" w:customStyle="1" w:styleId="WW8Num14z0">
    <w:name w:val="WW8Num14z0"/>
    <w:rPr>
      <w:rFonts w:ascii="Symbol" w:hAnsi="Symbol" w:cs="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HChGChar">
    <w:name w:val="_ H _Ch_G Char"/>
    <w:rPr>
      <w:b/>
      <w:sz w:val="28"/>
      <w:lang w:val="en-GB" w:bidi="ar-SA"/>
    </w:rPr>
  </w:style>
  <w:style w:type="character" w:styleId="PageNumber">
    <w:name w:val="page number"/>
    <w:rPr>
      <w:rFonts w:ascii="Times New Roman" w:hAnsi="Times New Roman" w:cs="Times New Roman"/>
      <w:b/>
      <w:sz w:val="18"/>
    </w:rPr>
  </w:style>
  <w:style w:type="character" w:customStyle="1" w:styleId="FootnoteSymboluser">
    <w:name w:val="Footnote Symbol (user)"/>
    <w:rPr>
      <w:rFonts w:ascii="Times New Roman" w:hAnsi="Times New Roman" w:cs="Times New Roman"/>
      <w:position w:val="0"/>
      <w:sz w:val="18"/>
      <w:vertAlign w:val="superscript"/>
    </w:rPr>
  </w:style>
  <w:style w:type="character" w:customStyle="1" w:styleId="EndnoteSymboluser">
    <w:name w:val="Endnote Symbol (user)"/>
    <w:basedOn w:val="FootnoteSymboluser"/>
    <w:rPr>
      <w:rFonts w:ascii="Times New Roman" w:hAnsi="Times New Roman" w:cs="Times New Roman"/>
      <w:position w:val="0"/>
      <w:sz w:val="18"/>
      <w:vertAlign w:val="superscript"/>
    </w:rPr>
  </w:style>
  <w:style w:type="character" w:styleId="CommentReference">
    <w:name w:val="annotation reference"/>
    <w:rPr>
      <w:sz w:val="6"/>
    </w:rPr>
  </w:style>
  <w:style w:type="character" w:customStyle="1" w:styleId="Linenumberinguser">
    <w:name w:val="Line numbering (user)"/>
    <w:rPr>
      <w:sz w:val="14"/>
    </w:rPr>
  </w:style>
  <w:style w:type="character" w:styleId="Emphasis">
    <w:name w:val="Emphasis"/>
    <w:rPr>
      <w:i/>
      <w:iCs/>
    </w:rPr>
  </w:style>
  <w:style w:type="character" w:customStyle="1" w:styleId="VisitedInternetLinkuser">
    <w:name w:val="Visited Internet Link (user)"/>
    <w:rPr>
      <w:color w:val="000000"/>
      <w:u w:val="non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Internetlinkuser">
    <w:name w:val="Internet link (user)"/>
    <w:rPr>
      <w:color w:val="000000"/>
      <w:u w:val="none"/>
    </w:rPr>
  </w:style>
  <w:style w:type="character" w:customStyle="1" w:styleId="StrongEmphasisuser">
    <w:name w:val="Strong Emphasis (user)"/>
    <w:rPr>
      <w:b/>
      <w:bCs/>
    </w:rPr>
  </w:style>
  <w:style w:type="character" w:customStyle="1" w:styleId="SprechblasentextZchn">
    <w:name w:val="Sprechblasentext Zchn"/>
    <w:rPr>
      <w:rFonts w:ascii="Tahoma" w:hAnsi="Tahoma" w:cs="Tahoma"/>
      <w:sz w:val="16"/>
      <w:szCs w:val="16"/>
      <w:lang w:val="en-GB"/>
    </w:rPr>
  </w:style>
  <w:style w:type="character" w:customStyle="1" w:styleId="BulletSymbolsuser">
    <w:name w:val="Bullet Symbols (user)"/>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1195</Words>
  <Characters>7293</Characters>
  <Application>Microsoft Office Word</Application>
  <DocSecurity>0</DocSecurity>
  <Lines>148</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MyCompany</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Marie-Claude Collet</cp:lastModifiedBy>
  <cp:revision>24</cp:revision>
  <cp:lastPrinted>2017-07-20T14:49:00Z</cp:lastPrinted>
  <dcterms:created xsi:type="dcterms:W3CDTF">2017-07-17T11:30:00Z</dcterms:created>
  <dcterms:modified xsi:type="dcterms:W3CDTF">2017-07-21T15:29:00Z</dcterms:modified>
</cp:coreProperties>
</file>