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D2AF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D2AF8" w:rsidP="003D2AF8">
            <w:pPr>
              <w:jc w:val="right"/>
            </w:pPr>
            <w:r w:rsidRPr="003D2AF8">
              <w:rPr>
                <w:sz w:val="40"/>
              </w:rPr>
              <w:t>ECE</w:t>
            </w:r>
            <w:r>
              <w:t>/TRANS/WP.11/2017/4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D2AF8" w:rsidP="00C97039">
            <w:pPr>
              <w:spacing w:before="240"/>
            </w:pPr>
            <w:proofErr w:type="spellStart"/>
            <w:r>
              <w:t>Distr</w:t>
            </w:r>
            <w:proofErr w:type="spellEnd"/>
            <w:r>
              <w:t xml:space="preserve">. </w:t>
            </w:r>
            <w:proofErr w:type="gramStart"/>
            <w:r>
              <w:t>générale</w:t>
            </w:r>
            <w:proofErr w:type="gramEnd"/>
          </w:p>
          <w:p w:rsidR="003D2AF8" w:rsidRDefault="003D2AF8" w:rsidP="003D2AF8">
            <w:pPr>
              <w:spacing w:line="240" w:lineRule="exact"/>
            </w:pPr>
            <w:r>
              <w:t>20 juillet 2017</w:t>
            </w:r>
          </w:p>
          <w:p w:rsidR="003D2AF8" w:rsidRDefault="003D2AF8" w:rsidP="003D2AF8">
            <w:pPr>
              <w:spacing w:line="240" w:lineRule="exact"/>
            </w:pPr>
            <w:r>
              <w:t>Français</w:t>
            </w:r>
          </w:p>
          <w:p w:rsidR="003D2AF8" w:rsidRPr="00DB58B5" w:rsidRDefault="003D2AF8" w:rsidP="003D2AF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068CA" w:rsidRPr="00A6536E" w:rsidRDefault="007068CA" w:rsidP="00A6536E">
      <w:pPr>
        <w:spacing w:before="120"/>
        <w:rPr>
          <w:b/>
          <w:sz w:val="24"/>
          <w:szCs w:val="24"/>
        </w:rPr>
      </w:pPr>
      <w:r w:rsidRPr="00A6536E">
        <w:rPr>
          <w:b/>
          <w:sz w:val="24"/>
          <w:szCs w:val="24"/>
        </w:rPr>
        <w:t>Groupe de travail du transport des denrées périssables</w:t>
      </w:r>
    </w:p>
    <w:p w:rsidR="007068CA" w:rsidRPr="00A6536E" w:rsidRDefault="007068CA" w:rsidP="00A6536E">
      <w:pPr>
        <w:spacing w:before="120"/>
        <w:rPr>
          <w:b/>
        </w:rPr>
      </w:pPr>
      <w:r w:rsidRPr="00A6536E">
        <w:rPr>
          <w:b/>
        </w:rPr>
        <w:t>Soixante-treizième session</w:t>
      </w:r>
    </w:p>
    <w:p w:rsidR="007068CA" w:rsidRPr="00A6536E" w:rsidRDefault="007068CA" w:rsidP="007068CA">
      <w:r w:rsidRPr="00A6536E">
        <w:t>Genève, 10-13</w:t>
      </w:r>
      <w:r w:rsidR="00A6536E">
        <w:t> </w:t>
      </w:r>
      <w:r w:rsidRPr="00A6536E">
        <w:t>octobre 2017</w:t>
      </w:r>
    </w:p>
    <w:p w:rsidR="007068CA" w:rsidRPr="00A6536E" w:rsidRDefault="007068CA" w:rsidP="007068CA">
      <w:r w:rsidRPr="00A6536E">
        <w:t>Point</w:t>
      </w:r>
      <w:r w:rsidR="00A6536E">
        <w:t> </w:t>
      </w:r>
      <w:r w:rsidRPr="00A6536E">
        <w:t>5</w:t>
      </w:r>
      <w:r w:rsidR="00A6536E">
        <w:t> </w:t>
      </w:r>
      <w:r w:rsidRPr="00A6536E">
        <w:t>b) de l’ordre du jour provisoire</w:t>
      </w:r>
    </w:p>
    <w:p w:rsidR="007068CA" w:rsidRPr="00A6536E" w:rsidRDefault="007068CA" w:rsidP="007068CA">
      <w:pPr>
        <w:rPr>
          <w:b/>
        </w:rPr>
      </w:pPr>
      <w:r w:rsidRPr="00A6536E">
        <w:rPr>
          <w:b/>
        </w:rPr>
        <w:t>Propositions d’amendements à l’ATP</w:t>
      </w:r>
      <w:r w:rsidR="00A6536E">
        <w:rPr>
          <w:b/>
        </w:rPr>
        <w:t> </w:t>
      </w:r>
      <w:r w:rsidRPr="00A6536E">
        <w:rPr>
          <w:b/>
        </w:rPr>
        <w:t xml:space="preserve">: </w:t>
      </w:r>
      <w:r w:rsidRPr="00A6536E">
        <w:rPr>
          <w:b/>
        </w:rPr>
        <w:br/>
        <w:t>nouvelles propositions</w:t>
      </w:r>
    </w:p>
    <w:p w:rsidR="007068CA" w:rsidRPr="00D0406C" w:rsidRDefault="007068CA" w:rsidP="00A6536E">
      <w:pPr>
        <w:pStyle w:val="HChG"/>
      </w:pPr>
      <w:r w:rsidRPr="00D0406C">
        <w:tab/>
      </w:r>
      <w:r w:rsidRPr="00D0406C">
        <w:tab/>
      </w:r>
      <w:r>
        <w:t>Certificat</w:t>
      </w:r>
      <w:r w:rsidRPr="00D0406C">
        <w:t xml:space="preserve"> de conformité pour le transfert des engins neufs vers le pays d</w:t>
      </w:r>
      <w:r>
        <w:t>’</w:t>
      </w:r>
      <w:r w:rsidRPr="00D0406C">
        <w:t>établissement de l</w:t>
      </w:r>
      <w:r>
        <w:t>’exploitant</w:t>
      </w:r>
    </w:p>
    <w:p w:rsidR="007068CA" w:rsidRPr="007979BF" w:rsidRDefault="007068CA" w:rsidP="00A6536E">
      <w:pPr>
        <w:pStyle w:val="H1G"/>
      </w:pPr>
      <w:r w:rsidRPr="00D0406C">
        <w:tab/>
      </w:r>
      <w:r w:rsidRPr="00D0406C">
        <w:tab/>
      </w:r>
      <w:r w:rsidRPr="007979BF">
        <w:t>Communicati</w:t>
      </w:r>
      <w:r w:rsidR="00A6536E">
        <w:t>on du Gouvernement des Pays-Bas</w:t>
      </w:r>
    </w:p>
    <w:p w:rsidR="007068CA" w:rsidRPr="007979BF" w:rsidRDefault="007068CA" w:rsidP="00A6536E">
      <w:pPr>
        <w:pStyle w:val="HChG"/>
      </w:pPr>
      <w:r w:rsidRPr="007979BF">
        <w:tab/>
      </w:r>
      <w:r w:rsidRPr="007979BF">
        <w:tab/>
        <w:t>Introduction</w:t>
      </w:r>
    </w:p>
    <w:p w:rsidR="007068CA" w:rsidRPr="00D2452F" w:rsidRDefault="007068CA" w:rsidP="00A6536E">
      <w:pPr>
        <w:pStyle w:val="SingleTxtG"/>
      </w:pPr>
      <w:r w:rsidRPr="007012BF">
        <w:t>1.</w:t>
      </w:r>
      <w:r w:rsidRPr="007012BF">
        <w:tab/>
        <w:t>Le paragraph</w:t>
      </w:r>
      <w:r>
        <w:t>e</w:t>
      </w:r>
      <w:r w:rsidR="00A6536E">
        <w:t> </w:t>
      </w:r>
      <w:r w:rsidRPr="007012BF">
        <w:t>3</w:t>
      </w:r>
      <w:r w:rsidR="00A6536E">
        <w:t> </w:t>
      </w:r>
      <w:r w:rsidRPr="007012BF">
        <w:t>b) de l</w:t>
      </w:r>
      <w:r>
        <w:t>’</w:t>
      </w:r>
      <w:r w:rsidRPr="007012BF">
        <w:t>appendice</w:t>
      </w:r>
      <w:r w:rsidR="00A6536E">
        <w:t> </w:t>
      </w:r>
      <w:r w:rsidRPr="007012BF">
        <w:t>1 de l</w:t>
      </w:r>
      <w:r>
        <w:t>’a</w:t>
      </w:r>
      <w:r w:rsidRPr="007012BF">
        <w:t>nnexe</w:t>
      </w:r>
      <w:r w:rsidR="00A6536E">
        <w:t> </w:t>
      </w:r>
      <w:r w:rsidRPr="007012BF">
        <w:t>1 dispose que pour qu</w:t>
      </w:r>
      <w:r>
        <w:t>’</w:t>
      </w:r>
      <w:r w:rsidRPr="007012BF">
        <w:t>un nouvel engin puisse</w:t>
      </w:r>
      <w:r>
        <w:t xml:space="preserve"> recevoir</w:t>
      </w:r>
      <w:r w:rsidRPr="007012BF">
        <w:t xml:space="preserve"> une attestation de conformité dans le pays vers lequel il est transféré, l</w:t>
      </w:r>
      <w:r>
        <w:t>’</w:t>
      </w:r>
      <w:r w:rsidRPr="007012BF">
        <w:t>autorité compétente du pays de fabrication doit d</w:t>
      </w:r>
      <w:r>
        <w:t>’</w:t>
      </w:r>
      <w:r w:rsidRPr="007012BF">
        <w:t xml:space="preserve">abord </w:t>
      </w:r>
      <w:r>
        <w:t>délivrer une telle attestation</w:t>
      </w:r>
      <w:r w:rsidRPr="007012BF">
        <w:t xml:space="preserve">. </w:t>
      </w:r>
      <w:r w:rsidRPr="00D2452F">
        <w:t>Les</w:t>
      </w:r>
      <w:r w:rsidR="00A6536E">
        <w:t> </w:t>
      </w:r>
      <w:r w:rsidRPr="00D2452F">
        <w:t xml:space="preserve">Pays-Bas </w:t>
      </w:r>
      <w:r>
        <w:t>estiment</w:t>
      </w:r>
      <w:r w:rsidRPr="00D2452F">
        <w:t xml:space="preserve"> que la délivrance de deux attestations, l</w:t>
      </w:r>
      <w:r>
        <w:t>’</w:t>
      </w:r>
      <w:r w:rsidRPr="00D2452F">
        <w:t>une dans le pays de fabrication et l</w:t>
      </w:r>
      <w:r>
        <w:t>’</w:t>
      </w:r>
      <w:r w:rsidRPr="00D2452F">
        <w:t xml:space="preserve">autre dans le pays </w:t>
      </w:r>
      <w:r>
        <w:t>dans lequel est établi</w:t>
      </w:r>
      <w:r w:rsidRPr="00D2452F">
        <w:t xml:space="preserve"> l</w:t>
      </w:r>
      <w:r>
        <w:t>’</w:t>
      </w:r>
      <w:r w:rsidRPr="00D2452F">
        <w:t xml:space="preserve">exploitant, </w:t>
      </w:r>
      <w:r>
        <w:t>renchérit les coûts sans apporter d’avantage supplémentaire</w:t>
      </w:r>
      <w:r w:rsidRPr="00D2452F">
        <w:t>.</w:t>
      </w:r>
    </w:p>
    <w:p w:rsidR="007068CA" w:rsidRDefault="007068CA" w:rsidP="00622491">
      <w:pPr>
        <w:pStyle w:val="SingleTxtG"/>
      </w:pPr>
      <w:r w:rsidRPr="00336754">
        <w:t>2.</w:t>
      </w:r>
      <w:r w:rsidRPr="00336754">
        <w:tab/>
        <w:t>Il est proposé de remplacer l</w:t>
      </w:r>
      <w:r>
        <w:t>’</w:t>
      </w:r>
      <w:r w:rsidRPr="00336754">
        <w:t>attestation de conformité délivrée par l</w:t>
      </w:r>
      <w:r>
        <w:t>’</w:t>
      </w:r>
      <w:r w:rsidRPr="00336754">
        <w:t>autorité compétente du pays de fabrication par un certificat de conformité (</w:t>
      </w:r>
      <w:r>
        <w:t>qui s’ajoute au certificat d’agrément de type</w:t>
      </w:r>
      <w:r w:rsidRPr="00336754">
        <w:t xml:space="preserve">) </w:t>
      </w:r>
      <w:r>
        <w:t>émis par le fabricant</w:t>
      </w:r>
      <w:r w:rsidRPr="00336754">
        <w:t>. C</w:t>
      </w:r>
      <w:r>
        <w:t xml:space="preserve">’est la </w:t>
      </w:r>
      <w:r w:rsidRPr="00336754">
        <w:t xml:space="preserve">pratique </w:t>
      </w:r>
      <w:r>
        <w:t>qui a été adoptée</w:t>
      </w:r>
      <w:r w:rsidRPr="00336754">
        <w:t xml:space="preserve"> pour les véhicules routiers, pour lesquels un document d</w:t>
      </w:r>
      <w:r>
        <w:t>’</w:t>
      </w:r>
      <w:r w:rsidRPr="00336754">
        <w:t xml:space="preserve">immatriculation </w:t>
      </w:r>
      <w:r>
        <w:t xml:space="preserve">initial </w:t>
      </w:r>
      <w:r w:rsidRPr="00336754">
        <w:t>est délivré</w:t>
      </w:r>
      <w:r>
        <w:t>,</w:t>
      </w:r>
      <w:r w:rsidRPr="00336754">
        <w:t xml:space="preserve"> </w:t>
      </w:r>
      <w:r w:rsidRPr="00954E5F">
        <w:t>sur la base d</w:t>
      </w:r>
      <w:r>
        <w:t>’</w:t>
      </w:r>
      <w:r w:rsidRPr="00954E5F">
        <w:t>un certificat de conformité</w:t>
      </w:r>
      <w:r>
        <w:t>,</w:t>
      </w:r>
      <w:r w:rsidRPr="00954E5F">
        <w:t xml:space="preserve"> </w:t>
      </w:r>
      <w:r w:rsidRPr="00336754">
        <w:t xml:space="preserve">par le pays </w:t>
      </w:r>
      <w:r>
        <w:t>dans lequel ces véhicules sont mis en service.</w:t>
      </w:r>
      <w:r w:rsidRPr="003E6B09">
        <w:t xml:space="preserve"> </w:t>
      </w:r>
      <w:r>
        <w:t xml:space="preserve">Il devrait rester possible de délivrer </w:t>
      </w:r>
      <w:r w:rsidRPr="00590BB9">
        <w:t>un</w:t>
      </w:r>
      <w:r>
        <w:t xml:space="preserve">e attestation de conformité provisoire à la sortie de l’usine pour un usage immédiat, à la demande de l’exploitant. Cette attestation pourrait être </w:t>
      </w:r>
      <w:proofErr w:type="gramStart"/>
      <w:r>
        <w:t>délivrée</w:t>
      </w:r>
      <w:proofErr w:type="gramEnd"/>
      <w:r>
        <w:t xml:space="preserve"> par le pays de fabrication ou par le pays dans lequel l’engin est immatriculé ou enregistré.</w:t>
      </w:r>
    </w:p>
    <w:p w:rsidR="007068CA" w:rsidRPr="00954E5F" w:rsidRDefault="007068CA" w:rsidP="00DC7636">
      <w:pPr>
        <w:pStyle w:val="H1G"/>
      </w:pPr>
      <w:r w:rsidRPr="007979BF">
        <w:tab/>
      </w:r>
      <w:r w:rsidRPr="007979BF">
        <w:tab/>
      </w:r>
      <w:r w:rsidRPr="00954E5F">
        <w:t>Proposition 1</w:t>
      </w:r>
      <w:r w:rsidR="00DC7636">
        <w:t> </w:t>
      </w:r>
      <w:r w:rsidRPr="00954E5F">
        <w:t>:</w:t>
      </w:r>
      <w:r w:rsidRPr="00954E5F">
        <w:br/>
        <w:t>Modifier comme suit l</w:t>
      </w:r>
      <w:r>
        <w:t>’</w:t>
      </w:r>
      <w:r w:rsidRPr="00954E5F">
        <w:t>article</w:t>
      </w:r>
      <w:r w:rsidR="00DC7636">
        <w:t> </w:t>
      </w:r>
      <w:r w:rsidRPr="00954E5F">
        <w:t>3</w:t>
      </w:r>
      <w:r w:rsidR="00DC7636">
        <w:t> </w:t>
      </w:r>
      <w:r w:rsidRPr="00954E5F">
        <w:t>b) de l</w:t>
      </w:r>
      <w:r>
        <w:t>’</w:t>
      </w:r>
      <w:r w:rsidRPr="00954E5F">
        <w:t>appendice</w:t>
      </w:r>
      <w:r w:rsidR="00DC7636">
        <w:t> </w:t>
      </w:r>
      <w:r w:rsidRPr="00954E5F">
        <w:t>1 de l</w:t>
      </w:r>
      <w:r>
        <w:t>’</w:t>
      </w:r>
      <w:r w:rsidRPr="00954E5F">
        <w:t>annexe</w:t>
      </w:r>
      <w:r w:rsidR="00DC7636">
        <w:t> </w:t>
      </w:r>
      <w:r w:rsidRPr="00954E5F">
        <w:t>1</w:t>
      </w:r>
      <w:r w:rsidR="00DC7636">
        <w:t> </w:t>
      </w:r>
      <w:r w:rsidRPr="00954E5F">
        <w:t>:</w:t>
      </w:r>
    </w:p>
    <w:p w:rsidR="007068CA" w:rsidRPr="00954E5F" w:rsidRDefault="007068CA" w:rsidP="00DC7636">
      <w:pPr>
        <w:pStyle w:val="SingleTxtG"/>
      </w:pPr>
      <w:r>
        <w:t>«</w:t>
      </w:r>
      <w:r w:rsidR="00DC7636">
        <w:t> </w:t>
      </w:r>
      <w:proofErr w:type="gramStart"/>
      <w:r w:rsidRPr="00954E5F">
        <w:t>b</w:t>
      </w:r>
      <w:proofErr w:type="gramEnd"/>
      <w:r w:rsidRPr="00954E5F">
        <w:t>)</w:t>
      </w:r>
      <w:r w:rsidRPr="00954E5F">
        <w:tab/>
        <w:t>dans tous les cas, pour un nouvel engin, un certificat de conformité délivré par le fabricant ou, s</w:t>
      </w:r>
      <w:r>
        <w:t>’</w:t>
      </w:r>
      <w:r w:rsidRPr="00954E5F">
        <w:t>il s</w:t>
      </w:r>
      <w:r>
        <w:t>’</w:t>
      </w:r>
      <w:r w:rsidRPr="00954E5F">
        <w:t>agit d</w:t>
      </w:r>
      <w:r>
        <w:t xml:space="preserve">’un </w:t>
      </w:r>
      <w:r w:rsidRPr="00954E5F">
        <w:t>engin en service, l</w:t>
      </w:r>
      <w:r>
        <w:t>’</w:t>
      </w:r>
      <w:r w:rsidRPr="00954E5F">
        <w:t xml:space="preserve">attestation de conformité délivrée par le pays dans lequel </w:t>
      </w:r>
      <w:r>
        <w:t>l’engin a été immatriculé ou enregistré</w:t>
      </w:r>
      <w:r w:rsidRPr="00954E5F">
        <w:t xml:space="preserve">. </w:t>
      </w:r>
    </w:p>
    <w:p w:rsidR="007068CA" w:rsidRPr="007D14C8" w:rsidRDefault="007068CA" w:rsidP="00DC7636">
      <w:pPr>
        <w:pStyle w:val="SingleTxtG"/>
      </w:pPr>
      <w:r w:rsidRPr="00DC7636">
        <w:rPr>
          <w:b/>
          <w:i/>
        </w:rPr>
        <w:lastRenderedPageBreak/>
        <w:t>NOTE</w:t>
      </w:r>
      <w:r w:rsidR="00DC7636" w:rsidRPr="00DC7636">
        <w:rPr>
          <w:b/>
          <w:i/>
        </w:rPr>
        <w:t> </w:t>
      </w:r>
      <w:r w:rsidRPr="00DC7636">
        <w:rPr>
          <w:i/>
        </w:rPr>
        <w:t>: Pour les nouveaux engins et à la demande de l’exploitant, une attestation de conformité provisoire peut être délivrée par l’autorité compétente du pays de fabrication ou du pays dans lequel l’exploitant est établi</w:t>
      </w:r>
      <w:r w:rsidRPr="001A0E14">
        <w:t>.</w:t>
      </w:r>
      <w:r w:rsidR="00DC7636">
        <w:t> </w:t>
      </w:r>
      <w:r>
        <w:t>».</w:t>
      </w:r>
    </w:p>
    <w:p w:rsidR="007068CA" w:rsidRPr="001A0E14" w:rsidRDefault="007068CA" w:rsidP="004442A4">
      <w:pPr>
        <w:pStyle w:val="H1G"/>
      </w:pPr>
      <w:r w:rsidRPr="001A0E14">
        <w:tab/>
      </w:r>
      <w:r w:rsidRPr="001A0E14">
        <w:tab/>
        <w:t>Proposition 2</w:t>
      </w:r>
      <w:r w:rsidR="004442A4">
        <w:t> </w:t>
      </w:r>
      <w:r w:rsidRPr="001A0E14">
        <w:t>:</w:t>
      </w:r>
      <w:r w:rsidRPr="001A0E14">
        <w:br/>
        <w:t xml:space="preserve">Ajouter </w:t>
      </w:r>
      <w:r>
        <w:t>à l’appendice</w:t>
      </w:r>
      <w:r w:rsidR="004442A4">
        <w:t> </w:t>
      </w:r>
      <w:r>
        <w:t>3 de l’annexe</w:t>
      </w:r>
      <w:r w:rsidR="004442A4">
        <w:t> </w:t>
      </w:r>
      <w:r>
        <w:t xml:space="preserve">1 </w:t>
      </w:r>
      <w:r w:rsidRPr="001A0E14">
        <w:t xml:space="preserve">une nouvelle section </w:t>
      </w:r>
      <w:r>
        <w:t>«</w:t>
      </w:r>
      <w:r w:rsidR="006134F1">
        <w:t> </w:t>
      </w:r>
      <w:r w:rsidRPr="001A0E14">
        <w:t>C</w:t>
      </w:r>
      <w:r w:rsidR="006134F1">
        <w:t> </w:t>
      </w:r>
      <w:r>
        <w:t>»</w:t>
      </w:r>
      <w:r w:rsidRPr="001A0E14">
        <w:t xml:space="preserve"> </w:t>
      </w:r>
      <w:r w:rsidR="004442A4">
        <w:br/>
      </w:r>
      <w:r>
        <w:t>libellée comme suit</w:t>
      </w:r>
      <w:r w:rsidR="004442A4">
        <w:t> </w:t>
      </w:r>
      <w:r w:rsidRPr="001A0E14">
        <w:t>:</w:t>
      </w:r>
    </w:p>
    <w:p w:rsidR="007068CA" w:rsidRPr="00F3645E" w:rsidRDefault="007068CA" w:rsidP="004442A4">
      <w:pPr>
        <w:pStyle w:val="H1G"/>
      </w:pPr>
      <w:r w:rsidRPr="001A0E14">
        <w:tab/>
      </w:r>
      <w:r w:rsidRPr="00F3645E">
        <w:t>C.</w:t>
      </w:r>
      <w:r w:rsidRPr="00F3645E">
        <w:tab/>
        <w:t>Modèle d</w:t>
      </w:r>
      <w:r>
        <w:t>u</w:t>
      </w:r>
      <w:r w:rsidRPr="00F3645E">
        <w:t xml:space="preserve"> </w:t>
      </w:r>
      <w:r>
        <w:t>c</w:t>
      </w:r>
      <w:r w:rsidRPr="00F3645E">
        <w:t xml:space="preserve">ertificat </w:t>
      </w:r>
      <w:r>
        <w:t xml:space="preserve">de conformité auquel il est fait référence </w:t>
      </w:r>
      <w:r w:rsidR="004442A4">
        <w:br/>
      </w:r>
      <w:r>
        <w:t>dans le paragraphe</w:t>
      </w:r>
      <w:r w:rsidR="004442A4">
        <w:t> </w:t>
      </w:r>
      <w:r>
        <w:t>3</w:t>
      </w:r>
      <w:r w:rsidR="004442A4">
        <w:t> </w:t>
      </w:r>
      <w:r>
        <w:t>b) de l’appendice</w:t>
      </w:r>
      <w:r w:rsidR="004442A4">
        <w:t> </w:t>
      </w:r>
      <w:r>
        <w:t>1 de l’annexe</w:t>
      </w:r>
      <w:r w:rsidR="004442A4">
        <w:t> 1</w:t>
      </w:r>
    </w:p>
    <w:p w:rsidR="007068CA" w:rsidRPr="00F3645E" w:rsidRDefault="007068CA" w:rsidP="004442A4">
      <w:pPr>
        <w:pStyle w:val="SingleTxtG"/>
      </w:pPr>
      <w:r w:rsidRPr="00F3645E">
        <w:t>(</w:t>
      </w:r>
      <w:r w:rsidR="00E515FC" w:rsidRPr="00F3645E">
        <w:t xml:space="preserve">Voir </w:t>
      </w:r>
      <w:r>
        <w:t xml:space="preserve">le projet de « certificat de conformité » dans </w:t>
      </w:r>
      <w:r w:rsidRPr="00F3645E">
        <w:t>l</w:t>
      </w:r>
      <w:r>
        <w:t>’</w:t>
      </w:r>
      <w:r w:rsidRPr="00F3645E">
        <w:t>annexe au pr</w:t>
      </w:r>
      <w:r>
        <w:t>é</w:t>
      </w:r>
      <w:r w:rsidRPr="00F3645E">
        <w:t>sent document).</w:t>
      </w:r>
    </w:p>
    <w:p w:rsidR="007068CA" w:rsidRPr="007979BF" w:rsidRDefault="007068CA" w:rsidP="004442A4">
      <w:pPr>
        <w:pStyle w:val="H23G"/>
      </w:pPr>
      <w:r w:rsidRPr="00F3645E">
        <w:tab/>
      </w:r>
      <w:r w:rsidRPr="00F3645E">
        <w:tab/>
      </w:r>
      <w:r w:rsidRPr="007979BF">
        <w:t>Justification</w:t>
      </w:r>
      <w:r w:rsidR="004442A4">
        <w:t> </w:t>
      </w:r>
      <w:r w:rsidRPr="007979BF">
        <w:t>:</w:t>
      </w:r>
    </w:p>
    <w:p w:rsidR="007068CA" w:rsidRPr="008410BE" w:rsidRDefault="007068CA" w:rsidP="000479CF">
      <w:pPr>
        <w:pStyle w:val="SingleTxtG"/>
      </w:pPr>
      <w:r w:rsidRPr="00F3645E">
        <w:t>3.</w:t>
      </w:r>
      <w:r w:rsidRPr="00F3645E">
        <w:tab/>
        <w:t>L</w:t>
      </w:r>
      <w:r>
        <w:t>’avantage que constitue l</w:t>
      </w:r>
      <w:r w:rsidRPr="00F3645E">
        <w:t xml:space="preserve">a délivrance </w:t>
      </w:r>
      <w:r>
        <w:t xml:space="preserve">de deux </w:t>
      </w:r>
      <w:r w:rsidRPr="001E62C7">
        <w:t>attestation</w:t>
      </w:r>
      <w:r>
        <w:t>s</w:t>
      </w:r>
      <w:r w:rsidRPr="001E62C7">
        <w:t xml:space="preserve"> de conformité</w:t>
      </w:r>
      <w:r>
        <w:t>, d’abord</w:t>
      </w:r>
      <w:r w:rsidRPr="001E62C7">
        <w:t xml:space="preserve"> </w:t>
      </w:r>
      <w:r w:rsidRPr="00F3645E">
        <w:t>par l</w:t>
      </w:r>
      <w:r>
        <w:t>’</w:t>
      </w:r>
      <w:r w:rsidRPr="00F3645E">
        <w:t xml:space="preserve">autorité compétente du pays de fabrication, </w:t>
      </w:r>
      <w:r>
        <w:t>puis</w:t>
      </w:r>
      <w:r w:rsidRPr="00F3645E">
        <w:t xml:space="preserve"> par l</w:t>
      </w:r>
      <w:r>
        <w:t>’</w:t>
      </w:r>
      <w:r w:rsidRPr="00F3645E">
        <w:t>autorité compétente du pays d</w:t>
      </w:r>
      <w:r>
        <w:t>’</w:t>
      </w:r>
      <w:r w:rsidRPr="00F3645E">
        <w:t>utilisation, ne justifie par les co</w:t>
      </w:r>
      <w:r>
        <w:t>ûts occasionnés.</w:t>
      </w:r>
      <w:r w:rsidRPr="00F3645E">
        <w:t xml:space="preserve"> </w:t>
      </w:r>
      <w:r w:rsidRPr="008410BE">
        <w:t>Le fabricant doit conserver les registres de production des engins pour lesquels un certificat de conformité est délivré aux fins de leur vérification par l</w:t>
      </w:r>
      <w:r>
        <w:t>’</w:t>
      </w:r>
      <w:r w:rsidRPr="008410BE">
        <w:t>autorité compétente sous la responsabilité de laquelle l</w:t>
      </w:r>
      <w:r>
        <w:t>’</w:t>
      </w:r>
      <w:r w:rsidRPr="008410BE">
        <w:t>homologation de type a été accordée.</w:t>
      </w:r>
    </w:p>
    <w:p w:rsidR="007068CA" w:rsidRPr="0001372A" w:rsidRDefault="007068CA" w:rsidP="008A37D2">
      <w:pPr>
        <w:pStyle w:val="SingleTxtG"/>
      </w:pPr>
      <w:r w:rsidRPr="008410BE">
        <w:t>4.</w:t>
      </w:r>
      <w:r w:rsidRPr="008410BE">
        <w:tab/>
        <w:t xml:space="preserve">De nombreux camions isothermes sont livrés aux exploitants sans équipement frigorifique, lequel est </w:t>
      </w:r>
      <w:r>
        <w:t xml:space="preserve">monté sur la caisse isotherme à l’arrivée. </w:t>
      </w:r>
      <w:r w:rsidRPr="0001372A">
        <w:t>Cette</w:t>
      </w:r>
      <w:r>
        <w:t xml:space="preserve"> situation</w:t>
      </w:r>
      <w:r w:rsidRPr="0001372A">
        <w:t xml:space="preserve"> implique la délivrance de plusieurs certificats avec des classifications différentes selon que l</w:t>
      </w:r>
      <w:r>
        <w:t>’</w:t>
      </w:r>
      <w:r w:rsidRPr="0001372A">
        <w:t xml:space="preserve">unité est ou non </w:t>
      </w:r>
      <w:r>
        <w:t>en place</w:t>
      </w:r>
      <w:r w:rsidRPr="0001372A">
        <w:t xml:space="preserve">, ainsi que </w:t>
      </w:r>
      <w:r>
        <w:t>d</w:t>
      </w:r>
      <w:r w:rsidRPr="0001372A">
        <w:t>es v</w:t>
      </w:r>
      <w:r>
        <w:t>é</w:t>
      </w:r>
      <w:r w:rsidRPr="0001372A">
        <w:t xml:space="preserve">rifications </w:t>
      </w:r>
      <w:r>
        <w:t>supplémentaires par l’autorité compétente, ce qui alourdit les coûts pour l’exploitant.</w:t>
      </w:r>
      <w:r w:rsidRPr="0001372A">
        <w:t xml:space="preserve"> </w:t>
      </w:r>
    </w:p>
    <w:p w:rsidR="007068CA" w:rsidRPr="00753E28" w:rsidRDefault="007068CA" w:rsidP="008A37D2">
      <w:pPr>
        <w:pStyle w:val="SingleTxtG"/>
      </w:pPr>
      <w:r w:rsidRPr="0001372A">
        <w:t>5.</w:t>
      </w:r>
      <w:r w:rsidRPr="0001372A">
        <w:tab/>
        <w:t>Dans certains pays de l</w:t>
      </w:r>
      <w:r>
        <w:t>’</w:t>
      </w:r>
      <w:r w:rsidRPr="0001372A">
        <w:t>Union eu</w:t>
      </w:r>
      <w:r>
        <w:t xml:space="preserve">ropéenne, seuls les véhicules ayant reçu une attestation de conformité au titre de l’ATP peuvent avoir </w:t>
      </w:r>
      <w:r w:rsidRPr="0001372A">
        <w:t xml:space="preserve">une largeur </w:t>
      </w:r>
      <w:r>
        <w:t xml:space="preserve">maximale </w:t>
      </w:r>
      <w:r w:rsidRPr="0001372A">
        <w:t>de 2</w:t>
      </w:r>
      <w:r>
        <w:t>,</w:t>
      </w:r>
      <w:r w:rsidRPr="0001372A">
        <w:t>60</w:t>
      </w:r>
      <w:r w:rsidR="008A37D2">
        <w:t> </w:t>
      </w:r>
      <w:r>
        <w:t xml:space="preserve">mètres, bien que cette disposition ne figure pas dans la directive de l’UE relative aux masses et dimensions. Pour éviter tout débat au sujet </w:t>
      </w:r>
      <w:r w:rsidR="00DD6515">
        <w:t xml:space="preserve">[de la largeur du véhicule lors] </w:t>
      </w:r>
      <w:r>
        <w:t xml:space="preserve">du transfert effectué </w:t>
      </w:r>
      <w:r w:rsidR="00DD6515">
        <w:t xml:space="preserve">[depuis le pays de fabrication] </w:t>
      </w:r>
      <w:r>
        <w:t>vers le pays d’établissement de l’exploitant, u</w:t>
      </w:r>
      <w:r w:rsidRPr="00CC25EE">
        <w:t xml:space="preserve">ne clause a été ajoutée au certificat de conformité qui dispose </w:t>
      </w:r>
      <w:r>
        <w:t>que celui-ci</w:t>
      </w:r>
      <w:r w:rsidRPr="00CC25EE">
        <w:t xml:space="preserve"> </w:t>
      </w:r>
      <w:r>
        <w:t>est considéré comme une attestation</w:t>
      </w:r>
      <w:r w:rsidRPr="00CC25EE">
        <w:t xml:space="preserve"> </w:t>
      </w:r>
      <w:r>
        <w:t>ATP pour le transfert du nouvel engin</w:t>
      </w:r>
      <w:r w:rsidRPr="00753E28">
        <w:t>.</w:t>
      </w:r>
    </w:p>
    <w:tbl>
      <w:tblPr>
        <w:tblW w:w="7371" w:type="dxa"/>
        <w:tblInd w:w="1134" w:type="dxa"/>
        <w:tblLayout w:type="fixed"/>
        <w:tblCellMar>
          <w:left w:w="0" w:type="dxa"/>
          <w:right w:w="0" w:type="dxa"/>
        </w:tblCellMar>
        <w:tblLook w:val="01E0" w:firstRow="1" w:lastRow="1" w:firstColumn="1" w:lastColumn="1" w:noHBand="0" w:noVBand="0"/>
      </w:tblPr>
      <w:tblGrid>
        <w:gridCol w:w="2184"/>
        <w:gridCol w:w="5187"/>
      </w:tblGrid>
      <w:tr w:rsidR="007068CA" w:rsidRPr="00781DE8" w:rsidTr="00EA2DCB">
        <w:tc>
          <w:tcPr>
            <w:tcW w:w="2268" w:type="dxa"/>
            <w:shd w:val="clear" w:color="auto" w:fill="auto"/>
          </w:tcPr>
          <w:p w:rsidR="007068CA" w:rsidRPr="00E45A0E" w:rsidRDefault="007068CA" w:rsidP="00EA2DCB">
            <w:pPr>
              <w:spacing w:after="120"/>
              <w:rPr>
                <w:lang w:val="en-GB"/>
              </w:rPr>
            </w:pPr>
            <w:proofErr w:type="spellStart"/>
            <w:r w:rsidRPr="00E45A0E">
              <w:rPr>
                <w:lang w:val="en-GB"/>
              </w:rPr>
              <w:t>Co</w:t>
            </w:r>
            <w:r>
              <w:rPr>
                <w:lang w:val="en-GB"/>
              </w:rPr>
              <w:t>ût</w:t>
            </w:r>
            <w:proofErr w:type="spellEnd"/>
            <w:r w:rsidR="006134F1">
              <w:rPr>
                <w:lang w:val="en-GB"/>
              </w:rPr>
              <w:t> </w:t>
            </w:r>
            <w:r w:rsidRPr="00E45A0E">
              <w:rPr>
                <w:lang w:val="en-GB"/>
              </w:rPr>
              <w:t>:</w:t>
            </w:r>
          </w:p>
        </w:tc>
        <w:tc>
          <w:tcPr>
            <w:tcW w:w="5387" w:type="dxa"/>
            <w:shd w:val="clear" w:color="auto" w:fill="auto"/>
          </w:tcPr>
          <w:p w:rsidR="007068CA" w:rsidRPr="00781DE8" w:rsidRDefault="007068CA" w:rsidP="00EA2DCB">
            <w:pPr>
              <w:spacing w:after="120"/>
            </w:pPr>
            <w:r w:rsidRPr="00781DE8">
              <w:t xml:space="preserve">Les coûts seront réduits car ils ne seront engagés </w:t>
            </w:r>
            <w:r w:rsidR="00EA2DCB">
              <w:br/>
            </w:r>
            <w:r w:rsidRPr="00781DE8">
              <w:t>que pour l</w:t>
            </w:r>
            <w:r>
              <w:t>’</w:t>
            </w:r>
            <w:r w:rsidRPr="00781DE8">
              <w:t>obtention d</w:t>
            </w:r>
            <w:r>
              <w:t>’</w:t>
            </w:r>
            <w:r w:rsidRPr="00781DE8">
              <w:t>un seul certificat</w:t>
            </w:r>
            <w:r w:rsidR="006134F1">
              <w:t>.</w:t>
            </w:r>
          </w:p>
        </w:tc>
      </w:tr>
      <w:tr w:rsidR="007068CA" w:rsidRPr="00781DE8" w:rsidTr="00EA2DCB">
        <w:tc>
          <w:tcPr>
            <w:tcW w:w="2268" w:type="dxa"/>
            <w:shd w:val="clear" w:color="auto" w:fill="auto"/>
          </w:tcPr>
          <w:p w:rsidR="007068CA" w:rsidRPr="00EA2DCB" w:rsidRDefault="007068CA" w:rsidP="00EA2DCB">
            <w:pPr>
              <w:spacing w:after="120"/>
            </w:pPr>
            <w:r w:rsidRPr="00EA2DCB">
              <w:t>Faisabilité</w:t>
            </w:r>
            <w:r w:rsidR="006134F1">
              <w:t> </w:t>
            </w:r>
            <w:r w:rsidRPr="00EA2DCB">
              <w:t>:</w:t>
            </w:r>
          </w:p>
        </w:tc>
        <w:tc>
          <w:tcPr>
            <w:tcW w:w="5387" w:type="dxa"/>
            <w:shd w:val="clear" w:color="auto" w:fill="auto"/>
          </w:tcPr>
          <w:p w:rsidR="007068CA" w:rsidRPr="00781DE8" w:rsidRDefault="007068CA" w:rsidP="00EA2DCB">
            <w:pPr>
              <w:spacing w:after="120"/>
            </w:pPr>
            <w:r w:rsidRPr="00781DE8">
              <w:t xml:space="preserve">Cette procédure est déjà </w:t>
            </w:r>
            <w:r>
              <w:t>prévue</w:t>
            </w:r>
            <w:r w:rsidRPr="00781DE8">
              <w:t xml:space="preserve"> dans d</w:t>
            </w:r>
            <w:r>
              <w:t>’</w:t>
            </w:r>
            <w:r w:rsidRPr="00781DE8">
              <w:t xml:space="preserve">autres </w:t>
            </w:r>
            <w:r w:rsidR="00EA2DCB" w:rsidRPr="00781DE8">
              <w:t>règlements</w:t>
            </w:r>
            <w:r w:rsidRPr="00781DE8">
              <w:t xml:space="preserve"> </w:t>
            </w:r>
            <w:r w:rsidR="00EA2DCB">
              <w:br/>
            </w:r>
            <w:r>
              <w:t xml:space="preserve">et produit des </w:t>
            </w:r>
            <w:r w:rsidRPr="00781DE8">
              <w:t xml:space="preserve">effets positifs. </w:t>
            </w:r>
          </w:p>
        </w:tc>
      </w:tr>
      <w:tr w:rsidR="007068CA" w:rsidRPr="00087CFD" w:rsidTr="00EA2DCB">
        <w:tc>
          <w:tcPr>
            <w:tcW w:w="2268" w:type="dxa"/>
            <w:shd w:val="clear" w:color="auto" w:fill="auto"/>
          </w:tcPr>
          <w:p w:rsidR="007068CA" w:rsidRPr="00781DE8" w:rsidRDefault="007068CA" w:rsidP="00EA2DCB">
            <w:pPr>
              <w:spacing w:after="120"/>
            </w:pPr>
          </w:p>
        </w:tc>
        <w:tc>
          <w:tcPr>
            <w:tcW w:w="5387" w:type="dxa"/>
            <w:shd w:val="clear" w:color="auto" w:fill="auto"/>
          </w:tcPr>
          <w:p w:rsidR="007068CA" w:rsidRPr="007979BF" w:rsidRDefault="007068CA" w:rsidP="00EA2DCB">
            <w:pPr>
              <w:spacing w:after="120"/>
            </w:pPr>
            <w:r>
              <w:t>Une période transitoire n’est pas nécessaire</w:t>
            </w:r>
            <w:r w:rsidR="006134F1">
              <w:t>.</w:t>
            </w:r>
          </w:p>
        </w:tc>
      </w:tr>
      <w:tr w:rsidR="007068CA" w:rsidRPr="00781DE8" w:rsidTr="00EA2DCB">
        <w:tc>
          <w:tcPr>
            <w:tcW w:w="2268" w:type="dxa"/>
            <w:shd w:val="clear" w:color="auto" w:fill="auto"/>
          </w:tcPr>
          <w:p w:rsidR="007068CA" w:rsidRPr="00E45A0E" w:rsidRDefault="007068CA" w:rsidP="00EA2DCB">
            <w:pPr>
              <w:spacing w:after="120"/>
              <w:rPr>
                <w:lang w:val="en-GB"/>
              </w:rPr>
            </w:pPr>
            <w:r>
              <w:rPr>
                <w:lang w:val="en-GB"/>
              </w:rPr>
              <w:t>I</w:t>
            </w:r>
            <w:r w:rsidRPr="00E45A0E">
              <w:rPr>
                <w:lang w:val="en-GB"/>
              </w:rPr>
              <w:t>mpact</w:t>
            </w:r>
            <w:r>
              <w:rPr>
                <w:lang w:val="en-GB"/>
              </w:rPr>
              <w:t xml:space="preserve"> sur </w:t>
            </w:r>
            <w:proofErr w:type="spellStart"/>
            <w:r>
              <w:rPr>
                <w:lang w:val="en-GB"/>
              </w:rPr>
              <w:t>l’environnement</w:t>
            </w:r>
            <w:proofErr w:type="spellEnd"/>
            <w:r w:rsidR="006134F1">
              <w:rPr>
                <w:lang w:val="en-GB"/>
              </w:rPr>
              <w:t> </w:t>
            </w:r>
            <w:r w:rsidRPr="00E45A0E">
              <w:rPr>
                <w:lang w:val="en-GB"/>
              </w:rPr>
              <w:t>:</w:t>
            </w:r>
          </w:p>
        </w:tc>
        <w:tc>
          <w:tcPr>
            <w:tcW w:w="5387" w:type="dxa"/>
            <w:shd w:val="clear" w:color="auto" w:fill="auto"/>
          </w:tcPr>
          <w:p w:rsidR="007068CA" w:rsidRPr="00781DE8" w:rsidRDefault="007068CA" w:rsidP="00EA2DCB">
            <w:pPr>
              <w:spacing w:after="120"/>
            </w:pPr>
            <w:r w:rsidRPr="00781DE8">
              <w:t>Aucun impact n</w:t>
            </w:r>
            <w:r>
              <w:t>’</w:t>
            </w:r>
            <w:r w:rsidRPr="00781DE8">
              <w:t>est prévu sur l</w:t>
            </w:r>
            <w:r>
              <w:t>’</w:t>
            </w:r>
            <w:r w:rsidRPr="00781DE8">
              <w:t>environ</w:t>
            </w:r>
            <w:r>
              <w:t>ne</w:t>
            </w:r>
            <w:r w:rsidRPr="00781DE8">
              <w:t>ment.</w:t>
            </w:r>
          </w:p>
        </w:tc>
      </w:tr>
      <w:tr w:rsidR="007068CA" w:rsidRPr="00E45A0E" w:rsidTr="00EA2DCB">
        <w:tc>
          <w:tcPr>
            <w:tcW w:w="2268" w:type="dxa"/>
            <w:shd w:val="clear" w:color="auto" w:fill="auto"/>
          </w:tcPr>
          <w:p w:rsidR="007068CA" w:rsidRPr="00E45A0E" w:rsidRDefault="007068CA" w:rsidP="00EA2DCB">
            <w:pPr>
              <w:spacing w:after="120"/>
              <w:rPr>
                <w:lang w:val="en-GB"/>
              </w:rPr>
            </w:pPr>
            <w:r>
              <w:rPr>
                <w:lang w:val="en-GB"/>
              </w:rPr>
              <w:t>Application effective</w:t>
            </w:r>
            <w:r w:rsidR="006134F1">
              <w:rPr>
                <w:lang w:val="en-GB"/>
              </w:rPr>
              <w:t> </w:t>
            </w:r>
            <w:r w:rsidRPr="00E45A0E">
              <w:rPr>
                <w:lang w:val="en-GB"/>
              </w:rPr>
              <w:t>:</w:t>
            </w:r>
          </w:p>
        </w:tc>
        <w:tc>
          <w:tcPr>
            <w:tcW w:w="5387" w:type="dxa"/>
            <w:shd w:val="clear" w:color="auto" w:fill="auto"/>
          </w:tcPr>
          <w:p w:rsidR="007068CA" w:rsidRPr="002767D8" w:rsidRDefault="007068CA" w:rsidP="00EA2DCB">
            <w:pPr>
              <w:spacing w:after="120"/>
            </w:pPr>
            <w:r w:rsidRPr="002767D8">
              <w:t>Aucun problème n</w:t>
            </w:r>
            <w:r>
              <w:t>’</w:t>
            </w:r>
            <w:r w:rsidRPr="002767D8">
              <w:t xml:space="preserve">est à prévoir. </w:t>
            </w:r>
          </w:p>
        </w:tc>
      </w:tr>
    </w:tbl>
    <w:p w:rsidR="007068CA" w:rsidRPr="00E45A0E" w:rsidRDefault="007068CA" w:rsidP="00EA2DCB">
      <w:pPr>
        <w:pStyle w:val="HChG"/>
      </w:pPr>
      <w:r w:rsidRPr="002767D8">
        <w:br w:type="page"/>
      </w:r>
      <w:r w:rsidRPr="00E45A0E">
        <w:lastRenderedPageBreak/>
        <w:t>Annex</w:t>
      </w:r>
      <w:r>
        <w:t>e</w:t>
      </w:r>
    </w:p>
    <w:p w:rsidR="007068CA" w:rsidRPr="00E45A0E" w:rsidRDefault="007068CA" w:rsidP="00EA2DCB">
      <w:pPr>
        <w:pStyle w:val="HChG"/>
      </w:pPr>
      <w:r w:rsidRPr="00E45A0E">
        <w:tab/>
      </w:r>
      <w:r w:rsidRPr="00E45A0E">
        <w:tab/>
        <w:t>Certificat</w:t>
      </w:r>
      <w:r>
        <w:t xml:space="preserve"> de conformité</w:t>
      </w:r>
    </w:p>
    <w:p w:rsidR="007068CA" w:rsidRPr="002767D8" w:rsidRDefault="007068CA" w:rsidP="00EA2DCB">
      <w:pPr>
        <w:pStyle w:val="HChG"/>
      </w:pPr>
      <w:r w:rsidRPr="002767D8">
        <w:tab/>
      </w:r>
      <w:r w:rsidRPr="002767D8">
        <w:tab/>
        <w:t>Accord relatif aux transports internationaux de denrées périssables et aux engins</w:t>
      </w:r>
      <w:r>
        <w:t xml:space="preserve"> </w:t>
      </w:r>
      <w:r w:rsidRPr="002767D8">
        <w:t xml:space="preserve">spéciaux à utiliser </w:t>
      </w:r>
      <w:r w:rsidR="00EA2DCB">
        <w:br/>
      </w:r>
      <w:r w:rsidRPr="002767D8">
        <w:t>pour ces transports (ATP)</w:t>
      </w:r>
    </w:p>
    <w:p w:rsidR="007068CA" w:rsidRPr="00EA2DCB" w:rsidRDefault="007068CA" w:rsidP="00703FB5">
      <w:pPr>
        <w:pStyle w:val="SingleTxtG"/>
        <w:rPr>
          <w:i/>
        </w:rPr>
      </w:pPr>
      <w:r w:rsidRPr="00EA2DCB">
        <w:rPr>
          <w:i/>
        </w:rPr>
        <w:t xml:space="preserve">Le présent certificat peut être utilisé pour la délivrance d’une attestation initiale au titre de l’ATP dans le pays dans lequel l’engin doit être immatriculé ou enregistré et pour lequel aucune attestation ATP n’est délivrée dans le pays de fabrication. </w:t>
      </w:r>
    </w:p>
    <w:p w:rsidR="007068CA" w:rsidRPr="00EA2DCB" w:rsidRDefault="007068CA" w:rsidP="00703FB5">
      <w:pPr>
        <w:pStyle w:val="SingleTxtG"/>
        <w:rPr>
          <w:i/>
        </w:rPr>
      </w:pPr>
      <w:r w:rsidRPr="00EA2DCB">
        <w:rPr>
          <w:i/>
        </w:rPr>
        <w:t xml:space="preserve">Le présent certificat est considéré comme une attestation ATP pour le transfert du nouvel engin du pays de fabrication vers le pays dans lequel l’engin doit être immatriculé ou enregistré s’il ne transporte pas de denrées périssables. </w:t>
      </w:r>
    </w:p>
    <w:p w:rsidR="007068CA" w:rsidRPr="009A6163" w:rsidRDefault="007068CA" w:rsidP="00E31438">
      <w:pPr>
        <w:pStyle w:val="SingleTxtG"/>
        <w:jc w:val="left"/>
      </w:pPr>
      <w:r w:rsidRPr="007979BF">
        <w:rPr>
          <w:i/>
        </w:rPr>
        <w:t>Engin</w:t>
      </w:r>
      <w:r w:rsidR="0039227F">
        <w:rPr>
          <w:i/>
        </w:rPr>
        <w:t> </w:t>
      </w:r>
      <w:r w:rsidRPr="0039227F">
        <w:t>:</w:t>
      </w:r>
      <w:r w:rsidRPr="007979BF">
        <w:br/>
        <w:t>Type</w:t>
      </w:r>
      <w:r w:rsidR="00E31438">
        <w:t> </w:t>
      </w:r>
      <w:r w:rsidRPr="007979BF">
        <w:t>: (fourgon, camion, remorque, semi-remorque, conteneur, wagon ferroviaire)</w:t>
      </w:r>
      <w:r w:rsidRPr="00E31438">
        <w:rPr>
          <w:sz w:val="18"/>
          <w:szCs w:val="18"/>
          <w:vertAlign w:val="superscript"/>
        </w:rPr>
        <w:t>1</w:t>
      </w:r>
      <w:r w:rsidRPr="007979BF">
        <w:rPr>
          <w:vertAlign w:val="superscript"/>
        </w:rPr>
        <w:br/>
      </w:r>
      <w:r w:rsidRPr="007979BF">
        <w:t>Numéro d</w:t>
      </w:r>
      <w:r>
        <w:t>’</w:t>
      </w:r>
      <w:r w:rsidRPr="007979BF">
        <w:t>identification du véhicule</w:t>
      </w:r>
      <w:r w:rsidRPr="00E31438">
        <w:rPr>
          <w:sz w:val="18"/>
          <w:szCs w:val="18"/>
          <w:vertAlign w:val="superscript"/>
        </w:rPr>
        <w:t>2</w:t>
      </w:r>
      <w:r w:rsidR="00E31438">
        <w:t> :</w:t>
      </w:r>
      <w:r w:rsidRPr="007979BF">
        <w:br/>
      </w:r>
      <w:r>
        <w:t>Numéro d’immatriculation</w:t>
      </w:r>
      <w:r w:rsidRPr="009A6163">
        <w:rPr>
          <w:sz w:val="18"/>
          <w:szCs w:val="18"/>
          <w:vertAlign w:val="superscript"/>
        </w:rPr>
        <w:t>2</w:t>
      </w:r>
      <w:r w:rsidR="009A6163">
        <w:t> :</w:t>
      </w:r>
    </w:p>
    <w:p w:rsidR="007068CA" w:rsidRPr="006334A0" w:rsidRDefault="007068CA" w:rsidP="00E31438">
      <w:pPr>
        <w:pStyle w:val="SingleTxtG"/>
        <w:jc w:val="left"/>
      </w:pPr>
      <w:r w:rsidRPr="006334A0">
        <w:rPr>
          <w:i/>
        </w:rPr>
        <w:t>Caisse isotherme</w:t>
      </w:r>
      <w:r w:rsidR="0039227F">
        <w:rPr>
          <w:i/>
        </w:rPr>
        <w:t> </w:t>
      </w:r>
      <w:r w:rsidRPr="0039227F">
        <w:t>:</w:t>
      </w:r>
      <w:r w:rsidRPr="006334A0">
        <w:rPr>
          <w:i/>
        </w:rPr>
        <w:br/>
      </w:r>
      <w:r w:rsidRPr="006334A0">
        <w:t>Marque</w:t>
      </w:r>
      <w:r w:rsidR="0039227F">
        <w:t> </w:t>
      </w:r>
      <w:r w:rsidRPr="006334A0">
        <w:t>:</w:t>
      </w:r>
      <w:r w:rsidRPr="006334A0">
        <w:br/>
        <w:t>Type</w:t>
      </w:r>
      <w:r w:rsidR="0039227F">
        <w:t> </w:t>
      </w:r>
      <w:r w:rsidRPr="006334A0">
        <w:t>:</w:t>
      </w:r>
      <w:r w:rsidRPr="006334A0">
        <w:br/>
        <w:t>Numéro du procès-verbal d</w:t>
      </w:r>
      <w:r>
        <w:t>’</w:t>
      </w:r>
      <w:r w:rsidRPr="006334A0">
        <w:t>essai ATP</w:t>
      </w:r>
      <w:r w:rsidR="00E31438">
        <w:t> </w:t>
      </w:r>
      <w:r w:rsidRPr="006334A0">
        <w:t xml:space="preserve">: </w:t>
      </w:r>
      <w:r w:rsidRPr="006334A0">
        <w:tab/>
      </w:r>
      <w:r w:rsidRPr="006334A0">
        <w:tab/>
      </w:r>
      <w:r w:rsidRPr="006334A0">
        <w:tab/>
      </w:r>
      <w:r w:rsidRPr="006334A0">
        <w:tab/>
        <w:t>valable jusqu</w:t>
      </w:r>
      <w:r>
        <w:t>’</w:t>
      </w:r>
      <w:r w:rsidRPr="006334A0">
        <w:t>à</w:t>
      </w:r>
      <w:r w:rsidR="00E31438">
        <w:t> </w:t>
      </w:r>
      <w:r w:rsidRPr="006334A0">
        <w:t>:</w:t>
      </w:r>
      <w:r w:rsidRPr="006334A0">
        <w:br/>
        <w:t>Procès</w:t>
      </w:r>
      <w:r>
        <w:t>-</w:t>
      </w:r>
      <w:r w:rsidRPr="006334A0">
        <w:t>verbal délivré par</w:t>
      </w:r>
      <w:r w:rsidR="00E31438">
        <w:t> </w:t>
      </w:r>
      <w:r w:rsidRPr="006334A0">
        <w:t>:</w:t>
      </w:r>
      <w:r w:rsidRPr="006334A0">
        <w:br/>
      </w:r>
      <w:r>
        <w:t>Numéro de série</w:t>
      </w:r>
      <w:r w:rsidR="00E31438">
        <w:t> </w:t>
      </w:r>
      <w:r w:rsidRPr="006334A0">
        <w:t>:</w:t>
      </w:r>
      <w:r w:rsidRPr="006334A0">
        <w:br/>
      </w:r>
      <w:r>
        <w:t>Emplacement</w:t>
      </w:r>
      <w:r w:rsidRPr="006334A0">
        <w:t xml:space="preserve"> </w:t>
      </w:r>
      <w:r>
        <w:t>de la plaque du constructeur</w:t>
      </w:r>
      <w:r w:rsidR="00E31438">
        <w:t> </w:t>
      </w:r>
      <w:r w:rsidRPr="006334A0">
        <w:t>:</w:t>
      </w:r>
      <w:r w:rsidRPr="006334A0">
        <w:br/>
      </w:r>
      <w:r>
        <w:t xml:space="preserve">Coefficient </w:t>
      </w:r>
      <w:r w:rsidRPr="006334A0">
        <w:t>K</w:t>
      </w:r>
      <w:r w:rsidR="00E31438">
        <w:t> </w:t>
      </w:r>
      <w:r w:rsidRPr="006334A0">
        <w:t>:</w:t>
      </w:r>
      <w:r w:rsidRPr="006334A0">
        <w:br/>
      </w:r>
      <w:r>
        <w:t>D</w:t>
      </w:r>
      <w:r w:rsidRPr="006334A0">
        <w:t xml:space="preserve">imensions </w:t>
      </w:r>
      <w:r>
        <w:t>extérieures</w:t>
      </w:r>
      <w:r w:rsidR="00E31438">
        <w:t> </w:t>
      </w:r>
      <w:r w:rsidRPr="006334A0">
        <w:t>: (l</w:t>
      </w:r>
      <w:r>
        <w:t>ongueur</w:t>
      </w:r>
      <w:r w:rsidRPr="006334A0">
        <w:t>-</w:t>
      </w:r>
      <w:r>
        <w:t>largeur</w:t>
      </w:r>
      <w:r w:rsidRPr="006334A0">
        <w:t>-h</w:t>
      </w:r>
      <w:r>
        <w:t>auteur en</w:t>
      </w:r>
      <w:r w:rsidRPr="006334A0">
        <w:t xml:space="preserve"> mm)</w:t>
      </w:r>
      <w:r w:rsidRPr="006334A0">
        <w:br/>
        <w:t>Dimensions intérieures</w:t>
      </w:r>
      <w:r w:rsidR="00E31438">
        <w:t> </w:t>
      </w:r>
      <w:r w:rsidRPr="006334A0">
        <w:t xml:space="preserve">: (longueur-largeur-hauteur </w:t>
      </w:r>
      <w:r>
        <w:t xml:space="preserve">en </w:t>
      </w:r>
      <w:r w:rsidRPr="006334A0">
        <w:t>mm)</w:t>
      </w:r>
    </w:p>
    <w:tbl>
      <w:tblPr>
        <w:tblStyle w:val="TableGrid"/>
        <w:tblW w:w="9639" w:type="dxa"/>
        <w:tblBorders>
          <w:insideV w:val="none" w:sz="0" w:space="0" w:color="auto"/>
        </w:tblBorders>
        <w:tblLayout w:type="fixed"/>
        <w:tblLook w:val="04A0" w:firstRow="1" w:lastRow="0" w:firstColumn="1" w:lastColumn="0" w:noHBand="0" w:noVBand="1"/>
      </w:tblPr>
      <w:tblGrid>
        <w:gridCol w:w="1364"/>
        <w:gridCol w:w="1520"/>
        <w:gridCol w:w="1533"/>
        <w:gridCol w:w="1520"/>
        <w:gridCol w:w="1537"/>
        <w:gridCol w:w="2165"/>
      </w:tblGrid>
      <w:tr w:rsidR="002D44F1" w:rsidRPr="002D44F1" w:rsidTr="002D44F1">
        <w:trPr>
          <w:tblHeader/>
        </w:trPr>
        <w:tc>
          <w:tcPr>
            <w:tcW w:w="7370" w:type="dxa"/>
            <w:gridSpan w:val="6"/>
            <w:shd w:val="clear" w:color="auto" w:fill="auto"/>
            <w:vAlign w:val="bottom"/>
          </w:tcPr>
          <w:p w:rsidR="007068CA" w:rsidRPr="002D44F1" w:rsidRDefault="007068CA" w:rsidP="003025B0">
            <w:pPr>
              <w:suppressAutoHyphens w:val="0"/>
              <w:spacing w:before="80" w:after="80" w:line="200" w:lineRule="exact"/>
              <w:ind w:left="57"/>
              <w:rPr>
                <w:i/>
                <w:sz w:val="16"/>
              </w:rPr>
            </w:pPr>
            <w:r w:rsidRPr="002D44F1">
              <w:rPr>
                <w:i/>
                <w:sz w:val="16"/>
              </w:rPr>
              <w:t>Composition et dimensions des panneaux</w:t>
            </w:r>
          </w:p>
        </w:tc>
      </w:tr>
      <w:tr w:rsidR="002D44F1" w:rsidRPr="00B71E50" w:rsidTr="002D44F1">
        <w:tc>
          <w:tcPr>
            <w:tcW w:w="1044" w:type="dxa"/>
            <w:tcBorders>
              <w:right w:val="single" w:sz="4" w:space="0" w:color="auto"/>
            </w:tcBorders>
            <w:shd w:val="clear" w:color="auto" w:fill="auto"/>
          </w:tcPr>
          <w:p w:rsidR="007068CA" w:rsidRPr="00B71E50" w:rsidRDefault="007068CA" w:rsidP="003025B0">
            <w:pPr>
              <w:suppressAutoHyphens w:val="0"/>
              <w:spacing w:before="80" w:after="80" w:line="200" w:lineRule="exact"/>
              <w:ind w:left="57"/>
              <w:rPr>
                <w:i/>
                <w:sz w:val="16"/>
                <w:szCs w:val="16"/>
              </w:rPr>
            </w:pPr>
          </w:p>
        </w:tc>
        <w:tc>
          <w:tcPr>
            <w:tcW w:w="1162" w:type="dxa"/>
            <w:tcBorders>
              <w:left w:val="single" w:sz="4" w:space="0" w:color="auto"/>
              <w:right w:val="single" w:sz="4" w:space="0" w:color="auto"/>
            </w:tcBorders>
            <w:shd w:val="clear" w:color="auto" w:fill="auto"/>
          </w:tcPr>
          <w:p w:rsidR="007068CA" w:rsidRPr="002C137A" w:rsidRDefault="007068CA" w:rsidP="003025B0">
            <w:pPr>
              <w:suppressAutoHyphens w:val="0"/>
              <w:spacing w:before="80" w:after="80" w:line="200" w:lineRule="exact"/>
              <w:ind w:left="57"/>
              <w:rPr>
                <w:i/>
                <w:sz w:val="16"/>
                <w:szCs w:val="16"/>
              </w:rPr>
            </w:pPr>
            <w:r w:rsidRPr="002C137A">
              <w:rPr>
                <w:i/>
                <w:sz w:val="16"/>
                <w:szCs w:val="16"/>
              </w:rPr>
              <w:t xml:space="preserve">Matériau extérieur </w:t>
            </w:r>
            <w:r w:rsidR="002C137A" w:rsidRPr="002C137A">
              <w:rPr>
                <w:i/>
                <w:sz w:val="16"/>
                <w:szCs w:val="16"/>
              </w:rPr>
              <w:br/>
            </w:r>
            <w:r w:rsidRPr="002C137A">
              <w:rPr>
                <w:i/>
                <w:sz w:val="16"/>
                <w:szCs w:val="16"/>
              </w:rPr>
              <w:t>et épaisseur</w:t>
            </w:r>
          </w:p>
        </w:tc>
        <w:tc>
          <w:tcPr>
            <w:tcW w:w="1172" w:type="dxa"/>
            <w:tcBorders>
              <w:left w:val="single" w:sz="4" w:space="0" w:color="auto"/>
              <w:right w:val="single" w:sz="4" w:space="0" w:color="auto"/>
            </w:tcBorders>
            <w:shd w:val="clear" w:color="auto" w:fill="auto"/>
          </w:tcPr>
          <w:p w:rsidR="007068CA" w:rsidRPr="00B71E50" w:rsidRDefault="007068CA" w:rsidP="003025B0">
            <w:pPr>
              <w:suppressAutoHyphens w:val="0"/>
              <w:spacing w:before="80" w:after="80" w:line="200" w:lineRule="exact"/>
              <w:ind w:left="57"/>
              <w:rPr>
                <w:i/>
                <w:sz w:val="16"/>
                <w:szCs w:val="16"/>
              </w:rPr>
            </w:pPr>
            <w:r w:rsidRPr="00B71E50">
              <w:rPr>
                <w:i/>
                <w:sz w:val="16"/>
                <w:szCs w:val="16"/>
              </w:rPr>
              <w:t xml:space="preserve">Type d’isolant </w:t>
            </w:r>
            <w:r w:rsidR="003025B0" w:rsidRPr="00B71E50">
              <w:rPr>
                <w:i/>
                <w:sz w:val="16"/>
                <w:szCs w:val="16"/>
              </w:rPr>
              <w:br/>
            </w:r>
            <w:r w:rsidRPr="00B71E50">
              <w:rPr>
                <w:i/>
                <w:sz w:val="16"/>
                <w:szCs w:val="16"/>
              </w:rPr>
              <w:t xml:space="preserve">et épaisseur </w:t>
            </w:r>
          </w:p>
        </w:tc>
        <w:tc>
          <w:tcPr>
            <w:tcW w:w="1162" w:type="dxa"/>
            <w:tcBorders>
              <w:left w:val="single" w:sz="4" w:space="0" w:color="auto"/>
              <w:right w:val="single" w:sz="4" w:space="0" w:color="auto"/>
            </w:tcBorders>
            <w:shd w:val="clear" w:color="auto" w:fill="auto"/>
          </w:tcPr>
          <w:p w:rsidR="007068CA" w:rsidRPr="00B71E50" w:rsidRDefault="007068CA" w:rsidP="003025B0">
            <w:pPr>
              <w:suppressAutoHyphens w:val="0"/>
              <w:spacing w:before="80" w:after="80" w:line="200" w:lineRule="exact"/>
              <w:ind w:left="57"/>
              <w:rPr>
                <w:i/>
                <w:sz w:val="16"/>
                <w:szCs w:val="16"/>
              </w:rPr>
            </w:pPr>
            <w:r w:rsidRPr="00B71E50">
              <w:rPr>
                <w:i/>
                <w:sz w:val="16"/>
                <w:szCs w:val="16"/>
              </w:rPr>
              <w:t>Matériau intérieur et épaisseur</w:t>
            </w:r>
          </w:p>
        </w:tc>
        <w:tc>
          <w:tcPr>
            <w:tcW w:w="1175" w:type="dxa"/>
            <w:tcBorders>
              <w:left w:val="single" w:sz="4" w:space="0" w:color="auto"/>
              <w:right w:val="single" w:sz="4" w:space="0" w:color="auto"/>
            </w:tcBorders>
            <w:shd w:val="clear" w:color="auto" w:fill="auto"/>
          </w:tcPr>
          <w:p w:rsidR="007068CA" w:rsidRPr="00B71E50" w:rsidRDefault="007068CA" w:rsidP="003025B0">
            <w:pPr>
              <w:suppressAutoHyphens w:val="0"/>
              <w:spacing w:before="80" w:after="80" w:line="200" w:lineRule="exact"/>
              <w:ind w:left="57"/>
              <w:rPr>
                <w:i/>
                <w:sz w:val="16"/>
                <w:szCs w:val="16"/>
              </w:rPr>
            </w:pPr>
            <w:r w:rsidRPr="00B71E50">
              <w:rPr>
                <w:i/>
                <w:sz w:val="16"/>
                <w:szCs w:val="16"/>
              </w:rPr>
              <w:t xml:space="preserve">Épaisseur totale </w:t>
            </w:r>
            <w:r w:rsidR="003025B0" w:rsidRPr="00B71E50">
              <w:rPr>
                <w:i/>
                <w:sz w:val="16"/>
                <w:szCs w:val="16"/>
              </w:rPr>
              <w:br/>
            </w:r>
            <w:r w:rsidRPr="00B71E50">
              <w:rPr>
                <w:i/>
                <w:sz w:val="16"/>
                <w:szCs w:val="16"/>
              </w:rPr>
              <w:t>du panneau</w:t>
            </w:r>
          </w:p>
        </w:tc>
        <w:tc>
          <w:tcPr>
            <w:tcW w:w="1655" w:type="dxa"/>
            <w:tcBorders>
              <w:left w:val="single" w:sz="4" w:space="0" w:color="auto"/>
            </w:tcBorders>
            <w:shd w:val="clear" w:color="auto" w:fill="auto"/>
          </w:tcPr>
          <w:p w:rsidR="007068CA" w:rsidRPr="00B71E50" w:rsidRDefault="007068CA" w:rsidP="003025B0">
            <w:pPr>
              <w:suppressAutoHyphens w:val="0"/>
              <w:spacing w:before="80" w:after="80" w:line="200" w:lineRule="exact"/>
              <w:ind w:left="57"/>
              <w:rPr>
                <w:i/>
                <w:sz w:val="16"/>
                <w:szCs w:val="16"/>
              </w:rPr>
            </w:pPr>
            <w:r w:rsidRPr="00B71E50">
              <w:rPr>
                <w:i/>
                <w:sz w:val="16"/>
                <w:szCs w:val="16"/>
              </w:rPr>
              <w:t xml:space="preserve">Homologation de type </w:t>
            </w:r>
            <w:r w:rsidR="003025B0" w:rsidRPr="00B71E50">
              <w:rPr>
                <w:i/>
                <w:sz w:val="16"/>
                <w:szCs w:val="16"/>
              </w:rPr>
              <w:br/>
            </w:r>
            <w:r w:rsidRPr="00B71E50">
              <w:rPr>
                <w:i/>
                <w:sz w:val="16"/>
                <w:szCs w:val="16"/>
              </w:rPr>
              <w:t>de l’épaisseur</w:t>
            </w:r>
          </w:p>
        </w:tc>
      </w:tr>
      <w:tr w:rsidR="002D44F1" w:rsidRPr="006E0DA0" w:rsidTr="002D44F1">
        <w:tc>
          <w:tcPr>
            <w:tcW w:w="1044" w:type="dxa"/>
            <w:tcBorders>
              <w:right w:val="single" w:sz="4" w:space="0" w:color="auto"/>
            </w:tcBorders>
            <w:shd w:val="clear" w:color="auto" w:fill="auto"/>
          </w:tcPr>
          <w:p w:rsidR="007068CA" w:rsidRPr="006E0DA0" w:rsidRDefault="007068CA" w:rsidP="003025B0">
            <w:pPr>
              <w:suppressAutoHyphens w:val="0"/>
              <w:spacing w:before="40" w:after="120"/>
              <w:ind w:left="57"/>
            </w:pPr>
            <w:r w:rsidRPr="006E0DA0">
              <w:t>Toit</w:t>
            </w: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5"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655" w:type="dxa"/>
            <w:tcBorders>
              <w:left w:val="single" w:sz="4" w:space="0" w:color="auto"/>
            </w:tcBorders>
            <w:shd w:val="clear" w:color="auto" w:fill="auto"/>
          </w:tcPr>
          <w:p w:rsidR="007068CA" w:rsidRPr="006E0DA0" w:rsidRDefault="007068CA" w:rsidP="003025B0">
            <w:pPr>
              <w:suppressAutoHyphens w:val="0"/>
              <w:spacing w:before="40" w:after="120"/>
              <w:ind w:left="57"/>
            </w:pPr>
          </w:p>
        </w:tc>
      </w:tr>
      <w:tr w:rsidR="002D44F1" w:rsidRPr="006E0DA0" w:rsidTr="002D44F1">
        <w:tc>
          <w:tcPr>
            <w:tcW w:w="1044" w:type="dxa"/>
            <w:tcBorders>
              <w:right w:val="single" w:sz="4" w:space="0" w:color="auto"/>
            </w:tcBorders>
            <w:shd w:val="clear" w:color="auto" w:fill="auto"/>
          </w:tcPr>
          <w:p w:rsidR="007068CA" w:rsidRPr="006E0DA0" w:rsidRDefault="007068CA" w:rsidP="003025B0">
            <w:pPr>
              <w:suppressAutoHyphens w:val="0"/>
              <w:spacing w:before="40" w:after="120"/>
              <w:ind w:left="57"/>
            </w:pPr>
            <w:r w:rsidRPr="006E0DA0">
              <w:t>Plancher</w:t>
            </w: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5"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655" w:type="dxa"/>
            <w:tcBorders>
              <w:left w:val="single" w:sz="4" w:space="0" w:color="auto"/>
            </w:tcBorders>
            <w:shd w:val="clear" w:color="auto" w:fill="auto"/>
          </w:tcPr>
          <w:p w:rsidR="007068CA" w:rsidRPr="006E0DA0" w:rsidRDefault="007068CA" w:rsidP="003025B0">
            <w:pPr>
              <w:suppressAutoHyphens w:val="0"/>
              <w:spacing w:before="40" w:after="120"/>
              <w:ind w:left="57"/>
            </w:pPr>
          </w:p>
        </w:tc>
      </w:tr>
      <w:tr w:rsidR="002D44F1" w:rsidRPr="006E0DA0" w:rsidTr="002D44F1">
        <w:tc>
          <w:tcPr>
            <w:tcW w:w="1044" w:type="dxa"/>
            <w:tcBorders>
              <w:right w:val="single" w:sz="4" w:space="0" w:color="auto"/>
            </w:tcBorders>
            <w:shd w:val="clear" w:color="auto" w:fill="auto"/>
          </w:tcPr>
          <w:p w:rsidR="007068CA" w:rsidRPr="006E0DA0" w:rsidRDefault="007068CA" w:rsidP="003025B0">
            <w:pPr>
              <w:suppressAutoHyphens w:val="0"/>
              <w:spacing w:before="40" w:after="120"/>
              <w:ind w:left="57"/>
            </w:pPr>
            <w:r w:rsidRPr="006E0DA0">
              <w:t xml:space="preserve">Latéral </w:t>
            </w: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5"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655" w:type="dxa"/>
            <w:tcBorders>
              <w:left w:val="single" w:sz="4" w:space="0" w:color="auto"/>
            </w:tcBorders>
            <w:shd w:val="clear" w:color="auto" w:fill="auto"/>
          </w:tcPr>
          <w:p w:rsidR="007068CA" w:rsidRPr="006E0DA0" w:rsidRDefault="007068CA" w:rsidP="003025B0">
            <w:pPr>
              <w:suppressAutoHyphens w:val="0"/>
              <w:spacing w:before="40" w:after="120"/>
              <w:ind w:left="57"/>
            </w:pPr>
          </w:p>
        </w:tc>
      </w:tr>
      <w:tr w:rsidR="002D44F1" w:rsidRPr="006E0DA0" w:rsidTr="002D44F1">
        <w:tc>
          <w:tcPr>
            <w:tcW w:w="1044" w:type="dxa"/>
            <w:tcBorders>
              <w:right w:val="single" w:sz="4" w:space="0" w:color="auto"/>
            </w:tcBorders>
            <w:shd w:val="clear" w:color="auto" w:fill="auto"/>
          </w:tcPr>
          <w:p w:rsidR="007068CA" w:rsidRPr="006E0DA0" w:rsidRDefault="007068CA" w:rsidP="003025B0">
            <w:pPr>
              <w:suppressAutoHyphens w:val="0"/>
              <w:spacing w:before="40" w:after="120"/>
              <w:ind w:left="57"/>
            </w:pPr>
            <w:r w:rsidRPr="006E0DA0">
              <w:t>Avant</w:t>
            </w: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5"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655" w:type="dxa"/>
            <w:tcBorders>
              <w:left w:val="single" w:sz="4" w:space="0" w:color="auto"/>
            </w:tcBorders>
            <w:shd w:val="clear" w:color="auto" w:fill="auto"/>
          </w:tcPr>
          <w:p w:rsidR="007068CA" w:rsidRPr="006E0DA0" w:rsidRDefault="007068CA" w:rsidP="003025B0">
            <w:pPr>
              <w:suppressAutoHyphens w:val="0"/>
              <w:spacing w:before="40" w:after="120"/>
              <w:ind w:left="57"/>
            </w:pPr>
          </w:p>
        </w:tc>
      </w:tr>
      <w:tr w:rsidR="002D44F1" w:rsidRPr="006E0DA0" w:rsidTr="002D44F1">
        <w:tc>
          <w:tcPr>
            <w:tcW w:w="1044" w:type="dxa"/>
            <w:tcBorders>
              <w:right w:val="single" w:sz="4" w:space="0" w:color="auto"/>
            </w:tcBorders>
            <w:shd w:val="clear" w:color="auto" w:fill="auto"/>
          </w:tcPr>
          <w:p w:rsidR="007068CA" w:rsidRPr="006E0DA0" w:rsidRDefault="007068CA" w:rsidP="003025B0">
            <w:pPr>
              <w:suppressAutoHyphens w:val="0"/>
              <w:spacing w:before="40" w:after="120"/>
              <w:ind w:left="57"/>
            </w:pPr>
            <w:r w:rsidRPr="006E0DA0">
              <w:t>Arrière</w:t>
            </w: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62"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175" w:type="dxa"/>
            <w:tcBorders>
              <w:left w:val="single" w:sz="4" w:space="0" w:color="auto"/>
              <w:right w:val="single" w:sz="4" w:space="0" w:color="auto"/>
            </w:tcBorders>
            <w:shd w:val="clear" w:color="auto" w:fill="auto"/>
          </w:tcPr>
          <w:p w:rsidR="007068CA" w:rsidRPr="006E0DA0" w:rsidRDefault="007068CA" w:rsidP="003025B0">
            <w:pPr>
              <w:suppressAutoHyphens w:val="0"/>
              <w:spacing w:before="40" w:after="120"/>
              <w:ind w:left="57"/>
            </w:pPr>
          </w:p>
        </w:tc>
        <w:tc>
          <w:tcPr>
            <w:tcW w:w="1655" w:type="dxa"/>
            <w:tcBorders>
              <w:left w:val="single" w:sz="4" w:space="0" w:color="auto"/>
            </w:tcBorders>
            <w:shd w:val="clear" w:color="auto" w:fill="auto"/>
          </w:tcPr>
          <w:p w:rsidR="007068CA" w:rsidRPr="006E0DA0" w:rsidRDefault="007068CA" w:rsidP="003025B0">
            <w:pPr>
              <w:suppressAutoHyphens w:val="0"/>
              <w:spacing w:before="40" w:after="120"/>
              <w:ind w:left="57"/>
            </w:pPr>
          </w:p>
        </w:tc>
      </w:tr>
    </w:tbl>
    <w:p w:rsidR="007068CA" w:rsidRPr="00C878D8" w:rsidRDefault="007068CA" w:rsidP="009A6163">
      <w:pPr>
        <w:pStyle w:val="SingleTxtG"/>
        <w:spacing w:before="240"/>
        <w:jc w:val="left"/>
      </w:pPr>
      <w:r w:rsidRPr="003902B2">
        <w:t>Nombre de portes</w:t>
      </w:r>
      <w:r w:rsidR="009A6163">
        <w:t> </w:t>
      </w:r>
      <w:r w:rsidRPr="003902B2">
        <w:t xml:space="preserve">: </w:t>
      </w:r>
      <w:proofErr w:type="gramStart"/>
      <w:r w:rsidRPr="003902B2">
        <w:t>(..</w:t>
      </w:r>
      <w:proofErr w:type="gramEnd"/>
      <w:r w:rsidRPr="003902B2">
        <w:t xml:space="preserve"> </w:t>
      </w:r>
      <w:proofErr w:type="gramStart"/>
      <w:r w:rsidRPr="003902B2">
        <w:t>avant</w:t>
      </w:r>
      <w:proofErr w:type="gramEnd"/>
      <w:r w:rsidRPr="003902B2">
        <w:t>/ ..</w:t>
      </w:r>
      <w:r w:rsidR="009A6163">
        <w:t xml:space="preserve"> </w:t>
      </w:r>
      <w:proofErr w:type="gramStart"/>
      <w:r w:rsidRPr="003902B2">
        <w:t>latérales</w:t>
      </w:r>
      <w:proofErr w:type="gramEnd"/>
      <w:r w:rsidRPr="003902B2">
        <w:t>/ .. arrière),</w:t>
      </w:r>
      <w:r w:rsidRPr="003902B2">
        <w:br/>
        <w:t>Nombre de volets d</w:t>
      </w:r>
      <w:r>
        <w:t>’</w:t>
      </w:r>
      <w:r w:rsidRPr="003902B2">
        <w:t>aération</w:t>
      </w:r>
      <w:r w:rsidR="009A6163">
        <w:t> </w:t>
      </w:r>
      <w:r w:rsidRPr="003902B2">
        <w:t>: (avant/arrière),</w:t>
      </w:r>
      <w:r w:rsidRPr="003902B2">
        <w:br/>
        <w:t>Autres ouvertures</w:t>
      </w:r>
      <w:r w:rsidR="009A6163">
        <w:t> </w:t>
      </w:r>
      <w:r w:rsidRPr="003902B2">
        <w:t>: …..</w:t>
      </w:r>
      <w:r w:rsidRPr="003902B2">
        <w:br/>
      </w:r>
      <w:r w:rsidRPr="00DF6EC1">
        <w:t>Équip</w:t>
      </w:r>
      <w:r>
        <w:t>e</w:t>
      </w:r>
      <w:r w:rsidRPr="00DF6EC1">
        <w:t>ments spéciaux</w:t>
      </w:r>
      <w:r w:rsidR="009A6163">
        <w:t> </w:t>
      </w:r>
      <w:r w:rsidRPr="00DF6EC1">
        <w:t>:</w:t>
      </w:r>
      <w:r>
        <w:t xml:space="preserve"> </w:t>
      </w:r>
      <w:r w:rsidRPr="00DF6EC1">
        <w:t>(</w:t>
      </w:r>
      <w:r>
        <w:t xml:space="preserve">Dispositifs de renfort </w:t>
      </w:r>
      <w:r w:rsidRPr="00DF6EC1">
        <w:t xml:space="preserve">pour accrocher la viande, </w:t>
      </w:r>
      <w:r w:rsidR="009A6163">
        <w:br/>
      </w:r>
      <w:r>
        <w:t>arrimer la cargaison</w:t>
      </w:r>
      <w:r w:rsidRPr="00DF6EC1">
        <w:t>,</w:t>
      </w:r>
      <w:r>
        <w:t xml:space="preserve"> </w:t>
      </w:r>
      <w:r w:rsidRPr="00DF6EC1">
        <w:t>etc.)</w:t>
      </w:r>
      <w:r w:rsidRPr="00DF6EC1">
        <w:br/>
      </w:r>
      <w:r>
        <w:t>Toute réduction de l’épaisseur de l’isolant non prévue dans l’homologation de type</w:t>
      </w:r>
      <w:r w:rsidR="009A6163">
        <w:t> </w:t>
      </w:r>
      <w:r w:rsidRPr="00C878D8">
        <w:t xml:space="preserve">: </w:t>
      </w:r>
    </w:p>
    <w:p w:rsidR="007068CA" w:rsidRPr="00DF6EC1" w:rsidRDefault="007068CA" w:rsidP="002C137A">
      <w:pPr>
        <w:pStyle w:val="SingleTxtG"/>
        <w:keepNext/>
        <w:jc w:val="left"/>
        <w:rPr>
          <w:i/>
        </w:rPr>
      </w:pPr>
      <w:r>
        <w:rPr>
          <w:i/>
        </w:rPr>
        <w:t>Dispositif</w:t>
      </w:r>
      <w:r w:rsidRPr="00DF6EC1">
        <w:rPr>
          <w:i/>
        </w:rPr>
        <w:t xml:space="preserve"> thermique (le cas échéant)</w:t>
      </w:r>
      <w:r w:rsidR="009A6163" w:rsidRPr="009A6163">
        <w:rPr>
          <w:sz w:val="18"/>
          <w:szCs w:val="18"/>
          <w:vertAlign w:val="superscript"/>
        </w:rPr>
        <w:t>2</w:t>
      </w:r>
      <w:r w:rsidRPr="009A6163">
        <w:t> :</w:t>
      </w:r>
    </w:p>
    <w:p w:rsidR="007068CA" w:rsidRPr="00C878D8" w:rsidRDefault="007068CA" w:rsidP="002C137A">
      <w:pPr>
        <w:pStyle w:val="SingleTxtG"/>
        <w:keepNext/>
        <w:jc w:val="left"/>
      </w:pPr>
      <w:r w:rsidRPr="00C878D8">
        <w:t>Type de dispositif</w:t>
      </w:r>
      <w:r w:rsidR="00703FB5">
        <w:t> </w:t>
      </w:r>
      <w:r w:rsidRPr="00C878D8">
        <w:t xml:space="preserve">: (plaques eutectiques, gaz liquéfié, </w:t>
      </w:r>
      <w:r>
        <w:t>glace naturelle</w:t>
      </w:r>
      <w:r w:rsidRPr="00C878D8">
        <w:t>/neige carbonique/</w:t>
      </w:r>
      <w:r>
        <w:t>engin frigorifique</w:t>
      </w:r>
      <w:r w:rsidRPr="00C878D8">
        <w:t>/</w:t>
      </w:r>
      <w:r>
        <w:t>calorifique</w:t>
      </w:r>
      <w:r w:rsidRPr="00C878D8">
        <w:t>)</w:t>
      </w:r>
      <w:r w:rsidRPr="00703FB5">
        <w:rPr>
          <w:sz w:val="18"/>
          <w:szCs w:val="18"/>
          <w:vertAlign w:val="superscript"/>
        </w:rPr>
        <w:t>1</w:t>
      </w:r>
    </w:p>
    <w:p w:rsidR="007068CA" w:rsidRPr="00C878D8" w:rsidRDefault="007068CA" w:rsidP="006E0DA0">
      <w:pPr>
        <w:pStyle w:val="SingleTxtG"/>
        <w:jc w:val="left"/>
      </w:pPr>
      <w:r w:rsidRPr="00C878D8">
        <w:t>Marque</w:t>
      </w:r>
      <w:r w:rsidR="00703FB5">
        <w:t> </w:t>
      </w:r>
      <w:r w:rsidRPr="00C878D8">
        <w:t>:</w:t>
      </w:r>
      <w:r w:rsidRPr="00C878D8">
        <w:br/>
        <w:t>Type</w:t>
      </w:r>
      <w:r w:rsidR="00703FB5">
        <w:t> </w:t>
      </w:r>
      <w:r w:rsidRPr="00C878D8">
        <w:t xml:space="preserve">: </w:t>
      </w:r>
      <w:r w:rsidRPr="00C878D8">
        <w:br/>
        <w:t>Numéro de série</w:t>
      </w:r>
      <w:r w:rsidR="00703FB5">
        <w:t> </w:t>
      </w:r>
      <w:r w:rsidRPr="00C878D8">
        <w:t>:</w:t>
      </w:r>
      <w:r w:rsidRPr="00C878D8">
        <w:br/>
      </w:r>
      <w:r w:rsidRPr="00C878D8">
        <w:lastRenderedPageBreak/>
        <w:t>Année de fabrication</w:t>
      </w:r>
      <w:r w:rsidR="00703FB5">
        <w:t> </w:t>
      </w:r>
      <w:r w:rsidRPr="00C878D8">
        <w:t>:</w:t>
      </w:r>
      <w:r w:rsidRPr="00C878D8">
        <w:br/>
        <w:t>Numéro du procès-verbal d</w:t>
      </w:r>
      <w:r>
        <w:t>’</w:t>
      </w:r>
      <w:r w:rsidRPr="00C878D8">
        <w:t>essai ATP</w:t>
      </w:r>
      <w:r w:rsidR="00703FB5">
        <w:t> </w:t>
      </w:r>
      <w:r w:rsidRPr="00C878D8">
        <w:t xml:space="preserve">: </w:t>
      </w:r>
    </w:p>
    <w:p w:rsidR="007068CA" w:rsidRPr="005C0AFC" w:rsidRDefault="007068CA" w:rsidP="00703FB5">
      <w:pPr>
        <w:pStyle w:val="SingleTxtG"/>
      </w:pPr>
      <w:r w:rsidRPr="005C0AFC">
        <w:t>Le fabricant de la caisse isotherme déclare que l</w:t>
      </w:r>
      <w:r>
        <w:t>’</w:t>
      </w:r>
      <w:r w:rsidRPr="005C0AFC">
        <w:t>engin correspond à la description ci-dessus et est conforme à l</w:t>
      </w:r>
      <w:r>
        <w:t>’</w:t>
      </w:r>
      <w:r w:rsidRPr="005C0AFC">
        <w:t xml:space="preserve">homologation </w:t>
      </w:r>
      <w:r>
        <w:t>de type et aux prescriptions de l’ATP</w:t>
      </w:r>
      <w:r w:rsidRPr="005C0AFC">
        <w:t>.</w:t>
      </w:r>
    </w:p>
    <w:p w:rsidR="007068CA" w:rsidRPr="005C0AFC" w:rsidRDefault="007068CA" w:rsidP="006E0DA0">
      <w:pPr>
        <w:pStyle w:val="SingleTxtG"/>
        <w:jc w:val="left"/>
      </w:pPr>
      <w:r w:rsidRPr="005C0AFC">
        <w:t>Nom et adresse du fabricant</w:t>
      </w:r>
      <w:r w:rsidR="00A2449E">
        <w:t> </w:t>
      </w:r>
      <w:r w:rsidRPr="005C0AFC">
        <w:t>:</w:t>
      </w:r>
    </w:p>
    <w:p w:rsidR="007068CA" w:rsidRPr="003902B2" w:rsidRDefault="007068CA" w:rsidP="006E0DA0">
      <w:pPr>
        <w:pStyle w:val="SingleTxtG"/>
        <w:jc w:val="left"/>
      </w:pPr>
      <w:r w:rsidRPr="003902B2">
        <w:t>Date</w:t>
      </w:r>
      <w:r w:rsidR="00A2449E">
        <w:t> </w:t>
      </w:r>
      <w:r w:rsidRPr="003902B2">
        <w:t>:</w:t>
      </w:r>
    </w:p>
    <w:p w:rsidR="007068CA" w:rsidRPr="005C0AFC" w:rsidRDefault="007068CA" w:rsidP="006E0DA0">
      <w:pPr>
        <w:pStyle w:val="SingleTxtG"/>
        <w:jc w:val="left"/>
      </w:pPr>
      <w:r w:rsidRPr="005C0AFC">
        <w:t>Nom et fonction du représentant du fabricant</w:t>
      </w:r>
      <w:r w:rsidR="00A2449E">
        <w:t> </w:t>
      </w:r>
      <w:r w:rsidRPr="005C0AFC">
        <w:t>:</w:t>
      </w:r>
    </w:p>
    <w:p w:rsidR="007068CA" w:rsidRDefault="007068CA" w:rsidP="006E0DA0">
      <w:pPr>
        <w:pStyle w:val="SingleTxtG"/>
        <w:jc w:val="left"/>
      </w:pPr>
      <w:r w:rsidRPr="003902B2">
        <w:t>Signature</w:t>
      </w:r>
      <w:r w:rsidR="00A2449E">
        <w:t> </w:t>
      </w:r>
      <w:r w:rsidRPr="003902B2">
        <w:t xml:space="preserve">: </w:t>
      </w:r>
    </w:p>
    <w:p w:rsidR="00A2449E" w:rsidRPr="00C463EB" w:rsidRDefault="00A2449E" w:rsidP="00A2449E">
      <w:pPr>
        <w:pStyle w:val="FootnoteText"/>
        <w:tabs>
          <w:tab w:val="left" w:pos="1418"/>
        </w:tabs>
        <w:kinsoku/>
        <w:overflowPunct/>
        <w:autoSpaceDE/>
        <w:autoSpaceDN/>
        <w:adjustRightInd/>
        <w:snapToGrid/>
        <w:spacing w:before="240"/>
        <w:ind w:left="2268"/>
        <w:rPr>
          <w:szCs w:val="18"/>
        </w:rPr>
      </w:pPr>
      <w:r w:rsidRPr="00A2449E">
        <w:rPr>
          <w:szCs w:val="18"/>
          <w:vertAlign w:val="superscript"/>
        </w:rPr>
        <w:t>1</w:t>
      </w:r>
      <w:r w:rsidRPr="00A2449E">
        <w:rPr>
          <w:szCs w:val="18"/>
          <w:vertAlign w:val="superscript"/>
        </w:rPr>
        <w:tab/>
      </w:r>
      <w:r w:rsidRPr="00A2449E">
        <w:rPr>
          <w:i/>
          <w:szCs w:val="18"/>
        </w:rPr>
        <w:t>Biffer selon qu’il convient</w:t>
      </w:r>
      <w:r>
        <w:rPr>
          <w:i/>
          <w:szCs w:val="18"/>
        </w:rPr>
        <w:t>.</w:t>
      </w:r>
    </w:p>
    <w:p w:rsidR="00A2449E" w:rsidRDefault="00A2449E" w:rsidP="00A2449E">
      <w:pPr>
        <w:pStyle w:val="FootnoteText"/>
        <w:tabs>
          <w:tab w:val="left" w:pos="1418"/>
        </w:tabs>
        <w:kinsoku/>
        <w:overflowPunct/>
        <w:autoSpaceDE/>
        <w:autoSpaceDN/>
        <w:adjustRightInd/>
        <w:snapToGrid/>
        <w:spacing w:after="120"/>
        <w:ind w:left="2268"/>
        <w:rPr>
          <w:i/>
          <w:szCs w:val="18"/>
        </w:rPr>
      </w:pPr>
      <w:r w:rsidRPr="00A2449E">
        <w:rPr>
          <w:szCs w:val="18"/>
          <w:vertAlign w:val="superscript"/>
        </w:rPr>
        <w:t>2</w:t>
      </w:r>
      <w:r w:rsidRPr="00A2449E">
        <w:rPr>
          <w:szCs w:val="18"/>
          <w:vertAlign w:val="superscript"/>
        </w:rPr>
        <w:tab/>
      </w:r>
      <w:r w:rsidRPr="00A2449E">
        <w:rPr>
          <w:i/>
          <w:szCs w:val="18"/>
        </w:rPr>
        <w:t xml:space="preserve">En son absence indiquer </w:t>
      </w:r>
      <w:proofErr w:type="spellStart"/>
      <w:r w:rsidRPr="00A2449E">
        <w:rPr>
          <w:i/>
          <w:szCs w:val="18"/>
        </w:rPr>
        <w:t>s.o</w:t>
      </w:r>
      <w:proofErr w:type="spellEnd"/>
      <w:r w:rsidRPr="00A2449E">
        <w:rPr>
          <w:i/>
          <w:szCs w:val="18"/>
        </w:rPr>
        <w:t xml:space="preserve"> (sans objet)</w:t>
      </w:r>
      <w:r>
        <w:rPr>
          <w:i/>
          <w:szCs w:val="18"/>
        </w:rPr>
        <w:t>.</w:t>
      </w:r>
    </w:p>
    <w:p w:rsidR="00A2449E" w:rsidRPr="00A2449E" w:rsidRDefault="00A2449E" w:rsidP="00A2449E">
      <w:pPr>
        <w:pStyle w:val="SingleTxtG"/>
        <w:spacing w:before="240" w:after="0"/>
        <w:jc w:val="center"/>
        <w:rPr>
          <w:u w:val="single"/>
        </w:rPr>
      </w:pPr>
      <w:r>
        <w:rPr>
          <w:u w:val="single"/>
        </w:rPr>
        <w:tab/>
      </w:r>
      <w:r>
        <w:rPr>
          <w:u w:val="single"/>
        </w:rPr>
        <w:tab/>
      </w:r>
      <w:r>
        <w:rPr>
          <w:u w:val="single"/>
        </w:rPr>
        <w:tab/>
      </w:r>
    </w:p>
    <w:sectPr w:rsidR="00A2449E" w:rsidRPr="00A2449E" w:rsidSect="003D2A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D8" w:rsidRDefault="005656D8" w:rsidP="00F95C08">
      <w:pPr>
        <w:spacing w:line="240" w:lineRule="auto"/>
      </w:pPr>
    </w:p>
  </w:endnote>
  <w:endnote w:type="continuationSeparator" w:id="0">
    <w:p w:rsidR="005656D8" w:rsidRPr="00AC3823" w:rsidRDefault="005656D8" w:rsidP="00AC3823">
      <w:pPr>
        <w:pStyle w:val="Footer"/>
      </w:pPr>
    </w:p>
  </w:endnote>
  <w:endnote w:type="continuationNotice" w:id="1">
    <w:p w:rsidR="005656D8" w:rsidRDefault="005656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F8" w:rsidRPr="003D2AF8" w:rsidRDefault="003D2AF8" w:rsidP="003D2AF8">
    <w:pPr>
      <w:pStyle w:val="Footer"/>
      <w:tabs>
        <w:tab w:val="right" w:pos="9638"/>
      </w:tabs>
    </w:pPr>
    <w:r w:rsidRPr="003D2AF8">
      <w:rPr>
        <w:b/>
        <w:sz w:val="18"/>
      </w:rPr>
      <w:fldChar w:fldCharType="begin"/>
    </w:r>
    <w:r w:rsidRPr="003D2AF8">
      <w:rPr>
        <w:b/>
        <w:sz w:val="18"/>
      </w:rPr>
      <w:instrText xml:space="preserve"> PAGE  \* MERGEFORMAT </w:instrText>
    </w:r>
    <w:r w:rsidRPr="003D2AF8">
      <w:rPr>
        <w:b/>
        <w:sz w:val="18"/>
      </w:rPr>
      <w:fldChar w:fldCharType="separate"/>
    </w:r>
    <w:r w:rsidR="00590D99">
      <w:rPr>
        <w:b/>
        <w:noProof/>
        <w:sz w:val="18"/>
      </w:rPr>
      <w:t>4</w:t>
    </w:r>
    <w:r w:rsidRPr="003D2AF8">
      <w:rPr>
        <w:b/>
        <w:sz w:val="18"/>
      </w:rPr>
      <w:fldChar w:fldCharType="end"/>
    </w:r>
    <w:r>
      <w:rPr>
        <w:b/>
        <w:sz w:val="18"/>
      </w:rPr>
      <w:tab/>
    </w:r>
    <w:r>
      <w:t>GE.17-12313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F8" w:rsidRPr="003D2AF8" w:rsidRDefault="003D2AF8" w:rsidP="003D2AF8">
    <w:pPr>
      <w:pStyle w:val="Footer"/>
      <w:tabs>
        <w:tab w:val="right" w:pos="9638"/>
      </w:tabs>
      <w:rPr>
        <w:b/>
        <w:sz w:val="18"/>
      </w:rPr>
    </w:pPr>
    <w:r>
      <w:t>GE.17-12313</w:t>
    </w:r>
    <w:r>
      <w:tab/>
    </w:r>
    <w:r w:rsidRPr="003D2AF8">
      <w:rPr>
        <w:b/>
        <w:sz w:val="18"/>
      </w:rPr>
      <w:fldChar w:fldCharType="begin"/>
    </w:r>
    <w:r w:rsidRPr="003D2AF8">
      <w:rPr>
        <w:b/>
        <w:sz w:val="18"/>
      </w:rPr>
      <w:instrText xml:space="preserve"> PAGE  \* MERGEFORMAT </w:instrText>
    </w:r>
    <w:r w:rsidRPr="003D2AF8">
      <w:rPr>
        <w:b/>
        <w:sz w:val="18"/>
      </w:rPr>
      <w:fldChar w:fldCharType="separate"/>
    </w:r>
    <w:r w:rsidR="00590D99">
      <w:rPr>
        <w:b/>
        <w:noProof/>
        <w:sz w:val="18"/>
      </w:rPr>
      <w:t>3</w:t>
    </w:r>
    <w:r w:rsidRPr="003D2A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D2AF8" w:rsidRDefault="003D2AF8" w:rsidP="003D2AF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17-12313  (F)    230817    240817</w:t>
    </w:r>
    <w:r>
      <w:rPr>
        <w:sz w:val="20"/>
      </w:rPr>
      <w:br/>
    </w:r>
    <w:r w:rsidRPr="003D2AF8">
      <w:rPr>
        <w:rFonts w:ascii="C39T30Lfz" w:hAnsi="C39T30Lfz"/>
        <w:sz w:val="56"/>
      </w:rPr>
      <w:t></w:t>
    </w:r>
    <w:r w:rsidRPr="003D2AF8">
      <w:rPr>
        <w:rFonts w:ascii="C39T30Lfz" w:hAnsi="C39T30Lfz"/>
        <w:sz w:val="56"/>
      </w:rPr>
      <w:t></w:t>
    </w:r>
    <w:r w:rsidRPr="003D2AF8">
      <w:rPr>
        <w:rFonts w:ascii="C39T30Lfz" w:hAnsi="C39T30Lfz"/>
        <w:sz w:val="56"/>
      </w:rPr>
      <w:t></w:t>
    </w:r>
    <w:r w:rsidRPr="003D2AF8">
      <w:rPr>
        <w:rFonts w:ascii="C39T30Lfz" w:hAnsi="C39T30Lfz"/>
        <w:sz w:val="56"/>
      </w:rPr>
      <w:t></w:t>
    </w:r>
    <w:r w:rsidRPr="003D2AF8">
      <w:rPr>
        <w:rFonts w:ascii="C39T30Lfz" w:hAnsi="C39T30Lfz"/>
        <w:sz w:val="56"/>
      </w:rPr>
      <w:t></w:t>
    </w:r>
    <w:r w:rsidRPr="003D2AF8">
      <w:rPr>
        <w:rFonts w:ascii="C39T30Lfz" w:hAnsi="C39T30Lfz"/>
        <w:sz w:val="56"/>
      </w:rPr>
      <w:t></w:t>
    </w:r>
    <w:r w:rsidRPr="003D2AF8">
      <w:rPr>
        <w:rFonts w:ascii="C39T30Lfz" w:hAnsi="C39T30Lfz"/>
        <w:sz w:val="56"/>
      </w:rPr>
      <w:t></w:t>
    </w:r>
    <w:r w:rsidRPr="003D2AF8">
      <w:rPr>
        <w:rFonts w:ascii="C39T30Lfz" w:hAnsi="C39T30Lfz"/>
        <w:sz w:val="56"/>
      </w:rPr>
      <w:t></w:t>
    </w:r>
    <w:r w:rsidRPr="003D2AF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D8" w:rsidRPr="00AC3823" w:rsidRDefault="005656D8" w:rsidP="00AC3823">
      <w:pPr>
        <w:pStyle w:val="Footer"/>
        <w:tabs>
          <w:tab w:val="right" w:pos="2155"/>
        </w:tabs>
        <w:spacing w:after="80" w:line="240" w:lineRule="atLeast"/>
        <w:ind w:left="680"/>
        <w:rPr>
          <w:u w:val="single"/>
        </w:rPr>
      </w:pPr>
      <w:r>
        <w:rPr>
          <w:u w:val="single"/>
        </w:rPr>
        <w:tab/>
      </w:r>
    </w:p>
  </w:footnote>
  <w:footnote w:type="continuationSeparator" w:id="0">
    <w:p w:rsidR="005656D8" w:rsidRPr="00AC3823" w:rsidRDefault="005656D8" w:rsidP="00AC3823">
      <w:pPr>
        <w:pStyle w:val="Footer"/>
        <w:tabs>
          <w:tab w:val="right" w:pos="2155"/>
        </w:tabs>
        <w:spacing w:after="80" w:line="240" w:lineRule="atLeast"/>
        <w:ind w:left="680"/>
        <w:rPr>
          <w:u w:val="single"/>
        </w:rPr>
      </w:pPr>
      <w:r>
        <w:rPr>
          <w:u w:val="single"/>
        </w:rPr>
        <w:tab/>
      </w:r>
    </w:p>
  </w:footnote>
  <w:footnote w:type="continuationNotice" w:id="1">
    <w:p w:rsidR="005656D8" w:rsidRPr="00AC3823" w:rsidRDefault="005656D8">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F8" w:rsidRPr="003D2AF8" w:rsidRDefault="00590D99">
    <w:pPr>
      <w:pStyle w:val="Header"/>
    </w:pPr>
    <w:r>
      <w:fldChar w:fldCharType="begin"/>
    </w:r>
    <w:r>
      <w:instrText xml:space="preserve"> TITLE  \* MERGEFORMAT </w:instrText>
    </w:r>
    <w:r>
      <w:fldChar w:fldCharType="separate"/>
    </w:r>
    <w:r>
      <w:t>ECE/TRANS/WP.11/2017/4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F8" w:rsidRPr="003D2AF8" w:rsidRDefault="00590D99" w:rsidP="003D2AF8">
    <w:pPr>
      <w:pStyle w:val="Header"/>
      <w:jc w:val="right"/>
    </w:pPr>
    <w:r>
      <w:fldChar w:fldCharType="begin"/>
    </w:r>
    <w:r>
      <w:instrText xml:space="preserve"> TITLE  \* MERGEFORMAT </w:instrText>
    </w:r>
    <w:r>
      <w:fldChar w:fldCharType="separate"/>
    </w:r>
    <w:r>
      <w:t>ECE/TRANS/WP.11/2017/4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D8"/>
    <w:rsid w:val="00017F94"/>
    <w:rsid w:val="00023842"/>
    <w:rsid w:val="000334F9"/>
    <w:rsid w:val="00045FEB"/>
    <w:rsid w:val="000479CF"/>
    <w:rsid w:val="0007796D"/>
    <w:rsid w:val="000B7790"/>
    <w:rsid w:val="00111F2F"/>
    <w:rsid w:val="0014365E"/>
    <w:rsid w:val="00143C66"/>
    <w:rsid w:val="00176178"/>
    <w:rsid w:val="001F525A"/>
    <w:rsid w:val="00223272"/>
    <w:rsid w:val="0024779E"/>
    <w:rsid w:val="00251E57"/>
    <w:rsid w:val="00257168"/>
    <w:rsid w:val="002744B8"/>
    <w:rsid w:val="002832AC"/>
    <w:rsid w:val="002C137A"/>
    <w:rsid w:val="002D44F1"/>
    <w:rsid w:val="002D7C93"/>
    <w:rsid w:val="003025B0"/>
    <w:rsid w:val="00305801"/>
    <w:rsid w:val="003916DE"/>
    <w:rsid w:val="0039227F"/>
    <w:rsid w:val="003D2AF8"/>
    <w:rsid w:val="003E0A66"/>
    <w:rsid w:val="00441C3B"/>
    <w:rsid w:val="004442A4"/>
    <w:rsid w:val="00446FE5"/>
    <w:rsid w:val="00452396"/>
    <w:rsid w:val="004837D8"/>
    <w:rsid w:val="004E11BF"/>
    <w:rsid w:val="004E468C"/>
    <w:rsid w:val="005505B7"/>
    <w:rsid w:val="005656D8"/>
    <w:rsid w:val="00573BE5"/>
    <w:rsid w:val="00586ED3"/>
    <w:rsid w:val="00590D99"/>
    <w:rsid w:val="00596AA9"/>
    <w:rsid w:val="006134F1"/>
    <w:rsid w:val="00622491"/>
    <w:rsid w:val="0066369F"/>
    <w:rsid w:val="006E0DA0"/>
    <w:rsid w:val="00703FB5"/>
    <w:rsid w:val="007068CA"/>
    <w:rsid w:val="0071601D"/>
    <w:rsid w:val="007A62E6"/>
    <w:rsid w:val="007F20FA"/>
    <w:rsid w:val="0080684C"/>
    <w:rsid w:val="00871C75"/>
    <w:rsid w:val="008776DC"/>
    <w:rsid w:val="008A37D2"/>
    <w:rsid w:val="00925D5C"/>
    <w:rsid w:val="009446C0"/>
    <w:rsid w:val="009705C8"/>
    <w:rsid w:val="009A6163"/>
    <w:rsid w:val="009C1CF4"/>
    <w:rsid w:val="009F6B74"/>
    <w:rsid w:val="00A2449E"/>
    <w:rsid w:val="00A30353"/>
    <w:rsid w:val="00A6536E"/>
    <w:rsid w:val="00AC3823"/>
    <w:rsid w:val="00AE323C"/>
    <w:rsid w:val="00AF0CB5"/>
    <w:rsid w:val="00B00181"/>
    <w:rsid w:val="00B00B0D"/>
    <w:rsid w:val="00B71E50"/>
    <w:rsid w:val="00B765F7"/>
    <w:rsid w:val="00BA0CA9"/>
    <w:rsid w:val="00C02897"/>
    <w:rsid w:val="00C463EB"/>
    <w:rsid w:val="00C97039"/>
    <w:rsid w:val="00D075DB"/>
    <w:rsid w:val="00D3439C"/>
    <w:rsid w:val="00DB1831"/>
    <w:rsid w:val="00DC7636"/>
    <w:rsid w:val="00DD3BFD"/>
    <w:rsid w:val="00DD6515"/>
    <w:rsid w:val="00DF6678"/>
    <w:rsid w:val="00E0299A"/>
    <w:rsid w:val="00E31438"/>
    <w:rsid w:val="00E515FC"/>
    <w:rsid w:val="00E524B1"/>
    <w:rsid w:val="00E85C74"/>
    <w:rsid w:val="00EA2DCB"/>
    <w:rsid w:val="00EA4EA9"/>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93169F-2CAE-457A-A130-E2335468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5784</Characters>
  <Application>Microsoft Office Word</Application>
  <DocSecurity>0</DocSecurity>
  <Lines>251</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ECE/TRANS/WP.11/2017/4</vt:lpstr>
      <vt:lpstr>ECE/TRANS/WP.11/2017/4</vt:lpstr>
    </vt:vector>
  </TitlesOfParts>
  <Company>DCM</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ECE/TRANS/WP.11/2017/4</dc:title>
  <dc:subject/>
  <dc:creator>Christine  CHAUTAGNAT</dc:creator>
  <cp:keywords/>
  <cp:lastModifiedBy>Marie-Claude Collet</cp:lastModifiedBy>
  <cp:revision>3</cp:revision>
  <cp:lastPrinted>2017-08-25T09:32:00Z</cp:lastPrinted>
  <dcterms:created xsi:type="dcterms:W3CDTF">2017-08-25T09:26:00Z</dcterms:created>
  <dcterms:modified xsi:type="dcterms:W3CDTF">2017-08-25T09:32:00Z</dcterms:modified>
</cp:coreProperties>
</file>