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D1A28" w:rsidRPr="00ED1A28" w:rsidTr="008F224B">
        <w:trPr>
          <w:cantSplit/>
          <w:trHeight w:hRule="exact" w:val="851"/>
        </w:trPr>
        <w:tc>
          <w:tcPr>
            <w:tcW w:w="1276" w:type="dxa"/>
            <w:vAlign w:val="bottom"/>
          </w:tcPr>
          <w:p w:rsidR="00ED1A28" w:rsidRPr="00ED1A28" w:rsidRDefault="00ED1A28" w:rsidP="00ED1A28">
            <w:pPr>
              <w:rPr>
                <w:rFonts w:eastAsia="Times New Roman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ED1A28" w:rsidRPr="00ED1A28" w:rsidRDefault="00ED1A28" w:rsidP="00ED1A28">
            <w:pPr>
              <w:ind w:left="6095"/>
              <w:jc w:val="right"/>
              <w:rPr>
                <w:rFonts w:eastAsia="Times New Roman"/>
              </w:rPr>
            </w:pPr>
            <w:r w:rsidRPr="00ED1A28">
              <w:rPr>
                <w:rFonts w:eastAsia="Times New Roman"/>
                <w:b/>
                <w:sz w:val="40"/>
                <w:szCs w:val="40"/>
              </w:rPr>
              <w:t>INF.</w:t>
            </w:r>
            <w:r>
              <w:rPr>
                <w:rFonts w:eastAsia="Times New Roman"/>
                <w:b/>
                <w:sz w:val="40"/>
                <w:szCs w:val="40"/>
              </w:rPr>
              <w:t>6</w:t>
            </w:r>
          </w:p>
        </w:tc>
      </w:tr>
      <w:tr w:rsidR="00ED1A28" w:rsidRPr="00ED1A28" w:rsidTr="00ED1A28">
        <w:trPr>
          <w:cantSplit/>
          <w:trHeight w:hRule="exact" w:val="3686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ED1A28" w:rsidRPr="00ED1A28" w:rsidRDefault="00ED1A28" w:rsidP="00ED1A28">
            <w:pPr>
              <w:spacing w:before="120" w:after="120"/>
              <w:rPr>
                <w:rFonts w:eastAsia="Times New Roman"/>
                <w:b/>
                <w:sz w:val="28"/>
                <w:szCs w:val="28"/>
              </w:rPr>
            </w:pPr>
            <w:r w:rsidRPr="00ED1A28">
              <w:rPr>
                <w:rFonts w:eastAsia="Times New Roman"/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ED1A28">
                <w:rPr>
                  <w:rFonts w:eastAsia="Times New Roman"/>
                  <w:b/>
                  <w:sz w:val="28"/>
                  <w:szCs w:val="28"/>
                </w:rPr>
                <w:t>Europe</w:t>
              </w:r>
            </w:smartTag>
          </w:p>
          <w:p w:rsidR="00ED1A28" w:rsidRPr="00ED1A28" w:rsidRDefault="00ED1A28" w:rsidP="00ED1A28">
            <w:pPr>
              <w:spacing w:before="120"/>
              <w:rPr>
                <w:rFonts w:eastAsia="Times New Roman"/>
                <w:sz w:val="28"/>
                <w:szCs w:val="28"/>
              </w:rPr>
            </w:pPr>
            <w:r w:rsidRPr="00ED1A28">
              <w:rPr>
                <w:rFonts w:eastAsia="Times New Roman"/>
                <w:sz w:val="28"/>
                <w:szCs w:val="28"/>
              </w:rPr>
              <w:t>Inland Transport Committee</w:t>
            </w:r>
          </w:p>
          <w:p w:rsidR="00ED1A28" w:rsidRPr="00ED1A28" w:rsidRDefault="00ED1A28" w:rsidP="00ED1A28">
            <w:pPr>
              <w:spacing w:before="120"/>
              <w:rPr>
                <w:rFonts w:eastAsia="Times New Roman"/>
                <w:b/>
              </w:rPr>
            </w:pPr>
            <w:r w:rsidRPr="00ED1A28">
              <w:rPr>
                <w:rFonts w:eastAsia="Times New Roman"/>
                <w:b/>
              </w:rPr>
              <w:t>Working Party on the Transport of Dangerous Goods</w:t>
            </w:r>
          </w:p>
          <w:p w:rsidR="00ED1A28" w:rsidRPr="00ED1A28" w:rsidRDefault="00ED1A28" w:rsidP="00ED1A28">
            <w:pPr>
              <w:spacing w:before="120"/>
              <w:rPr>
                <w:rFonts w:eastAsia="Times New Roman"/>
                <w:b/>
              </w:rPr>
            </w:pPr>
            <w:r w:rsidRPr="00ED1A28">
              <w:rPr>
                <w:rFonts w:eastAsia="Times New Roman"/>
                <w:b/>
              </w:rPr>
              <w:t>Joint Meeting of Experts on the Regulations annexed to the</w:t>
            </w:r>
            <w:r w:rsidRPr="00ED1A28">
              <w:rPr>
                <w:rFonts w:eastAsia="Times New Roman"/>
                <w:b/>
              </w:rPr>
              <w:br/>
              <w:t>European Agreement concerning the International Carriage</w:t>
            </w:r>
            <w:r w:rsidRPr="00ED1A28">
              <w:rPr>
                <w:rFonts w:eastAsia="Times New Roman"/>
                <w:b/>
              </w:rPr>
              <w:br/>
              <w:t>of Dangerous Goods by Inland Waterways (ADN)</w:t>
            </w:r>
            <w:r w:rsidRPr="00ED1A28">
              <w:rPr>
                <w:rFonts w:eastAsia="Times New Roman"/>
                <w:b/>
              </w:rPr>
              <w:br/>
              <w:t>(ADN Safety Committee)</w:t>
            </w:r>
          </w:p>
          <w:p w:rsidR="00ED1A28" w:rsidRPr="00ED1A28" w:rsidRDefault="00ED1A28" w:rsidP="00ED1A28">
            <w:pPr>
              <w:spacing w:before="120"/>
              <w:rPr>
                <w:rFonts w:eastAsia="Times New Roman"/>
                <w:b/>
              </w:rPr>
            </w:pPr>
            <w:r w:rsidRPr="00ED1A28">
              <w:rPr>
                <w:rFonts w:eastAsia="Times New Roman"/>
                <w:b/>
              </w:rPr>
              <w:t>Thirtieth session</w:t>
            </w:r>
          </w:p>
          <w:p w:rsidR="00ED1A28" w:rsidRPr="00ED1A28" w:rsidRDefault="00ED1A28" w:rsidP="00ED1A28">
            <w:pPr>
              <w:rPr>
                <w:rFonts w:eastAsia="Times New Roman"/>
              </w:rPr>
            </w:pPr>
            <w:r w:rsidRPr="00ED1A28">
              <w:rPr>
                <w:rFonts w:eastAsia="Times New Roman"/>
              </w:rPr>
              <w:t>Geneva, 23–27 January 2017</w:t>
            </w:r>
            <w:r w:rsidRPr="00ED1A28">
              <w:rPr>
                <w:rFonts w:eastAsia="Times New Roman"/>
              </w:rPr>
              <w:br/>
              <w:t>Item 5 (b) of the provisional agenda</w:t>
            </w:r>
          </w:p>
          <w:p w:rsidR="00ED1A28" w:rsidRPr="00ED1A28" w:rsidRDefault="00ED1A28" w:rsidP="00ED1A28">
            <w:pPr>
              <w:rPr>
                <w:rFonts w:eastAsia="Times New Roman"/>
                <w:b/>
              </w:rPr>
            </w:pPr>
            <w:r w:rsidRPr="00ED1A28">
              <w:rPr>
                <w:rFonts w:eastAsia="Times New Roman"/>
                <w:b/>
              </w:rPr>
              <w:t>Proposals for amendments to the Regulations annexed to ADN:</w:t>
            </w:r>
          </w:p>
          <w:p w:rsidR="00ED1A28" w:rsidRPr="00ED1A28" w:rsidRDefault="00ED1A28" w:rsidP="00ED1A28">
            <w:pPr>
              <w:rPr>
                <w:rFonts w:eastAsia="Times New Roman"/>
                <w:b/>
                <w:bCs/>
                <w:lang w:val="en-US"/>
              </w:rPr>
            </w:pPr>
            <w:r w:rsidRPr="00ED1A28">
              <w:rPr>
                <w:rFonts w:eastAsia="Times New Roman"/>
                <w:b/>
              </w:rPr>
              <w:t>Other amendment proposals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D1A28" w:rsidRPr="00ED1A28" w:rsidRDefault="00ED1A28" w:rsidP="00ED1A28">
            <w:pPr>
              <w:spacing w:before="120"/>
              <w:rPr>
                <w:rFonts w:eastAsia="Times New Roman"/>
              </w:rPr>
            </w:pPr>
          </w:p>
          <w:p w:rsidR="00ED1A28" w:rsidRPr="00ED1A28" w:rsidRDefault="00ED1A28" w:rsidP="00ED1A28">
            <w:pPr>
              <w:spacing w:before="120"/>
              <w:rPr>
                <w:rFonts w:eastAsia="Times New Roman"/>
              </w:rPr>
            </w:pPr>
          </w:p>
          <w:p w:rsidR="00ED1A28" w:rsidRPr="00ED1A28" w:rsidRDefault="00ED1A28" w:rsidP="00ED1A28">
            <w:pPr>
              <w:spacing w:before="120"/>
              <w:rPr>
                <w:rFonts w:eastAsia="Times New Roman"/>
              </w:rPr>
            </w:pPr>
            <w:r w:rsidRPr="00ED1A28">
              <w:rPr>
                <w:rFonts w:eastAsia="Times New Roman"/>
              </w:rPr>
              <w:t>English</w:t>
            </w:r>
          </w:p>
          <w:p w:rsidR="00ED1A28" w:rsidRPr="00ED1A28" w:rsidRDefault="00ED1A28" w:rsidP="006241FE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241FE">
              <w:rPr>
                <w:rFonts w:eastAsia="Times New Roman"/>
              </w:rPr>
              <w:t>7</w:t>
            </w:r>
            <w:bookmarkStart w:id="0" w:name="_GoBack"/>
            <w:bookmarkEnd w:id="0"/>
            <w:r w:rsidRPr="00ED1A28">
              <w:rPr>
                <w:rFonts w:eastAsia="Times New Roman"/>
              </w:rPr>
              <w:t xml:space="preserve"> December 2016</w:t>
            </w:r>
          </w:p>
        </w:tc>
      </w:tr>
    </w:tbl>
    <w:p w:rsidR="004E76AB" w:rsidRPr="00D2078A" w:rsidRDefault="004E76AB" w:rsidP="003567E5">
      <w:pPr>
        <w:pStyle w:val="HChG"/>
        <w:tabs>
          <w:tab w:val="left" w:pos="810"/>
        </w:tabs>
      </w:pPr>
      <w:r w:rsidRPr="00D2078A">
        <w:tab/>
      </w:r>
      <w:r>
        <w:tab/>
      </w:r>
      <w:r w:rsidRPr="00D2078A">
        <w:tab/>
      </w:r>
      <w:r w:rsidR="003567E5">
        <w:t>Miscellaneous proposals (amendments or corrections)</w:t>
      </w:r>
    </w:p>
    <w:p w:rsidR="004E76AB" w:rsidRPr="00D2078A" w:rsidRDefault="004E76AB" w:rsidP="00281DE3">
      <w:pPr>
        <w:pStyle w:val="H1G"/>
      </w:pPr>
      <w:r w:rsidRPr="00D2078A">
        <w:tab/>
      </w:r>
      <w:r w:rsidRPr="00D2078A">
        <w:tab/>
      </w:r>
      <w:r w:rsidR="003567E5">
        <w:t xml:space="preserve">Transmitted by the </w:t>
      </w:r>
      <w:r w:rsidR="003567E5" w:rsidRPr="00281DE3">
        <w:t>Government</w:t>
      </w:r>
      <w:r w:rsidR="003567E5">
        <w:t xml:space="preserve"> of France</w:t>
      </w:r>
    </w:p>
    <w:p w:rsidR="004E76AB" w:rsidRPr="00D2078A" w:rsidRDefault="00281DE3" w:rsidP="00281DE3">
      <w:pPr>
        <w:pStyle w:val="HChG"/>
      </w:pPr>
      <w:r>
        <w:tab/>
      </w:r>
      <w:r>
        <w:tab/>
      </w:r>
      <w:r w:rsidR="004E76AB" w:rsidRPr="00281DE3">
        <w:t>Introduction</w:t>
      </w:r>
    </w:p>
    <w:p w:rsidR="00E35450" w:rsidRDefault="00E35450" w:rsidP="00E35450">
      <w:pPr>
        <w:pStyle w:val="SingleTxtG"/>
      </w:pP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wishes to bring to the attention of the Safety Committee the following miscellaneous issues:</w:t>
      </w:r>
    </w:p>
    <w:p w:rsidR="005F6B8F" w:rsidRDefault="003567E5" w:rsidP="00E35450">
      <w:pPr>
        <w:pStyle w:val="SingleTxtG"/>
      </w:pPr>
      <w:r>
        <w:t>1</w:t>
      </w:r>
      <w:r>
        <w:tab/>
      </w:r>
      <w:r w:rsidR="00E35450">
        <w:t>T</w:t>
      </w:r>
      <w:r w:rsidR="005F6B8F">
        <w:t xml:space="preserve">he footnote </w:t>
      </w:r>
      <w:r w:rsidR="00E35450">
        <w:t xml:space="preserve">(No. 2) </w:t>
      </w:r>
      <w:r w:rsidR="005F6B8F">
        <w:t xml:space="preserve">related to ADN 1.1.4.3 </w:t>
      </w:r>
      <w:r w:rsidR="0019356A">
        <w:t>"</w:t>
      </w:r>
      <w:r w:rsidR="005F6B8F">
        <w:t>Use of IMO type portable tanks approved for maritime transport</w:t>
      </w:r>
      <w:r w:rsidR="0019356A">
        <w:t>"</w:t>
      </w:r>
      <w:r w:rsidR="005F6B8F">
        <w:t xml:space="preserve"> refers to in the IMO circular DSC/Circ.12 and corrigenda. This circular has been superseded by the IMO circular CCC.1/Circ.3 dated 30 October 2015, entitled </w:t>
      </w:r>
      <w:r w:rsidR="0019356A">
        <w:t>"</w:t>
      </w:r>
      <w:r w:rsidR="005F6B8F">
        <w:t>R</w:t>
      </w:r>
      <w:r w:rsidR="005F6B8F" w:rsidRPr="005F6B8F">
        <w:t xml:space="preserve">evised guidance on the continued use of existing </w:t>
      </w:r>
      <w:r w:rsidR="005F6B8F">
        <w:t>IMO</w:t>
      </w:r>
      <w:r w:rsidR="005F6B8F" w:rsidRPr="005F6B8F">
        <w:t xml:space="preserve"> type portable</w:t>
      </w:r>
      <w:r w:rsidR="005F6B8F">
        <w:t xml:space="preserve"> </w:t>
      </w:r>
      <w:r w:rsidR="005F6B8F" w:rsidRPr="005F6B8F">
        <w:t>tanks and road tank vehicles for the transport of</w:t>
      </w:r>
      <w:r w:rsidR="005F6B8F">
        <w:t xml:space="preserve"> </w:t>
      </w:r>
      <w:r w:rsidR="005F6B8F" w:rsidRPr="005F6B8F">
        <w:t>dangerous goods</w:t>
      </w:r>
      <w:r w:rsidR="0019356A">
        <w:t>"</w:t>
      </w:r>
      <w:r w:rsidR="005F6B8F">
        <w:t xml:space="preserve">, and </w:t>
      </w:r>
      <w:r w:rsidR="00E35450">
        <w:t>referred to in 4.2.0.1 of the IMDG Code (amendment 38-16).</w:t>
      </w:r>
    </w:p>
    <w:p w:rsidR="00EE4111" w:rsidRDefault="00E35450" w:rsidP="00EE4111">
      <w:pPr>
        <w:pStyle w:val="SingleTxtG"/>
        <w:spacing w:after="0" w:line="240" w:lineRule="auto"/>
      </w:pPr>
      <w:r>
        <w:t>2</w:t>
      </w:r>
      <w:r>
        <w:tab/>
        <w:t>The footnote (No. 5) related to ADN</w:t>
      </w:r>
      <w:r w:rsidRPr="00BD2EE4">
        <w:rPr>
          <w:lang w:val="en-US"/>
        </w:rPr>
        <w:t xml:space="preserve"> </w:t>
      </w:r>
      <w:r>
        <w:rPr>
          <w:lang w:val="en-US"/>
        </w:rPr>
        <w:t xml:space="preserve">5.4.2 </w:t>
      </w:r>
      <w:r w:rsidR="0019356A">
        <w:rPr>
          <w:lang w:val="en-US"/>
        </w:rPr>
        <w:t>"</w:t>
      </w:r>
      <w:r>
        <w:rPr>
          <w:lang w:val="en-US"/>
        </w:rPr>
        <w:t>Large container, vehicle or wagon packing certificate</w:t>
      </w:r>
      <w:r w:rsidR="0019356A">
        <w:rPr>
          <w:lang w:val="en-US"/>
        </w:rPr>
        <w:t>"</w:t>
      </w:r>
      <w:r>
        <w:rPr>
          <w:lang w:val="en-US"/>
        </w:rPr>
        <w:t xml:space="preserve"> refers to in</w:t>
      </w:r>
      <w:r w:rsidR="00DB3E0C">
        <w:rPr>
          <w:lang w:val="en-US"/>
        </w:rPr>
        <w:t xml:space="preserve"> the </w:t>
      </w:r>
      <w:r w:rsidR="0019356A">
        <w:t>"</w:t>
      </w:r>
      <w:r w:rsidRPr="00E35450">
        <w:t>IMO/ILO/UNECE Guidelines for Packing of Cargo Transport Units (CTUs)</w:t>
      </w:r>
      <w:r w:rsidR="0019356A">
        <w:t>"</w:t>
      </w:r>
      <w:r w:rsidRPr="00E35450">
        <w:t>.</w:t>
      </w:r>
      <w:r>
        <w:t xml:space="preserve"> These Guidelines have been replaced by </w:t>
      </w:r>
      <w:r w:rsidR="00EE4111">
        <w:t xml:space="preserve">the </w:t>
      </w:r>
      <w:r w:rsidR="0019356A">
        <w:t>"</w:t>
      </w:r>
      <w:r w:rsidRPr="00E35450">
        <w:t>IMO/ILO/UNECE Code of Practice for Packing of</w:t>
      </w:r>
      <w:r w:rsidR="00EE4111">
        <w:t xml:space="preserve"> </w:t>
      </w:r>
      <w:r w:rsidRPr="00E35450">
        <w:t>Cargo Transport Units</w:t>
      </w:r>
      <w:r w:rsidR="00EE4111">
        <w:t xml:space="preserve"> </w:t>
      </w:r>
      <w:r w:rsidRPr="00E35450">
        <w:t>(CTU Code)</w:t>
      </w:r>
      <w:r w:rsidR="00EE4111">
        <w:t xml:space="preserve"> – 2014</w:t>
      </w:r>
      <w:r w:rsidR="0019356A">
        <w:t>"</w:t>
      </w:r>
      <w:r w:rsidR="00EE4111">
        <w:t xml:space="preserve"> which may be downloaded by the link: </w:t>
      </w:r>
    </w:p>
    <w:p w:rsidR="00E35450" w:rsidRPr="00EE4111" w:rsidRDefault="006241FE" w:rsidP="00EE4111">
      <w:pPr>
        <w:pStyle w:val="SingleTxtG"/>
        <w:rPr>
          <w:szCs w:val="40"/>
        </w:rPr>
      </w:pPr>
      <w:hyperlink r:id="rId7" w:history="1">
        <w:r w:rsidR="00EE4111" w:rsidRPr="005E7B34">
          <w:rPr>
            <w:rStyle w:val="Hyperlink"/>
          </w:rPr>
          <w:t>http://www.unece.org/fileadmin/DAM/trans/doc/2014/wp24/CTU_Code_January_2014.pdf</w:t>
        </w:r>
      </w:hyperlink>
      <w:r w:rsidR="00EE4111">
        <w:t xml:space="preserve"> </w:t>
      </w:r>
    </w:p>
    <w:p w:rsidR="004E76AB" w:rsidRDefault="004E76AB" w:rsidP="00C72375">
      <w:pPr>
        <w:pStyle w:val="HChG"/>
        <w:ind w:left="420" w:firstLine="0"/>
      </w:pPr>
      <w:r>
        <w:tab/>
      </w:r>
      <w:r>
        <w:tab/>
      </w:r>
      <w:r w:rsidRPr="00C72375">
        <w:t>Proposal</w:t>
      </w:r>
      <w:r w:rsidR="00EE4111">
        <w:t>s</w:t>
      </w:r>
    </w:p>
    <w:p w:rsidR="004E76AB" w:rsidRDefault="00EE4111" w:rsidP="00EE4111">
      <w:pPr>
        <w:pStyle w:val="SingleTxtG"/>
      </w:pPr>
      <w:r>
        <w:t>1</w:t>
      </w:r>
      <w:r>
        <w:tab/>
        <w:t>It is proposed to replace, in the current footnote (No. 2) related to ADN 1.1.4.3 the reference and heading of the IMO circular DSC/Circ.12 with the reference and heading of the IMO circular CCC.1/Circ.3.</w:t>
      </w:r>
    </w:p>
    <w:p w:rsidR="00EE4111" w:rsidRDefault="00DB3E0C" w:rsidP="00DB3E0C">
      <w:pPr>
        <w:pStyle w:val="SingleTxtG"/>
      </w:pPr>
      <w:r>
        <w:t>2</w:t>
      </w:r>
      <w:r>
        <w:tab/>
        <w:t xml:space="preserve">It is proposed to replace, in the current footnote (No. 5) related to ADN 5.4.2, the reference and heading of the </w:t>
      </w:r>
      <w:r w:rsidR="0019356A">
        <w:t>"</w:t>
      </w:r>
      <w:r w:rsidRPr="00E35450">
        <w:t>IMO/ILO/UNECE Guidelines for Packing of Cargo Transport Units (CTUs)</w:t>
      </w:r>
      <w:r w:rsidR="0019356A">
        <w:t>"</w:t>
      </w:r>
      <w:r>
        <w:t xml:space="preserve"> with the reference and heading of the </w:t>
      </w:r>
      <w:r w:rsidR="0019356A">
        <w:t>"</w:t>
      </w:r>
      <w:r w:rsidRPr="00E35450">
        <w:t>IMO/ILO/UNECE Code of Practice for Packing of</w:t>
      </w:r>
      <w:r>
        <w:t xml:space="preserve"> </w:t>
      </w:r>
      <w:r w:rsidRPr="00E35450">
        <w:t>Cargo Transport Units</w:t>
      </w:r>
      <w:r>
        <w:t xml:space="preserve"> </w:t>
      </w:r>
      <w:r w:rsidRPr="00E35450">
        <w:t>(CTU Code)</w:t>
      </w:r>
      <w:r>
        <w:t xml:space="preserve"> – 2014</w:t>
      </w:r>
      <w:r w:rsidR="0019356A">
        <w:t>"</w:t>
      </w:r>
      <w:r>
        <w:t>.</w:t>
      </w:r>
    </w:p>
    <w:p w:rsidR="00DB3E0C" w:rsidRDefault="00DB3E0C" w:rsidP="00DB3E0C">
      <w:pPr>
        <w:pStyle w:val="HChG"/>
        <w:ind w:left="420" w:firstLine="0"/>
      </w:pPr>
      <w:r>
        <w:lastRenderedPageBreak/>
        <w:tab/>
      </w:r>
      <w:r>
        <w:tab/>
        <w:t>Action requested of the Committee</w:t>
      </w:r>
    </w:p>
    <w:p w:rsidR="00DB3E0C" w:rsidRPr="00BD2EE4" w:rsidRDefault="00DB3E0C" w:rsidP="00DB3E0C">
      <w:pPr>
        <w:pStyle w:val="SingleTxtG"/>
      </w:pPr>
      <w:r w:rsidRPr="00DB3E0C">
        <w:t>The S</w:t>
      </w:r>
      <w:r>
        <w:t xml:space="preserve">afety </w:t>
      </w:r>
      <w:r w:rsidRPr="00DB3E0C">
        <w:t xml:space="preserve">Committee is invited to consider the proposals contained in this document and take action as </w:t>
      </w:r>
      <w:r>
        <w:t xml:space="preserve">it deems </w:t>
      </w:r>
      <w:r w:rsidRPr="00DB3E0C">
        <w:t>appropriate.</w:t>
      </w:r>
    </w:p>
    <w:p w:rsidR="004E76AB" w:rsidRPr="00106A43" w:rsidRDefault="004E76AB" w:rsidP="00D2078A">
      <w:pPr>
        <w:spacing w:before="120"/>
        <w:jc w:val="center"/>
        <w:rPr>
          <w:u w:val="single"/>
        </w:rPr>
      </w:pPr>
      <w:r w:rsidRPr="00D2078A">
        <w:rPr>
          <w:u w:val="single"/>
        </w:rPr>
        <w:tab/>
      </w:r>
      <w:r w:rsidRPr="00D2078A">
        <w:rPr>
          <w:u w:val="single"/>
        </w:rPr>
        <w:tab/>
      </w:r>
      <w:r w:rsidRPr="00D2078A">
        <w:rPr>
          <w:u w:val="single"/>
        </w:rPr>
        <w:tab/>
      </w:r>
    </w:p>
    <w:sectPr w:rsidR="004E76AB" w:rsidRPr="00106A43" w:rsidSect="00C32F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F1" w:rsidRPr="00FB1744" w:rsidRDefault="00964BF1" w:rsidP="00FB1744">
      <w:pPr>
        <w:pStyle w:val="Footer"/>
      </w:pPr>
    </w:p>
  </w:endnote>
  <w:endnote w:type="continuationSeparator" w:id="0">
    <w:p w:rsidR="00964BF1" w:rsidRPr="00FB1744" w:rsidRDefault="00964BF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0" w:rsidRPr="00C32FBF" w:rsidRDefault="00E35450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6241FE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0" w:rsidRPr="00C32FBF" w:rsidRDefault="00E35450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0" w:rsidRPr="00D2078A" w:rsidRDefault="00E35450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F1" w:rsidRPr="00FB1744" w:rsidRDefault="00964BF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64BF1" w:rsidRPr="00FB1744" w:rsidRDefault="00964BF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0" w:rsidRPr="00ED1A28" w:rsidRDefault="00EE4111" w:rsidP="00EE4111">
    <w:pPr>
      <w:pStyle w:val="Header"/>
    </w:pPr>
    <w:r w:rsidRPr="00ED1A28">
      <w:t>INF.</w:t>
    </w:r>
    <w:r w:rsidR="00ED1A28" w:rsidRPr="00ED1A28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0" w:rsidRPr="00C32FBF" w:rsidRDefault="00E35450" w:rsidP="00C32FBF">
    <w:pPr>
      <w:pStyle w:val="Header"/>
      <w:jc w:val="right"/>
    </w:pPr>
    <w:r w:rsidRPr="00C32FBF">
      <w:t>ECE/TRA</w:t>
    </w:r>
    <w:r>
      <w:t>NS/WP.15/AC.2/2017/15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BD81EB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E5160BA"/>
    <w:multiLevelType w:val="hybridMultilevel"/>
    <w:tmpl w:val="1CA400E8"/>
    <w:lvl w:ilvl="0" w:tplc="853CD8F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775726C8"/>
    <w:multiLevelType w:val="hybridMultilevel"/>
    <w:tmpl w:val="44829922"/>
    <w:lvl w:ilvl="0" w:tplc="30626D4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" w15:restartNumberingAfterBreak="0">
    <w:nsid w:val="784B2EB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567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710"/>
    <w:rsid w:val="00046E92"/>
    <w:rsid w:val="00060682"/>
    <w:rsid w:val="000677CA"/>
    <w:rsid w:val="000B4F2F"/>
    <w:rsid w:val="000B615C"/>
    <w:rsid w:val="000F66A9"/>
    <w:rsid w:val="00106A43"/>
    <w:rsid w:val="001170DC"/>
    <w:rsid w:val="001425AE"/>
    <w:rsid w:val="00154C02"/>
    <w:rsid w:val="00177579"/>
    <w:rsid w:val="0019356A"/>
    <w:rsid w:val="00204EB5"/>
    <w:rsid w:val="00247E2C"/>
    <w:rsid w:val="00281DE3"/>
    <w:rsid w:val="00287A54"/>
    <w:rsid w:val="002963EC"/>
    <w:rsid w:val="002D6C53"/>
    <w:rsid w:val="002F5595"/>
    <w:rsid w:val="003131E2"/>
    <w:rsid w:val="00334F6A"/>
    <w:rsid w:val="00342AC8"/>
    <w:rsid w:val="003567E5"/>
    <w:rsid w:val="003B4550"/>
    <w:rsid w:val="00452125"/>
    <w:rsid w:val="00461253"/>
    <w:rsid w:val="00463595"/>
    <w:rsid w:val="004671C1"/>
    <w:rsid w:val="00491A68"/>
    <w:rsid w:val="004E76AB"/>
    <w:rsid w:val="005042C2"/>
    <w:rsid w:val="00535005"/>
    <w:rsid w:val="005378EF"/>
    <w:rsid w:val="00550DEF"/>
    <w:rsid w:val="00595889"/>
    <w:rsid w:val="005B7347"/>
    <w:rsid w:val="005F3F8A"/>
    <w:rsid w:val="005F4DAD"/>
    <w:rsid w:val="005F6B8F"/>
    <w:rsid w:val="00616531"/>
    <w:rsid w:val="006241FE"/>
    <w:rsid w:val="00631881"/>
    <w:rsid w:val="006427AC"/>
    <w:rsid w:val="00671529"/>
    <w:rsid w:val="00717266"/>
    <w:rsid w:val="007268F9"/>
    <w:rsid w:val="007C52B0"/>
    <w:rsid w:val="00853410"/>
    <w:rsid w:val="00894E1D"/>
    <w:rsid w:val="008E5B74"/>
    <w:rsid w:val="009411B4"/>
    <w:rsid w:val="00941650"/>
    <w:rsid w:val="00964BF1"/>
    <w:rsid w:val="00967585"/>
    <w:rsid w:val="009D0139"/>
    <w:rsid w:val="009F5CDC"/>
    <w:rsid w:val="00A3525E"/>
    <w:rsid w:val="00A46D97"/>
    <w:rsid w:val="00A775CF"/>
    <w:rsid w:val="00A81985"/>
    <w:rsid w:val="00A95E91"/>
    <w:rsid w:val="00AB3C7E"/>
    <w:rsid w:val="00AE4C38"/>
    <w:rsid w:val="00B06045"/>
    <w:rsid w:val="00B64A2E"/>
    <w:rsid w:val="00BC5DC4"/>
    <w:rsid w:val="00BD2EE4"/>
    <w:rsid w:val="00C0141B"/>
    <w:rsid w:val="00C04418"/>
    <w:rsid w:val="00C125CF"/>
    <w:rsid w:val="00C32FBF"/>
    <w:rsid w:val="00C35A27"/>
    <w:rsid w:val="00C57AFC"/>
    <w:rsid w:val="00C72375"/>
    <w:rsid w:val="00C75753"/>
    <w:rsid w:val="00CE4E66"/>
    <w:rsid w:val="00D04710"/>
    <w:rsid w:val="00D1081B"/>
    <w:rsid w:val="00D2078A"/>
    <w:rsid w:val="00D47EEA"/>
    <w:rsid w:val="00DA3CD0"/>
    <w:rsid w:val="00DB3E0C"/>
    <w:rsid w:val="00DD6019"/>
    <w:rsid w:val="00DF65FB"/>
    <w:rsid w:val="00E02C2B"/>
    <w:rsid w:val="00E30429"/>
    <w:rsid w:val="00E35450"/>
    <w:rsid w:val="00EA6778"/>
    <w:rsid w:val="00ED1A28"/>
    <w:rsid w:val="00ED6C48"/>
    <w:rsid w:val="00EE4111"/>
    <w:rsid w:val="00F65F5D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9DCFB2"/>
  <w15:docId w15:val="{F8DB263E-FEAD-44C6-AA6D-15ACAC91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line="240" w:lineRule="atLeast"/>
    </w:pPr>
    <w:rPr>
      <w:rFonts w:ascii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3B4550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247E2C"/>
    <w:rPr>
      <w:rFonts w:ascii="Times New Roman" w:eastAsia="SimSu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character" w:styleId="EndnoteReference">
    <w:name w:val="endnote reference"/>
    <w:aliases w:val="1_G"/>
    <w:basedOn w:val="DefaultParagraphFont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7268F9"/>
    <w:rPr>
      <w:rFonts w:ascii="Times New Roman" w:eastAsia="SimSun" w:hAnsi="Times New Roman" w:cs="Times New Roman"/>
      <w:sz w:val="20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7268F9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aliases w:val="4_G"/>
    <w:basedOn w:val="DefaultParagraphFont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basedOn w:val="DefaultParagraphFont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qFormat/>
    <w:rsid w:val="007268F9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line="240" w:lineRule="atLeast"/>
    </w:pPr>
    <w:rPr>
      <w:rFonts w:ascii="Times New Roman" w:hAnsi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17266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qFormat/>
    <w:rsid w:val="00EA6778"/>
    <w:rPr>
      <w:rFonts w:cs="Times New Roman"/>
      <w:b/>
      <w:bCs/>
    </w:rPr>
  </w:style>
  <w:style w:type="numbering" w:styleId="111111">
    <w:name w:val="Outline List 2"/>
    <w:basedOn w:val="NoList"/>
    <w:rsid w:val="00033D39"/>
    <w:pPr>
      <w:numPr>
        <w:numId w:val="5"/>
      </w:numPr>
    </w:pPr>
  </w:style>
  <w:style w:type="numbering" w:styleId="1ai">
    <w:name w:val="Outline List 1"/>
    <w:basedOn w:val="NoList"/>
    <w:rsid w:val="00033D39"/>
    <w:pPr>
      <w:numPr>
        <w:numId w:val="6"/>
      </w:numPr>
    </w:pPr>
  </w:style>
  <w:style w:type="paragraph" w:customStyle="1" w:styleId="Default">
    <w:name w:val="Default"/>
    <w:rsid w:val="003567E5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fr-FR" w:eastAsia="ja-JP"/>
    </w:rPr>
  </w:style>
  <w:style w:type="character" w:styleId="Hyperlink">
    <w:name w:val="Hyperlink"/>
    <w:basedOn w:val="DefaultParagraphFont"/>
    <w:rsid w:val="00EE4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ce.org/fileadmin/DAM/trans/doc/2014/wp24/CTU_Code_January_2014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WP15-AC2-30-infXXe.doc</vt:lpstr>
      <vt:lpstr>WP15-AC2-30-infXXe.doc</vt:lpstr>
    </vt:vector>
  </TitlesOfParts>
  <Company>DCM</Company>
  <LinksUpToDate>false</LinksUpToDate>
  <CharactersWithSpaces>2408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http://www.unece.org/fileadmin/DAM/trans/doc/2014/wp24/CTU_Code_January_2014.pdf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WP15-AC2-30-infXXe.doc</dc:title>
  <dc:subject>WP15-AC2-30-infXXe.doc</dc:subject>
  <dc:creator>Giltsoff</dc:creator>
  <dc:description>Final</dc:description>
  <cp:lastModifiedBy>Lucille</cp:lastModifiedBy>
  <cp:revision>6</cp:revision>
  <cp:lastPrinted>2016-12-21T13:10:00Z</cp:lastPrinted>
  <dcterms:created xsi:type="dcterms:W3CDTF">2016-12-27T10:48:00Z</dcterms:created>
  <dcterms:modified xsi:type="dcterms:W3CDTF">2016-12-30T09:19:00Z</dcterms:modified>
</cp:coreProperties>
</file>