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C4EA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C4EA4" w:rsidP="004C4EA4">
            <w:pPr>
              <w:jc w:val="right"/>
            </w:pPr>
            <w:r w:rsidRPr="004C4EA4">
              <w:rPr>
                <w:sz w:val="40"/>
              </w:rPr>
              <w:t>ECE</w:t>
            </w:r>
            <w:r>
              <w:t>/TRANS/WP.15/AC.2/2017/44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C4EA4" w:rsidP="00C97039">
            <w:pPr>
              <w:spacing w:before="240"/>
            </w:pPr>
            <w:r>
              <w:t>Distr. générale</w:t>
            </w:r>
          </w:p>
          <w:p w:rsidR="004C4EA4" w:rsidRDefault="004C4EA4" w:rsidP="004C4EA4">
            <w:pPr>
              <w:spacing w:line="240" w:lineRule="exact"/>
            </w:pPr>
            <w:r>
              <w:t>9 juin 2017</w:t>
            </w:r>
          </w:p>
          <w:p w:rsidR="004C4EA4" w:rsidRDefault="004C4EA4" w:rsidP="004C4EA4">
            <w:pPr>
              <w:spacing w:line="240" w:lineRule="exact"/>
            </w:pPr>
            <w:r>
              <w:t>Français</w:t>
            </w:r>
          </w:p>
          <w:p w:rsidR="004C4EA4" w:rsidRPr="00DB58B5" w:rsidRDefault="004C4EA4" w:rsidP="004C4EA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0820D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C4EA4" w:rsidRPr="009E01B8" w:rsidRDefault="004C4EA4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</w:t>
      </w:r>
      <w:r>
        <w:rPr>
          <w:b/>
          <w:sz w:val="24"/>
          <w:szCs w:val="24"/>
        </w:rPr>
        <w:t xml:space="preserve"> </w:t>
      </w:r>
      <w:r w:rsidRPr="009E01B8">
        <w:rPr>
          <w:b/>
          <w:sz w:val="24"/>
          <w:szCs w:val="24"/>
        </w:rPr>
        <w:t>de marchandises dangereuses</w:t>
      </w:r>
    </w:p>
    <w:p w:rsidR="004C4EA4" w:rsidRPr="004812F5" w:rsidRDefault="004C4EA4" w:rsidP="00AF0CB5">
      <w:pPr>
        <w:spacing w:before="120"/>
        <w:rPr>
          <w:b/>
        </w:rPr>
      </w:pPr>
      <w:r w:rsidRPr="004812F5">
        <w:rPr>
          <w:b/>
          <w:lang w:val="fr-FR"/>
        </w:rPr>
        <w:t>Réunion commune d</w:t>
      </w:r>
      <w:r w:rsidR="000820DD">
        <w:rPr>
          <w:b/>
          <w:lang w:val="fr-FR"/>
        </w:rPr>
        <w:t>’</w:t>
      </w:r>
      <w:r w:rsidRPr="004812F5">
        <w:rPr>
          <w:b/>
          <w:lang w:val="fr-FR"/>
        </w:rPr>
        <w:t>experts sur le Règlement annexé</w:t>
      </w:r>
      <w:r>
        <w:rPr>
          <w:b/>
          <w:lang w:val="fr-FR"/>
        </w:rPr>
        <w:br/>
      </w:r>
      <w:r w:rsidRPr="004812F5">
        <w:rPr>
          <w:b/>
          <w:lang w:val="fr-FR"/>
        </w:rPr>
        <w:t>à l</w:t>
      </w:r>
      <w:r w:rsidR="000820DD">
        <w:rPr>
          <w:b/>
          <w:lang w:val="fr-FR"/>
        </w:rPr>
        <w:t>’</w:t>
      </w:r>
      <w:r w:rsidRPr="004812F5">
        <w:rPr>
          <w:b/>
          <w:lang w:val="fr-FR"/>
        </w:rPr>
        <w:t>Accord européen</w:t>
      </w:r>
      <w:r>
        <w:rPr>
          <w:b/>
          <w:lang w:val="fr-FR"/>
        </w:rPr>
        <w:t xml:space="preserve"> </w:t>
      </w:r>
      <w:r w:rsidRPr="004812F5">
        <w:rPr>
          <w:b/>
          <w:lang w:val="fr-FR"/>
        </w:rPr>
        <w:t>relatif au transport international</w:t>
      </w:r>
      <w:r>
        <w:rPr>
          <w:b/>
          <w:lang w:val="fr-FR"/>
        </w:rPr>
        <w:br/>
      </w:r>
      <w:r w:rsidRPr="004812F5">
        <w:rPr>
          <w:b/>
          <w:lang w:val="fr-FR"/>
        </w:rPr>
        <w:t xml:space="preserve">des marchandises </w:t>
      </w:r>
      <w:r w:rsidRPr="004812F5">
        <w:rPr>
          <w:b/>
          <w:bCs/>
          <w:iCs/>
          <w:lang w:val="fr-FR"/>
        </w:rPr>
        <w:t>dangereuses par voies</w:t>
      </w:r>
      <w:r>
        <w:rPr>
          <w:b/>
          <w:bCs/>
          <w:iCs/>
          <w:lang w:val="fr-FR"/>
        </w:rPr>
        <w:t xml:space="preserve"> </w:t>
      </w:r>
      <w:r w:rsidRPr="004812F5">
        <w:rPr>
          <w:b/>
          <w:bCs/>
          <w:iCs/>
          <w:lang w:val="fr-FR"/>
        </w:rPr>
        <w:t>de navigation</w:t>
      </w:r>
      <w:r>
        <w:rPr>
          <w:b/>
          <w:bCs/>
          <w:iCs/>
          <w:lang w:val="fr-FR"/>
        </w:rPr>
        <w:br/>
      </w:r>
      <w:r w:rsidRPr="004812F5">
        <w:rPr>
          <w:b/>
          <w:bCs/>
          <w:iCs/>
          <w:lang w:val="fr-FR"/>
        </w:rPr>
        <w:t xml:space="preserve">intérieures (ADN) </w:t>
      </w:r>
      <w:r w:rsidRPr="004812F5">
        <w:rPr>
          <w:b/>
          <w:bCs/>
          <w:lang w:val="fr-FR"/>
        </w:rPr>
        <w:t>(Comité de sécurité de l</w:t>
      </w:r>
      <w:r w:rsidR="000820DD">
        <w:rPr>
          <w:b/>
          <w:bCs/>
          <w:lang w:val="fr-FR"/>
        </w:rPr>
        <w:t>’</w:t>
      </w:r>
      <w:r w:rsidRPr="004812F5">
        <w:rPr>
          <w:b/>
          <w:bCs/>
          <w:lang w:val="fr-FR"/>
        </w:rPr>
        <w:t>ADN)</w:t>
      </w:r>
    </w:p>
    <w:p w:rsidR="004C4EA4" w:rsidRPr="00234E40" w:rsidRDefault="00815928" w:rsidP="00AF0CB5">
      <w:pPr>
        <w:spacing w:before="120"/>
        <w:rPr>
          <w:b/>
        </w:rPr>
      </w:pPr>
      <w:r>
        <w:rPr>
          <w:b/>
        </w:rPr>
        <w:t>Trente et unième</w:t>
      </w:r>
      <w:r w:rsidR="004C4EA4">
        <w:rPr>
          <w:b/>
        </w:rPr>
        <w:t xml:space="preserve"> </w:t>
      </w:r>
      <w:r w:rsidR="004C4EA4" w:rsidRPr="00234E40">
        <w:rPr>
          <w:b/>
        </w:rPr>
        <w:t>session</w:t>
      </w:r>
    </w:p>
    <w:p w:rsidR="004C4EA4" w:rsidRDefault="004C4EA4" w:rsidP="00AF0CB5">
      <w:r>
        <w:t xml:space="preserve">Genève, </w:t>
      </w:r>
      <w:r w:rsidR="00815928">
        <w:t>28-31 août 2017</w:t>
      </w:r>
    </w:p>
    <w:p w:rsidR="004C4EA4" w:rsidRDefault="00815928" w:rsidP="00AF0CB5">
      <w:r>
        <w:t>Point 4 b)</w:t>
      </w:r>
      <w:r w:rsidR="004C4EA4" w:rsidRPr="00B93E72">
        <w:t xml:space="preserve"> de l</w:t>
      </w:r>
      <w:r w:rsidR="000820DD">
        <w:t>’</w:t>
      </w:r>
      <w:r w:rsidR="004C4EA4" w:rsidRPr="00B93E72">
        <w:t>ordre du jour provisoire</w:t>
      </w:r>
    </w:p>
    <w:p w:rsidR="00815928" w:rsidRPr="002550A1" w:rsidRDefault="00815928" w:rsidP="00815928">
      <w:r w:rsidRPr="00815928">
        <w:rPr>
          <w:b/>
          <w:lang w:val="fr-FR"/>
        </w:rPr>
        <w:t>Propositions d</w:t>
      </w:r>
      <w:r w:rsidR="000820DD">
        <w:rPr>
          <w:b/>
          <w:lang w:val="fr-FR"/>
        </w:rPr>
        <w:t>’</w:t>
      </w:r>
      <w:r w:rsidRPr="00815928">
        <w:rPr>
          <w:b/>
          <w:lang w:val="fr-FR"/>
        </w:rPr>
        <w:t>amendeme</w:t>
      </w:r>
      <w:r>
        <w:rPr>
          <w:b/>
          <w:lang w:val="fr-FR"/>
        </w:rPr>
        <w:t>nts au Règlement annexé à l</w:t>
      </w:r>
      <w:r w:rsidR="000820DD">
        <w:rPr>
          <w:b/>
          <w:lang w:val="fr-FR"/>
        </w:rPr>
        <w:t>’</w:t>
      </w:r>
      <w:r>
        <w:rPr>
          <w:b/>
          <w:lang w:val="fr-FR"/>
        </w:rPr>
        <w:t xml:space="preserve">ADN : </w:t>
      </w:r>
      <w:r>
        <w:rPr>
          <w:b/>
          <w:lang w:val="fr-FR"/>
        </w:rPr>
        <w:br/>
      </w:r>
      <w:r w:rsidRPr="00815928">
        <w:rPr>
          <w:b/>
          <w:lang w:val="fr-FR"/>
        </w:rPr>
        <w:t>autres propositions</w:t>
      </w:r>
    </w:p>
    <w:p w:rsidR="00815928" w:rsidRDefault="00815928" w:rsidP="00815928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Mélanges de cargaisons effectués à bord de bateaux-citernes</w:t>
      </w:r>
    </w:p>
    <w:p w:rsidR="00815928" w:rsidRPr="006A10C6" w:rsidRDefault="00815928" w:rsidP="00815928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la FETSA, avec </w:t>
      </w:r>
      <w:r w:rsidR="000820DD">
        <w:rPr>
          <w:lang w:val="fr-FR"/>
        </w:rPr>
        <w:t>le concours de FuelsEurope, de </w:t>
      </w:r>
      <w:r>
        <w:rPr>
          <w:lang w:val="fr-FR"/>
        </w:rPr>
        <w:t>l</w:t>
      </w:r>
      <w:r w:rsidR="000820DD">
        <w:rPr>
          <w:lang w:val="fr-FR"/>
        </w:rPr>
        <w:t>’</w:t>
      </w:r>
      <w:r>
        <w:rPr>
          <w:lang w:val="fr-FR"/>
        </w:rPr>
        <w:t>UENF et de l</w:t>
      </w:r>
      <w:r w:rsidR="000820DD">
        <w:rPr>
          <w:lang w:val="fr-FR"/>
        </w:rPr>
        <w:t>’</w:t>
      </w:r>
      <w:r>
        <w:rPr>
          <w:lang w:val="fr-FR"/>
        </w:rPr>
        <w:t>OEB</w:t>
      </w:r>
      <w:r w:rsidRPr="00815928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  <w:r w:rsidRPr="00815928">
        <w:rPr>
          <w:vertAlign w:val="superscript"/>
          <w:lang w:val="fr-FR"/>
        </w:rPr>
        <w:t>,</w:t>
      </w:r>
      <w:r>
        <w:rPr>
          <w:lang w:val="fr-FR"/>
        </w:rPr>
        <w:t xml:space="preserve"> </w:t>
      </w:r>
      <w:r w:rsidRPr="00815928">
        <w:rPr>
          <w:rStyle w:val="FootnoteReference"/>
          <w:b w:val="0"/>
          <w:sz w:val="20"/>
          <w:vertAlign w:val="baseline"/>
        </w:rPr>
        <w:footnoteReference w:customMarkFollows="1" w:id="3"/>
        <w:t>**</w:t>
      </w:r>
    </w:p>
    <w:p w:rsidR="00815928" w:rsidRPr="006E07AC" w:rsidRDefault="00815928" w:rsidP="00815928">
      <w:pPr>
        <w:pStyle w:val="HChG"/>
        <w:rPr>
          <w:sz w:val="24"/>
          <w:szCs w:val="24"/>
        </w:rPr>
      </w:pPr>
      <w:bookmarkStart w:id="1" w:name="OLE_LINK1"/>
      <w:r>
        <w:rPr>
          <w:lang w:val="fr-FR"/>
        </w:rPr>
        <w:tab/>
      </w:r>
      <w:r>
        <w:rPr>
          <w:lang w:val="fr-FR"/>
        </w:rPr>
        <w:tab/>
        <w:t>Introduction</w:t>
      </w:r>
    </w:p>
    <w:p w:rsidR="00815928" w:rsidRDefault="00815928" w:rsidP="00815928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Au cours de la session de janvier 2017 du Comité de sécurité de l</w:t>
      </w:r>
      <w:r w:rsidR="000820DD">
        <w:rPr>
          <w:lang w:val="fr-FR"/>
        </w:rPr>
        <w:t>’</w:t>
      </w:r>
      <w:r>
        <w:rPr>
          <w:lang w:val="fr-FR"/>
        </w:rPr>
        <w:t>ADN, la FETSA a présen</w:t>
      </w:r>
      <w:r w:rsidR="000820DD">
        <w:rPr>
          <w:lang w:val="fr-FR"/>
        </w:rPr>
        <w:t>té</w:t>
      </w:r>
      <w:r>
        <w:rPr>
          <w:lang w:val="fr-FR"/>
        </w:rPr>
        <w:t xml:space="preserve"> une proposition relative au mélange à bord de bateaux-citernes, sur la base du document informel INF.15. Dans ce document, il a été proposé d</w:t>
      </w:r>
      <w:r w:rsidR="000820DD">
        <w:rPr>
          <w:lang w:val="fr-FR"/>
        </w:rPr>
        <w:t>’</w:t>
      </w:r>
      <w:r>
        <w:rPr>
          <w:lang w:val="fr-FR"/>
        </w:rPr>
        <w:t>adapter l</w:t>
      </w:r>
      <w:r w:rsidR="000820DD">
        <w:rPr>
          <w:lang w:val="fr-FR"/>
        </w:rPr>
        <w:t>’</w:t>
      </w:r>
      <w:r>
        <w:rPr>
          <w:lang w:val="fr-FR"/>
        </w:rPr>
        <w:t>ADN en y ajoutant les activités de mélange à bord. Le mélange à bord est une opération de chargement courante qui n</w:t>
      </w:r>
      <w:r w:rsidR="000820DD">
        <w:rPr>
          <w:lang w:val="fr-FR"/>
        </w:rPr>
        <w:t>’</w:t>
      </w:r>
      <w:r>
        <w:rPr>
          <w:lang w:val="fr-FR"/>
        </w:rPr>
        <w:t>apparaît pas dans l</w:t>
      </w:r>
      <w:r w:rsidR="000820DD">
        <w:rPr>
          <w:lang w:val="fr-FR"/>
        </w:rPr>
        <w:t>’</w:t>
      </w:r>
      <w:r>
        <w:rPr>
          <w:lang w:val="fr-FR"/>
        </w:rPr>
        <w:t>ADN.</w:t>
      </w:r>
    </w:p>
    <w:p w:rsidR="00815928" w:rsidRDefault="00025AFD" w:rsidP="00025AFD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</w:r>
      <w:r w:rsidR="00815928">
        <w:rPr>
          <w:lang w:val="fr-FR"/>
        </w:rPr>
        <w:t>L</w:t>
      </w:r>
      <w:r w:rsidR="000820DD">
        <w:rPr>
          <w:lang w:val="fr-FR"/>
        </w:rPr>
        <w:t>’</w:t>
      </w:r>
      <w:r w:rsidR="00815928">
        <w:rPr>
          <w:lang w:val="fr-FR"/>
        </w:rPr>
        <w:t>objectif de cette proposition était de décrire ce type d</w:t>
      </w:r>
      <w:r w:rsidR="000820DD">
        <w:rPr>
          <w:lang w:val="fr-FR"/>
        </w:rPr>
        <w:t>’</w:t>
      </w:r>
      <w:r w:rsidR="00815928">
        <w:rPr>
          <w:lang w:val="fr-FR"/>
        </w:rPr>
        <w:t>opération de chargement dans l</w:t>
      </w:r>
      <w:r w:rsidR="000820DD">
        <w:rPr>
          <w:lang w:val="fr-FR"/>
        </w:rPr>
        <w:t>’</w:t>
      </w:r>
      <w:r w:rsidR="00815928">
        <w:rPr>
          <w:lang w:val="fr-FR"/>
        </w:rPr>
        <w:t>ADN, ce qui conduirait à des opérations sûres, à la transparence et à l</w:t>
      </w:r>
      <w:r w:rsidR="000820DD">
        <w:rPr>
          <w:lang w:val="fr-FR"/>
        </w:rPr>
        <w:t>’</w:t>
      </w:r>
      <w:r w:rsidR="00815928">
        <w:rPr>
          <w:lang w:val="fr-FR"/>
        </w:rPr>
        <w:t>assurance de l</w:t>
      </w:r>
      <w:r w:rsidR="000820DD">
        <w:rPr>
          <w:lang w:val="fr-FR"/>
        </w:rPr>
        <w:t>’</w:t>
      </w:r>
      <w:r w:rsidR="00815928">
        <w:rPr>
          <w:lang w:val="fr-FR"/>
        </w:rPr>
        <w:t>exactitude des informations fournies. La FETSA avait trouvé un a</w:t>
      </w:r>
      <w:r>
        <w:rPr>
          <w:lang w:val="fr-FR"/>
        </w:rPr>
        <w:t xml:space="preserve">ppui à cette initiative auprès </w:t>
      </w:r>
      <w:r w:rsidR="00815928">
        <w:rPr>
          <w:lang w:val="fr-FR"/>
        </w:rPr>
        <w:t>de l</w:t>
      </w:r>
      <w:r w:rsidR="000820DD">
        <w:rPr>
          <w:lang w:val="fr-FR"/>
        </w:rPr>
        <w:t>’</w:t>
      </w:r>
      <w:r w:rsidR="00815928">
        <w:rPr>
          <w:lang w:val="fr-FR"/>
        </w:rPr>
        <w:t xml:space="preserve">UENF, de </w:t>
      </w:r>
      <w:r>
        <w:rPr>
          <w:lang w:val="fr-FR"/>
        </w:rPr>
        <w:t>l</w:t>
      </w:r>
      <w:r w:rsidR="000820DD">
        <w:rPr>
          <w:lang w:val="fr-FR"/>
        </w:rPr>
        <w:t>’</w:t>
      </w:r>
      <w:r>
        <w:rPr>
          <w:lang w:val="fr-FR"/>
        </w:rPr>
        <w:t xml:space="preserve">OEB, </w:t>
      </w:r>
      <w:r w:rsidR="00815928">
        <w:rPr>
          <w:lang w:val="fr-FR"/>
        </w:rPr>
        <w:t>ainsi que de FuelsEurope.</w:t>
      </w:r>
    </w:p>
    <w:p w:rsidR="00815928" w:rsidRDefault="00025AFD" w:rsidP="00025AFD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</w:r>
      <w:r w:rsidR="00815928">
        <w:rPr>
          <w:lang w:val="fr-FR"/>
        </w:rPr>
        <w:t>Au cours de l</w:t>
      </w:r>
      <w:r w:rsidR="000820DD">
        <w:rPr>
          <w:lang w:val="fr-FR"/>
        </w:rPr>
        <w:t>’</w:t>
      </w:r>
      <w:r w:rsidR="00815928">
        <w:rPr>
          <w:lang w:val="fr-FR"/>
        </w:rPr>
        <w:t>examen de ce document informel, tous les repré</w:t>
      </w:r>
      <w:r>
        <w:rPr>
          <w:lang w:val="fr-FR"/>
        </w:rPr>
        <w:t>sentants ne semblaient pas être</w:t>
      </w:r>
      <w:r w:rsidR="00815928">
        <w:rPr>
          <w:lang w:val="fr-FR"/>
        </w:rPr>
        <w:t xml:space="preserve"> pleinement conscients que le mélange est une opération de manutention courante principalement exécutée dans les ports maritimes. Des questions ont été posées et la FETSA a été priée de fournir davantage d</w:t>
      </w:r>
      <w:r w:rsidR="000820DD">
        <w:rPr>
          <w:lang w:val="fr-FR"/>
        </w:rPr>
        <w:t>’</w:t>
      </w:r>
      <w:r w:rsidR="00815928">
        <w:rPr>
          <w:lang w:val="fr-FR"/>
        </w:rPr>
        <w:t>informations.</w:t>
      </w:r>
    </w:p>
    <w:p w:rsidR="00815928" w:rsidRPr="006A10C6" w:rsidRDefault="00025AFD" w:rsidP="00025AFD">
      <w:pPr>
        <w:pStyle w:val="SingleTxtG"/>
      </w:pPr>
      <w:r>
        <w:rPr>
          <w:lang w:val="fr-FR"/>
        </w:rPr>
        <w:lastRenderedPageBreak/>
        <w:t>4.</w:t>
      </w:r>
      <w:r>
        <w:rPr>
          <w:lang w:val="fr-FR"/>
        </w:rPr>
        <w:tab/>
      </w:r>
      <w:r w:rsidR="00815928">
        <w:rPr>
          <w:lang w:val="fr-FR"/>
        </w:rPr>
        <w:t>Se référant au document informel INF.15 présenté à la trentième session et au rapport sur cette session (ECE/TRANS/WP.15/AC.2/62, par. 24 et 25), la FETSA est heureuse d</w:t>
      </w:r>
      <w:r w:rsidR="000820DD">
        <w:rPr>
          <w:lang w:val="fr-FR"/>
        </w:rPr>
        <w:t>’</w:t>
      </w:r>
      <w:r w:rsidR="00815928">
        <w:rPr>
          <w:lang w:val="fr-FR"/>
        </w:rPr>
        <w:t>expliquer le sujet de façon détaillée et de répondre aux questions qui ont été soulevées.</w:t>
      </w:r>
    </w:p>
    <w:p w:rsidR="00815928" w:rsidRPr="0023457D" w:rsidRDefault="00025AFD" w:rsidP="00025AFD">
      <w:pPr>
        <w:pStyle w:val="HChG"/>
      </w:pPr>
      <w:r>
        <w:rPr>
          <w:lang w:val="fr-FR"/>
        </w:rPr>
        <w:tab/>
        <w:t>I.</w:t>
      </w:r>
      <w:r>
        <w:rPr>
          <w:lang w:val="fr-FR"/>
        </w:rPr>
        <w:tab/>
      </w:r>
      <w:r w:rsidR="00815928">
        <w:rPr>
          <w:lang w:val="fr-FR"/>
        </w:rPr>
        <w:t>Bref r</w:t>
      </w:r>
      <w:r>
        <w:rPr>
          <w:lang w:val="fr-FR"/>
        </w:rPr>
        <w:t>ésumé du document informel INF.</w:t>
      </w:r>
      <w:r w:rsidR="00815928">
        <w:rPr>
          <w:lang w:val="fr-FR"/>
        </w:rPr>
        <w:t>15</w:t>
      </w:r>
    </w:p>
    <w:p w:rsidR="00815928" w:rsidRPr="00122853" w:rsidRDefault="00815928" w:rsidP="00025AFD">
      <w:pPr>
        <w:pStyle w:val="SingleTxtG"/>
      </w:pPr>
      <w:r>
        <w:rPr>
          <w:lang w:val="fr-FR"/>
        </w:rPr>
        <w:t>5.</w:t>
      </w:r>
      <w:r>
        <w:rPr>
          <w:lang w:val="fr-FR"/>
        </w:rPr>
        <w:tab/>
        <w:t>Pour les entreprises concernées par les activités de mélange à bord d</w:t>
      </w:r>
      <w:r w:rsidR="00A346A1">
        <w:rPr>
          <w:lang w:val="fr-FR"/>
        </w:rPr>
        <w:t>es bateaux</w:t>
      </w:r>
      <w:r w:rsidR="00A346A1">
        <w:rPr>
          <w:lang w:val="fr-FR"/>
        </w:rPr>
        <w:noBreakHyphen/>
      </w:r>
      <w:r>
        <w:rPr>
          <w:lang w:val="fr-FR"/>
        </w:rPr>
        <w:t>citernes de navigation intérieure, il est nécessaire d</w:t>
      </w:r>
      <w:r w:rsidR="000820DD">
        <w:rPr>
          <w:lang w:val="fr-FR"/>
        </w:rPr>
        <w:t>’</w:t>
      </w:r>
      <w:r>
        <w:rPr>
          <w:lang w:val="fr-FR"/>
        </w:rPr>
        <w:t>apporter des clarifications dans l</w:t>
      </w:r>
      <w:r w:rsidR="000820DD">
        <w:rPr>
          <w:lang w:val="fr-FR"/>
        </w:rPr>
        <w:t>’</w:t>
      </w:r>
      <w:r>
        <w:rPr>
          <w:lang w:val="fr-FR"/>
        </w:rPr>
        <w:t>ADN quant à ces activités. La FETSA a proposé la</w:t>
      </w:r>
      <w:r w:rsidR="00025AFD">
        <w:rPr>
          <w:lang w:val="fr-FR"/>
        </w:rPr>
        <w:t xml:space="preserve"> définition suivante du mélange :</w:t>
      </w:r>
    </w:p>
    <w:p w:rsidR="00815928" w:rsidRDefault="00025AFD" w:rsidP="00025AFD">
      <w:pPr>
        <w:pStyle w:val="SingleTxtG"/>
      </w:pPr>
      <w:r>
        <w:t>« </w:t>
      </w:r>
      <w:r w:rsidR="000820DD">
        <w:rPr>
          <w:lang w:val="fr-FR"/>
        </w:rPr>
        <w:t>Le mélange à bord</w:t>
      </w:r>
      <w:r w:rsidR="00815928">
        <w:rPr>
          <w:lang w:val="fr-FR"/>
        </w:rPr>
        <w:t xml:space="preserve"> est le mélange de deux ou plusieurs produits résultant en un seul produit final et ne s</w:t>
      </w:r>
      <w:r w:rsidR="000820DD">
        <w:rPr>
          <w:lang w:val="fr-FR"/>
        </w:rPr>
        <w:t>’</w:t>
      </w:r>
      <w:r w:rsidR="00815928">
        <w:rPr>
          <w:lang w:val="fr-FR"/>
        </w:rPr>
        <w:t>applique qu</w:t>
      </w:r>
      <w:r w:rsidR="000820DD">
        <w:rPr>
          <w:lang w:val="fr-FR"/>
        </w:rPr>
        <w:t>’</w:t>
      </w:r>
      <w:r w:rsidR="00815928">
        <w:rPr>
          <w:lang w:val="fr-FR"/>
        </w:rPr>
        <w:t>au mélange de composants, à distinguer de tout traitement chimique.</w:t>
      </w:r>
      <w:r>
        <w:rPr>
          <w:lang w:val="fr-FR"/>
        </w:rPr>
        <w:t> »</w:t>
      </w:r>
      <w:r w:rsidR="00815928">
        <w:rPr>
          <w:lang w:val="fr-FR"/>
        </w:rPr>
        <w:t>.</w:t>
      </w:r>
    </w:p>
    <w:p w:rsidR="00815928" w:rsidRPr="00122853" w:rsidRDefault="00815928" w:rsidP="00025AFD">
      <w:pPr>
        <w:pStyle w:val="SingleTxtG"/>
      </w:pPr>
      <w:r>
        <w:rPr>
          <w:lang w:val="fr-FR"/>
        </w:rPr>
        <w:t>6.</w:t>
      </w:r>
      <w:r>
        <w:rPr>
          <w:lang w:val="fr-FR"/>
        </w:rPr>
        <w:tab/>
        <w:t>Dans le document informel INF.15, p</w:t>
      </w:r>
      <w:r w:rsidR="00025AFD">
        <w:rPr>
          <w:lang w:val="fr-FR"/>
        </w:rPr>
        <w:t>artie III (« </w:t>
      </w:r>
      <w:r>
        <w:rPr>
          <w:lang w:val="fr-FR"/>
        </w:rPr>
        <w:t>Proposal</w:t>
      </w:r>
      <w:r w:rsidR="00025AFD">
        <w:rPr>
          <w:lang w:val="fr-FR"/>
        </w:rPr>
        <w:t> »</w:t>
      </w:r>
      <w:r>
        <w:rPr>
          <w:lang w:val="fr-FR"/>
        </w:rPr>
        <w:t>), des conditions détaillées ont été proposée</w:t>
      </w:r>
      <w:r w:rsidR="00025AFD">
        <w:rPr>
          <w:lang w:val="fr-FR"/>
        </w:rPr>
        <w:t>s au paragraphe 7, points </w:t>
      </w:r>
      <w:r>
        <w:rPr>
          <w:lang w:val="fr-FR"/>
        </w:rPr>
        <w:t>1 à 9, pour garantir la sécurité, la sensibilisation, la transparence et la prise en compte des documents correspondants comportant les mesures d</w:t>
      </w:r>
      <w:r w:rsidR="000820DD">
        <w:rPr>
          <w:lang w:val="fr-FR"/>
        </w:rPr>
        <w:t>’</w:t>
      </w:r>
      <w:r>
        <w:rPr>
          <w:lang w:val="fr-FR"/>
        </w:rPr>
        <w:t>atténuation des risques.</w:t>
      </w:r>
    </w:p>
    <w:bookmarkEnd w:id="1"/>
    <w:p w:rsidR="00815928" w:rsidRDefault="00025AFD" w:rsidP="00025AFD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 w:rsidR="00815928">
        <w:rPr>
          <w:lang w:val="fr-FR"/>
        </w:rPr>
        <w:t>Objet de la proposition</w:t>
      </w:r>
    </w:p>
    <w:p w:rsidR="00815928" w:rsidRPr="004A294E" w:rsidRDefault="00815928" w:rsidP="00025AFD">
      <w:pPr>
        <w:pStyle w:val="SingleTxtG"/>
      </w:pPr>
      <w:r>
        <w:rPr>
          <w:lang w:val="fr-FR"/>
        </w:rPr>
        <w:t>7.</w:t>
      </w:r>
      <w:r>
        <w:rPr>
          <w:lang w:val="fr-FR"/>
        </w:rPr>
        <w:tab/>
        <w:t>La FETSA propose que le mélange à bord des bateaux-citernes de navigation intérieure ne soit autorisé que lorsque les conditions suivantes sont remplies.</w:t>
      </w:r>
    </w:p>
    <w:p w:rsidR="00815928" w:rsidRDefault="00025AFD" w:rsidP="00025AFD">
      <w:pPr>
        <w:pStyle w:val="H1G"/>
      </w:pPr>
      <w:r>
        <w:rPr>
          <w:lang w:val="fr-FR"/>
        </w:rPr>
        <w:tab/>
        <w:t>A.</w:t>
      </w:r>
      <w:r>
        <w:rPr>
          <w:lang w:val="fr-FR"/>
        </w:rPr>
        <w:tab/>
      </w:r>
      <w:r w:rsidR="00815928">
        <w:rPr>
          <w:lang w:val="fr-FR"/>
        </w:rPr>
        <w:t>Lieu</w:t>
      </w:r>
    </w:p>
    <w:p w:rsidR="00815928" w:rsidRPr="00761589" w:rsidRDefault="00815928" w:rsidP="00025AFD">
      <w:pPr>
        <w:pStyle w:val="Bullet1G"/>
      </w:pPr>
      <w:r>
        <w:rPr>
          <w:lang w:val="fr-FR"/>
        </w:rPr>
        <w:t>Le bateau-citerne est relié à la jetée d</w:t>
      </w:r>
      <w:r w:rsidR="000820DD">
        <w:rPr>
          <w:lang w:val="fr-FR"/>
        </w:rPr>
        <w:t>’</w:t>
      </w:r>
      <w:r>
        <w:rPr>
          <w:lang w:val="fr-FR"/>
        </w:rPr>
        <w:t>un point d</w:t>
      </w:r>
      <w:r w:rsidR="000820DD">
        <w:rPr>
          <w:lang w:val="fr-FR"/>
        </w:rPr>
        <w:t>’</w:t>
      </w:r>
      <w:r>
        <w:rPr>
          <w:lang w:val="fr-FR"/>
        </w:rPr>
        <w:t>avitaillement ou à un navire de mer</w:t>
      </w:r>
      <w:r w:rsidR="00025AFD">
        <w:rPr>
          <w:lang w:val="fr-FR"/>
        </w:rPr>
        <w:t> ;</w:t>
      </w:r>
    </w:p>
    <w:p w:rsidR="00815928" w:rsidRDefault="00815928" w:rsidP="00025AFD">
      <w:pPr>
        <w:pStyle w:val="Bullet1G"/>
      </w:pPr>
      <w:r>
        <w:rPr>
          <w:lang w:val="fr-FR"/>
        </w:rPr>
        <w:t>Chargement, à partir de la terre ou d</w:t>
      </w:r>
      <w:r w:rsidR="000820DD">
        <w:rPr>
          <w:lang w:val="fr-FR"/>
        </w:rPr>
        <w:t>’</w:t>
      </w:r>
      <w:r>
        <w:rPr>
          <w:lang w:val="fr-FR"/>
        </w:rPr>
        <w:t>un navire de mer, uniquement par le système permanent d</w:t>
      </w:r>
      <w:r w:rsidR="000820DD">
        <w:rPr>
          <w:lang w:val="fr-FR"/>
        </w:rPr>
        <w:t>’</w:t>
      </w:r>
      <w:r>
        <w:rPr>
          <w:lang w:val="fr-FR"/>
        </w:rPr>
        <w:t>avitaillement ad hoc du bateau-c</w:t>
      </w:r>
      <w:r w:rsidR="00172012">
        <w:rPr>
          <w:lang w:val="fr-FR"/>
        </w:rPr>
        <w:t>iterne de navigation intérieure ;</w:t>
      </w:r>
    </w:p>
    <w:p w:rsidR="00815928" w:rsidRDefault="00815928" w:rsidP="00025AFD">
      <w:pPr>
        <w:pStyle w:val="Bullet1G"/>
      </w:pPr>
      <w:r>
        <w:rPr>
          <w:lang w:val="fr-FR"/>
        </w:rPr>
        <w:t>Lorsque les produits sont compatibles et que le risque d</w:t>
      </w:r>
      <w:r w:rsidR="000820DD">
        <w:rPr>
          <w:lang w:val="fr-FR"/>
        </w:rPr>
        <w:t>’</w:t>
      </w:r>
      <w:r>
        <w:rPr>
          <w:lang w:val="fr-FR"/>
        </w:rPr>
        <w:t>une réaction chimique a été atténué.</w:t>
      </w:r>
    </w:p>
    <w:p w:rsidR="00815928" w:rsidRDefault="00815928" w:rsidP="00172012">
      <w:pPr>
        <w:pStyle w:val="H1G"/>
      </w:pPr>
      <w:r>
        <w:rPr>
          <w:lang w:val="fr-FR"/>
        </w:rPr>
        <w:tab/>
        <w:t>B.</w:t>
      </w:r>
      <w:r>
        <w:rPr>
          <w:lang w:val="fr-FR"/>
        </w:rPr>
        <w:tab/>
        <w:t>Procédure</w:t>
      </w:r>
    </w:p>
    <w:p w:rsidR="00815928" w:rsidRDefault="00815928" w:rsidP="00172012">
      <w:pPr>
        <w:pStyle w:val="Bullet1G"/>
      </w:pPr>
      <w:r>
        <w:rPr>
          <w:lang w:val="fr-FR"/>
        </w:rPr>
        <w:t xml:space="preserve">Tous les produits </w:t>
      </w:r>
      <w:r w:rsidR="00172012">
        <w:rPr>
          <w:lang w:val="fr-FR"/>
        </w:rPr>
        <w:t>qui composent le mélange, y </w:t>
      </w:r>
      <w:r>
        <w:rPr>
          <w:lang w:val="fr-FR"/>
        </w:rPr>
        <w:t>compris le mélange lui-même, doivent figurer sur la liste des matières du bateau selon le p</w:t>
      </w:r>
      <w:r w:rsidR="00172012">
        <w:rPr>
          <w:lang w:val="fr-FR"/>
        </w:rPr>
        <w:t>aragraphe 1.16.1.2.5 de l</w:t>
      </w:r>
      <w:r w:rsidR="000820DD">
        <w:rPr>
          <w:lang w:val="fr-FR"/>
        </w:rPr>
        <w:t>’</w:t>
      </w:r>
      <w:r w:rsidR="00172012">
        <w:rPr>
          <w:lang w:val="fr-FR"/>
        </w:rPr>
        <w:t>ADN ;</w:t>
      </w:r>
    </w:p>
    <w:p w:rsidR="00815928" w:rsidRDefault="00815928" w:rsidP="00172012">
      <w:pPr>
        <w:pStyle w:val="Bullet1G"/>
      </w:pPr>
      <w:r>
        <w:rPr>
          <w:lang w:val="fr-FR"/>
        </w:rPr>
        <w:t>Avant le chargement, l</w:t>
      </w:r>
      <w:r w:rsidR="000820DD">
        <w:rPr>
          <w:lang w:val="fr-FR"/>
        </w:rPr>
        <w:t>’</w:t>
      </w:r>
      <w:r>
        <w:rPr>
          <w:lang w:val="fr-FR"/>
        </w:rPr>
        <w:t>opération de mélange est documentée et communiquée par l</w:t>
      </w:r>
      <w:r w:rsidR="000820DD">
        <w:rPr>
          <w:lang w:val="fr-FR"/>
        </w:rPr>
        <w:t>’</w:t>
      </w:r>
      <w:r>
        <w:rPr>
          <w:lang w:val="fr-FR"/>
        </w:rPr>
        <w:t>expéditeur au remplisseur ainsi qu</w:t>
      </w:r>
      <w:r w:rsidR="000820DD">
        <w:rPr>
          <w:lang w:val="fr-FR"/>
        </w:rPr>
        <w:t>’</w:t>
      </w:r>
      <w:r>
        <w:rPr>
          <w:lang w:val="fr-FR"/>
        </w:rPr>
        <w:t>au transporteur ; elle est ensuite exécutée par le(s) remplisseur(s) sur ordre de l</w:t>
      </w:r>
      <w:r w:rsidR="000820DD">
        <w:rPr>
          <w:lang w:val="fr-FR"/>
        </w:rPr>
        <w:t>’</w:t>
      </w:r>
      <w:r>
        <w:rPr>
          <w:lang w:val="fr-FR"/>
        </w:rPr>
        <w:t>équipage du transporteur (de la barge) et en coopération avec lui</w:t>
      </w:r>
      <w:r w:rsidR="00172012">
        <w:rPr>
          <w:lang w:val="fr-FR"/>
        </w:rPr>
        <w:t> ;</w:t>
      </w:r>
    </w:p>
    <w:p w:rsidR="00815928" w:rsidRDefault="00815928" w:rsidP="00172012">
      <w:pPr>
        <w:pStyle w:val="Bullet1G"/>
      </w:pPr>
      <w:r>
        <w:rPr>
          <w:lang w:val="fr-FR"/>
        </w:rPr>
        <w:t>Les produits sont chargés l</w:t>
      </w:r>
      <w:r w:rsidR="000820DD">
        <w:rPr>
          <w:lang w:val="fr-FR"/>
        </w:rPr>
        <w:t>’</w:t>
      </w:r>
      <w:r>
        <w:rPr>
          <w:lang w:val="fr-FR"/>
        </w:rPr>
        <w:t>un après l</w:t>
      </w:r>
      <w:r w:rsidR="000820DD">
        <w:rPr>
          <w:lang w:val="fr-FR"/>
        </w:rPr>
        <w:t>’</w:t>
      </w:r>
      <w:r>
        <w:rPr>
          <w:lang w:val="fr-FR"/>
        </w:rPr>
        <w:t>autre</w:t>
      </w:r>
      <w:r w:rsidR="00172012">
        <w:rPr>
          <w:lang w:val="fr-FR"/>
        </w:rPr>
        <w:t>, lot par lot, l</w:t>
      </w:r>
      <w:r w:rsidR="000820DD">
        <w:rPr>
          <w:lang w:val="fr-FR"/>
        </w:rPr>
        <w:t>’</w:t>
      </w:r>
      <w:r w:rsidR="00172012">
        <w:rPr>
          <w:lang w:val="fr-FR"/>
        </w:rPr>
        <w:t>un sur l</w:t>
      </w:r>
      <w:r w:rsidR="000820DD">
        <w:rPr>
          <w:lang w:val="fr-FR"/>
        </w:rPr>
        <w:t>’</w:t>
      </w:r>
      <w:r w:rsidR="00172012">
        <w:rPr>
          <w:lang w:val="fr-FR"/>
        </w:rPr>
        <w:t>autre ;</w:t>
      </w:r>
    </w:p>
    <w:p w:rsidR="00815928" w:rsidRDefault="00815928" w:rsidP="00172012">
      <w:pPr>
        <w:pStyle w:val="Bullet1G"/>
      </w:pPr>
      <w:r>
        <w:rPr>
          <w:lang w:val="fr-FR"/>
        </w:rPr>
        <w:t>Le mélange des produits dans les citernes des bateaux-citernes de navigation intérieure s</w:t>
      </w:r>
      <w:r w:rsidR="000820DD">
        <w:rPr>
          <w:lang w:val="fr-FR"/>
        </w:rPr>
        <w:t>’</w:t>
      </w:r>
      <w:r>
        <w:rPr>
          <w:lang w:val="fr-FR"/>
        </w:rPr>
        <w:t>effectue par gravité, par opposition à un mélange mécanique au moyen des pompes de ces bateaux-citernes</w:t>
      </w:r>
      <w:r w:rsidR="00172012">
        <w:rPr>
          <w:lang w:val="fr-FR"/>
        </w:rPr>
        <w:t> ;</w:t>
      </w:r>
    </w:p>
    <w:p w:rsidR="00815928" w:rsidRDefault="00815928" w:rsidP="00172012">
      <w:pPr>
        <w:pStyle w:val="Bullet1G"/>
      </w:pPr>
      <w:r>
        <w:rPr>
          <w:lang w:val="fr-FR"/>
        </w:rPr>
        <w:t>La question du transfert d</w:t>
      </w:r>
      <w:r w:rsidR="000820DD">
        <w:rPr>
          <w:lang w:val="fr-FR"/>
        </w:rPr>
        <w:t>’</w:t>
      </w:r>
      <w:r>
        <w:rPr>
          <w:lang w:val="fr-FR"/>
        </w:rPr>
        <w:t>une cargaison d</w:t>
      </w:r>
      <w:r w:rsidR="000820DD">
        <w:rPr>
          <w:lang w:val="fr-FR"/>
        </w:rPr>
        <w:t>’une citerne à</w:t>
      </w:r>
      <w:r>
        <w:rPr>
          <w:lang w:val="fr-FR"/>
        </w:rPr>
        <w:t xml:space="preserve"> une autre (pour d</w:t>
      </w:r>
      <w:r w:rsidR="000820DD">
        <w:rPr>
          <w:lang w:val="fr-FR"/>
        </w:rPr>
        <w:t>’</w:t>
      </w:r>
      <w:r>
        <w:rPr>
          <w:lang w:val="fr-FR"/>
        </w:rPr>
        <w:t>autres raisons que la stabilisation et à l</w:t>
      </w:r>
      <w:r w:rsidR="000820DD">
        <w:rPr>
          <w:lang w:val="fr-FR"/>
        </w:rPr>
        <w:t>’</w:t>
      </w:r>
      <w:r>
        <w:rPr>
          <w:lang w:val="fr-FR"/>
        </w:rPr>
        <w:t>amarrage) n</w:t>
      </w:r>
      <w:r w:rsidR="000820DD">
        <w:rPr>
          <w:lang w:val="fr-FR"/>
        </w:rPr>
        <w:t>’</w:t>
      </w:r>
      <w:r>
        <w:rPr>
          <w:lang w:val="fr-FR"/>
        </w:rPr>
        <w:t>entre pas dans le cadre de la proposition.</w:t>
      </w:r>
    </w:p>
    <w:p w:rsidR="00815928" w:rsidRDefault="00815928" w:rsidP="00172012">
      <w:pPr>
        <w:pStyle w:val="H1G"/>
      </w:pPr>
      <w:r>
        <w:rPr>
          <w:lang w:val="fr-FR"/>
        </w:rPr>
        <w:lastRenderedPageBreak/>
        <w:tab/>
        <w:t>C.</w:t>
      </w:r>
      <w:r>
        <w:rPr>
          <w:lang w:val="fr-FR"/>
        </w:rPr>
        <w:tab/>
        <w:t>Produits</w:t>
      </w:r>
    </w:p>
    <w:p w:rsidR="00815928" w:rsidRDefault="00815928" w:rsidP="00172012">
      <w:pPr>
        <w:pStyle w:val="Bullet1G"/>
      </w:pPr>
      <w:r>
        <w:rPr>
          <w:lang w:val="fr-FR"/>
        </w:rPr>
        <w:t>Les produits comprennent des produits liquides des classes</w:t>
      </w:r>
      <w:r w:rsidR="00172012">
        <w:rPr>
          <w:lang w:val="fr-FR"/>
        </w:rPr>
        <w:t> </w:t>
      </w:r>
      <w:r>
        <w:rPr>
          <w:lang w:val="fr-FR"/>
        </w:rPr>
        <w:t>3 et 9 ne réagissant pas les uns avec les autres. P</w:t>
      </w:r>
      <w:r w:rsidR="00172012">
        <w:rPr>
          <w:lang w:val="fr-FR"/>
        </w:rPr>
        <w:t>ar exemple :</w:t>
      </w:r>
      <w:r>
        <w:rPr>
          <w:lang w:val="fr-FR"/>
        </w:rPr>
        <w:t xml:space="preserve"> hydrocarbures, distillats de pétrole, biocarburants, mazout, gazole, essence</w:t>
      </w:r>
      <w:r w:rsidR="00172012">
        <w:rPr>
          <w:lang w:val="fr-FR"/>
        </w:rPr>
        <w:t> ;</w:t>
      </w:r>
    </w:p>
    <w:p w:rsidR="00815928" w:rsidRPr="00542C89" w:rsidRDefault="00815928" w:rsidP="00172012">
      <w:pPr>
        <w:pStyle w:val="Bullet1G"/>
      </w:pPr>
      <w:r>
        <w:rPr>
          <w:lang w:val="fr-FR"/>
        </w:rPr>
        <w:t>L</w:t>
      </w:r>
      <w:r w:rsidR="000820DD">
        <w:rPr>
          <w:lang w:val="fr-FR"/>
        </w:rPr>
        <w:t>’</w:t>
      </w:r>
      <w:r>
        <w:rPr>
          <w:lang w:val="fr-FR"/>
        </w:rPr>
        <w:t>opération de mélange ne doit pas créer de réaction chimique.</w:t>
      </w:r>
    </w:p>
    <w:p w:rsidR="00815928" w:rsidRDefault="00172012" w:rsidP="00172012">
      <w:pPr>
        <w:pStyle w:val="HChG"/>
      </w:pPr>
      <w:r>
        <w:rPr>
          <w:lang w:val="fr-FR"/>
        </w:rPr>
        <w:tab/>
        <w:t>III.</w:t>
      </w:r>
      <w:r>
        <w:rPr>
          <w:lang w:val="fr-FR"/>
        </w:rPr>
        <w:tab/>
      </w:r>
      <w:r w:rsidR="00815928">
        <w:rPr>
          <w:lang w:val="fr-FR"/>
        </w:rPr>
        <w:t>Exemples d</w:t>
      </w:r>
      <w:r w:rsidR="000820DD">
        <w:rPr>
          <w:lang w:val="fr-FR"/>
        </w:rPr>
        <w:t>’</w:t>
      </w:r>
      <w:r w:rsidR="00815928">
        <w:rPr>
          <w:lang w:val="fr-FR"/>
        </w:rPr>
        <w:t>opérations de mélange</w:t>
      </w:r>
    </w:p>
    <w:p w:rsidR="00815928" w:rsidRDefault="00815928" w:rsidP="00172012">
      <w:pPr>
        <w:pStyle w:val="SingleTxtG"/>
      </w:pPr>
      <w:r>
        <w:rPr>
          <w:lang w:val="fr-FR"/>
        </w:rPr>
        <w:t>8.</w:t>
      </w:r>
      <w:r>
        <w:rPr>
          <w:lang w:val="fr-FR"/>
        </w:rPr>
        <w:tab/>
        <w:t xml:space="preserve">Les exemples, représentant des opérations quotidiennes de mélange à bord des barges (avec des </w:t>
      </w:r>
      <w:r w:rsidR="00172012">
        <w:rPr>
          <w:lang w:val="fr-FR"/>
        </w:rPr>
        <w:t>variantes) sont les suivants :</w:t>
      </w:r>
    </w:p>
    <w:p w:rsidR="00815928" w:rsidRPr="00172012" w:rsidRDefault="00815928" w:rsidP="00B60DCE">
      <w:pPr>
        <w:pStyle w:val="SingleTxtG"/>
        <w:ind w:left="1701"/>
        <w:rPr>
          <w:b/>
          <w:i/>
        </w:rPr>
      </w:pPr>
      <w:r w:rsidRPr="00172012">
        <w:rPr>
          <w:b/>
          <w:i/>
          <w:lang w:val="fr-FR"/>
        </w:rPr>
        <w:t>a)</w:t>
      </w:r>
      <w:r w:rsidRPr="00172012">
        <w:rPr>
          <w:b/>
          <w:i/>
          <w:lang w:val="fr-FR"/>
        </w:rPr>
        <w:tab/>
        <w:t>Essence et éthanol</w:t>
      </w:r>
    </w:p>
    <w:p w:rsidR="00815928" w:rsidRDefault="00172012" w:rsidP="00172012">
      <w:pPr>
        <w:pStyle w:val="SingleTxtG"/>
        <w:ind w:left="1701"/>
      </w:pPr>
      <w:r>
        <w:rPr>
          <w:lang w:val="fr-FR"/>
        </w:rPr>
        <w:t>i)</w:t>
      </w:r>
      <w:r>
        <w:rPr>
          <w:lang w:val="fr-FR"/>
        </w:rPr>
        <w:tab/>
        <w:t xml:space="preserve">Une barge de type ADN </w:t>
      </w:r>
      <w:r w:rsidR="00815928">
        <w:rPr>
          <w:lang w:val="fr-FR"/>
        </w:rPr>
        <w:t>C 2 2 charge 1</w:t>
      </w:r>
      <w:r>
        <w:rPr>
          <w:lang w:val="fr-FR"/>
        </w:rPr>
        <w:t> 200 </w:t>
      </w:r>
      <w:r w:rsidR="00815928">
        <w:rPr>
          <w:lang w:val="fr-FR"/>
        </w:rPr>
        <w:t>m</w:t>
      </w:r>
      <w:r w:rsidR="00815928" w:rsidRPr="00916C36">
        <w:rPr>
          <w:vertAlign w:val="superscript"/>
          <w:lang w:val="fr-FR"/>
        </w:rPr>
        <w:t>3</w:t>
      </w:r>
      <w:r w:rsidR="00815928">
        <w:rPr>
          <w:lang w:val="fr-FR"/>
        </w:rPr>
        <w:t xml:space="preserve"> d</w:t>
      </w:r>
      <w:r w:rsidR="000820DD">
        <w:rPr>
          <w:lang w:val="fr-FR"/>
        </w:rPr>
        <w:t>’</w:t>
      </w:r>
      <w:r w:rsidR="00815928">
        <w:rPr>
          <w:lang w:val="fr-FR"/>
        </w:rPr>
        <w:t>essence, N</w:t>
      </w:r>
      <w:r w:rsidRPr="00172012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815928">
        <w:rPr>
          <w:lang w:val="fr-FR"/>
        </w:rPr>
        <w:t xml:space="preserve">ONU 1203, ESSENCE, 3, GE II, N2, CMR, F dans </w:t>
      </w:r>
      <w:r>
        <w:rPr>
          <w:lang w:val="fr-FR"/>
        </w:rPr>
        <w:t>5 </w:t>
      </w:r>
      <w:r w:rsidR="00815928">
        <w:rPr>
          <w:lang w:val="fr-FR"/>
        </w:rPr>
        <w:t xml:space="preserve">citernes (1, 2, 3, 4 et 5). </w:t>
      </w:r>
      <w:r>
        <w:rPr>
          <w:lang w:val="fr-FR"/>
        </w:rPr>
        <w:t>Les citernes sont remplies à 80 </w:t>
      </w:r>
      <w:r w:rsidR="00815928">
        <w:rPr>
          <w:lang w:val="fr-FR"/>
        </w:rPr>
        <w:t>%.</w:t>
      </w:r>
    </w:p>
    <w:p w:rsidR="00815928" w:rsidRDefault="00815928" w:rsidP="00172012">
      <w:pPr>
        <w:pStyle w:val="SingleTxtG"/>
        <w:ind w:left="1701"/>
      </w:pPr>
      <w:r>
        <w:t>Immédiatement après, l</w:t>
      </w:r>
      <w:r>
        <w:rPr>
          <w:lang w:val="fr-FR"/>
        </w:rPr>
        <w:t>a barge charge, sur la même jetée, avec le même collecteur et le même système de raccordement à terre, 200</w:t>
      </w:r>
      <w:r w:rsidR="00172012">
        <w:rPr>
          <w:lang w:val="fr-FR"/>
        </w:rPr>
        <w:t> </w:t>
      </w:r>
      <w:r>
        <w:rPr>
          <w:lang w:val="fr-FR"/>
        </w:rPr>
        <w:t>m</w:t>
      </w:r>
      <w:r w:rsidRPr="0092611C">
        <w:rPr>
          <w:vertAlign w:val="superscript"/>
          <w:lang w:val="fr-FR"/>
        </w:rPr>
        <w:t>3</w:t>
      </w:r>
      <w:r w:rsidR="00172012">
        <w:rPr>
          <w:lang w:val="fr-FR"/>
        </w:rPr>
        <w:t xml:space="preserve"> d</w:t>
      </w:r>
      <w:r w:rsidR="000820DD">
        <w:rPr>
          <w:lang w:val="fr-FR"/>
        </w:rPr>
        <w:t>’</w:t>
      </w:r>
      <w:r w:rsidR="00172012">
        <w:rPr>
          <w:lang w:val="fr-FR"/>
        </w:rPr>
        <w:t>éthanol, N</w:t>
      </w:r>
      <w:r w:rsidR="00172012" w:rsidRPr="00172012">
        <w:rPr>
          <w:vertAlign w:val="superscript"/>
          <w:lang w:val="fr-FR"/>
        </w:rPr>
        <w:t>o</w:t>
      </w:r>
      <w:r w:rsidR="00172012">
        <w:rPr>
          <w:lang w:val="fr-FR"/>
        </w:rPr>
        <w:t> </w:t>
      </w:r>
      <w:r>
        <w:rPr>
          <w:lang w:val="fr-FR"/>
        </w:rPr>
        <w:t xml:space="preserve">ONU 1170, ÉTHANOL, 3, GE II </w:t>
      </w:r>
      <w:r w:rsidR="00172012">
        <w:rPr>
          <w:lang w:val="fr-FR"/>
        </w:rPr>
        <w:t>« </w:t>
      </w:r>
      <w:r>
        <w:rPr>
          <w:lang w:val="fr-FR"/>
        </w:rPr>
        <w:t>ajoutés à l</w:t>
      </w:r>
      <w:r w:rsidR="000820DD">
        <w:rPr>
          <w:lang w:val="fr-FR"/>
        </w:rPr>
        <w:t>’</w:t>
      </w:r>
      <w:r>
        <w:rPr>
          <w:lang w:val="fr-FR"/>
        </w:rPr>
        <w:t>essence</w:t>
      </w:r>
      <w:r w:rsidR="00172012">
        <w:rPr>
          <w:lang w:val="fr-FR"/>
        </w:rPr>
        <w:t> »</w:t>
      </w:r>
      <w:r>
        <w:rPr>
          <w:lang w:val="fr-FR"/>
        </w:rPr>
        <w:t xml:space="preserve"> dans l</w:t>
      </w:r>
      <w:r w:rsidR="00172012">
        <w:rPr>
          <w:lang w:val="fr-FR"/>
        </w:rPr>
        <w:t>es mêmes citernes </w:t>
      </w:r>
      <w:r>
        <w:rPr>
          <w:lang w:val="fr-FR"/>
        </w:rPr>
        <w:t>1, 2, 3, 4 et 5.</w:t>
      </w:r>
    </w:p>
    <w:p w:rsidR="00815928" w:rsidRDefault="00B60DCE" w:rsidP="00172012">
      <w:pPr>
        <w:pStyle w:val="SingleTxtG"/>
        <w:ind w:left="1701"/>
      </w:pPr>
      <w:r>
        <w:rPr>
          <w:lang w:val="fr-FR"/>
        </w:rPr>
        <w:t xml:space="preserve">Les deux produits sont </w:t>
      </w:r>
      <w:r w:rsidR="00815928">
        <w:rPr>
          <w:lang w:val="fr-FR"/>
        </w:rPr>
        <w:t>sur la liste des produits de la barge. L</w:t>
      </w:r>
      <w:r w:rsidR="000820DD">
        <w:rPr>
          <w:lang w:val="fr-FR"/>
        </w:rPr>
        <w:t>’</w:t>
      </w:r>
      <w:r w:rsidR="00815928">
        <w:rPr>
          <w:lang w:val="fr-FR"/>
        </w:rPr>
        <w:t>éthanol est un (bio-) composé fréquemment utilisé de l</w:t>
      </w:r>
      <w:r w:rsidR="000820DD">
        <w:rPr>
          <w:lang w:val="fr-FR"/>
        </w:rPr>
        <w:t>’</w:t>
      </w:r>
      <w:r w:rsidR="00815928">
        <w:rPr>
          <w:lang w:val="fr-FR"/>
        </w:rPr>
        <w:t xml:space="preserve">essence, qui est elle-même un mélange. Toute réaction chimique éventuelle est exclue. La version finale de la classification est encore le </w:t>
      </w:r>
      <w:r w:rsidR="00172012">
        <w:rPr>
          <w:lang w:val="fr-FR"/>
        </w:rPr>
        <w:t>N</w:t>
      </w:r>
      <w:r w:rsidR="00172012" w:rsidRPr="00172012">
        <w:rPr>
          <w:vertAlign w:val="superscript"/>
          <w:lang w:val="fr-FR"/>
        </w:rPr>
        <w:t>o</w:t>
      </w:r>
      <w:r w:rsidR="00172012">
        <w:rPr>
          <w:lang w:val="fr-FR"/>
        </w:rPr>
        <w:t> </w:t>
      </w:r>
      <w:r w:rsidR="00815928">
        <w:rPr>
          <w:lang w:val="fr-FR"/>
        </w:rPr>
        <w:t xml:space="preserve">ONU 1203, ESSENCE, </w:t>
      </w:r>
      <w:r w:rsidR="00172012">
        <w:rPr>
          <w:lang w:val="fr-FR"/>
        </w:rPr>
        <w:t>3, GE II, N2, CMR, F jusqu</w:t>
      </w:r>
      <w:r w:rsidR="000820DD">
        <w:rPr>
          <w:lang w:val="fr-FR"/>
        </w:rPr>
        <w:t>’</w:t>
      </w:r>
      <w:r w:rsidR="00172012">
        <w:rPr>
          <w:lang w:val="fr-FR"/>
        </w:rPr>
        <w:t>à 10 </w:t>
      </w:r>
      <w:r w:rsidR="00815928">
        <w:rPr>
          <w:lang w:val="fr-FR"/>
        </w:rPr>
        <w:t>% en volume d</w:t>
      </w:r>
      <w:r w:rsidR="000820DD">
        <w:rPr>
          <w:lang w:val="fr-FR"/>
        </w:rPr>
        <w:t>’</w:t>
      </w:r>
      <w:r w:rsidR="00815928">
        <w:rPr>
          <w:lang w:val="fr-FR"/>
        </w:rPr>
        <w:t>éthanol.</w:t>
      </w:r>
    </w:p>
    <w:p w:rsidR="00815928" w:rsidRPr="00172012" w:rsidRDefault="00815928" w:rsidP="00172012">
      <w:pPr>
        <w:pStyle w:val="SingleTxtG"/>
        <w:ind w:left="1701"/>
        <w:rPr>
          <w:lang w:val="fr-FR"/>
        </w:rPr>
      </w:pPr>
      <w:r>
        <w:rPr>
          <w:lang w:val="fr-FR"/>
        </w:rPr>
        <w:t>ii)</w:t>
      </w:r>
      <w:r>
        <w:rPr>
          <w:lang w:val="fr-FR"/>
        </w:rPr>
        <w:tab/>
        <w:t>Au-</w:t>
      </w:r>
      <w:r w:rsidR="00172012">
        <w:rPr>
          <w:lang w:val="fr-FR"/>
        </w:rPr>
        <w:t>dessus de 10 </w:t>
      </w:r>
      <w:r>
        <w:rPr>
          <w:lang w:val="fr-FR"/>
        </w:rPr>
        <w:t>% d</w:t>
      </w:r>
      <w:r w:rsidR="000820DD">
        <w:rPr>
          <w:lang w:val="fr-FR"/>
        </w:rPr>
        <w:t>’</w:t>
      </w:r>
      <w:r>
        <w:rPr>
          <w:lang w:val="fr-FR"/>
        </w:rPr>
        <w:t>éthanol, la classification change comme suit</w:t>
      </w:r>
      <w:r w:rsidR="00172012">
        <w:rPr>
          <w:lang w:val="fr-FR"/>
        </w:rPr>
        <w:t> :</w:t>
      </w:r>
      <w:r>
        <w:rPr>
          <w:lang w:val="fr-FR"/>
        </w:rPr>
        <w:t xml:space="preserve"> </w:t>
      </w:r>
      <w:r w:rsidR="00172012">
        <w:rPr>
          <w:lang w:val="fr-FR"/>
        </w:rPr>
        <w:t>N</w:t>
      </w:r>
      <w:r w:rsidR="00172012" w:rsidRPr="00172012">
        <w:rPr>
          <w:vertAlign w:val="superscript"/>
          <w:lang w:val="fr-FR"/>
        </w:rPr>
        <w:t>o</w:t>
      </w:r>
      <w:r w:rsidR="00172012">
        <w:rPr>
          <w:lang w:val="fr-FR"/>
        </w:rPr>
        <w:t> ONU </w:t>
      </w:r>
      <w:r>
        <w:rPr>
          <w:lang w:val="fr-FR"/>
        </w:rPr>
        <w:t>3475, ÉTHANOL ET ESSENCE EN MÉLANGE, 3, N2, CMR, F.</w:t>
      </w:r>
      <w:r w:rsidR="00B60DCE">
        <w:rPr>
          <w:lang w:val="fr-FR"/>
        </w:rPr>
        <w:t xml:space="preserve"> La </w:t>
      </w:r>
      <w:r>
        <w:rPr>
          <w:lang w:val="fr-FR"/>
        </w:rPr>
        <w:t>même procédure est applicable.</w:t>
      </w:r>
    </w:p>
    <w:p w:rsidR="00815928" w:rsidRPr="00B60DCE" w:rsidRDefault="00815928" w:rsidP="00B60DCE">
      <w:pPr>
        <w:pStyle w:val="SingleTxtG"/>
        <w:ind w:left="1701"/>
        <w:rPr>
          <w:b/>
          <w:i/>
          <w:lang w:val="fr-FR"/>
        </w:rPr>
      </w:pPr>
      <w:r w:rsidRPr="00B60DCE">
        <w:rPr>
          <w:b/>
          <w:i/>
          <w:lang w:val="fr-FR"/>
        </w:rPr>
        <w:t>b)</w:t>
      </w:r>
      <w:r w:rsidRPr="00B60DCE">
        <w:rPr>
          <w:b/>
          <w:i/>
          <w:lang w:val="fr-FR"/>
        </w:rPr>
        <w:tab/>
        <w:t>Gazole et esters méthyliques d</w:t>
      </w:r>
      <w:r w:rsidR="000820DD">
        <w:rPr>
          <w:b/>
          <w:i/>
          <w:lang w:val="fr-FR"/>
        </w:rPr>
        <w:t>’</w:t>
      </w:r>
      <w:r w:rsidRPr="00B60DCE">
        <w:rPr>
          <w:b/>
          <w:i/>
          <w:lang w:val="fr-FR"/>
        </w:rPr>
        <w:t>acides gras (EMAG)</w:t>
      </w:r>
    </w:p>
    <w:p w:rsidR="00815928" w:rsidRDefault="00B60DCE" w:rsidP="00B60DCE">
      <w:pPr>
        <w:pStyle w:val="SingleTxtG"/>
        <w:ind w:left="1701"/>
      </w:pPr>
      <w:r>
        <w:rPr>
          <w:lang w:val="fr-FR"/>
        </w:rPr>
        <w:t>i)</w:t>
      </w:r>
      <w:r>
        <w:rPr>
          <w:lang w:val="fr-FR"/>
        </w:rPr>
        <w:tab/>
        <w:t>Une barge de type ADN N </w:t>
      </w:r>
      <w:r w:rsidR="00815928">
        <w:rPr>
          <w:lang w:val="fr-FR"/>
        </w:rPr>
        <w:t>2 3 charge 1</w:t>
      </w:r>
      <w:r>
        <w:rPr>
          <w:lang w:val="fr-FR"/>
        </w:rPr>
        <w:t> 000 </w:t>
      </w:r>
      <w:r w:rsidR="00815928">
        <w:rPr>
          <w:lang w:val="fr-FR"/>
        </w:rPr>
        <w:t>m</w:t>
      </w:r>
      <w:r w:rsidR="00815928" w:rsidRPr="0052186E">
        <w:rPr>
          <w:vertAlign w:val="superscript"/>
          <w:lang w:val="fr-FR"/>
        </w:rPr>
        <w:t>3</w:t>
      </w:r>
      <w:r w:rsidR="00815928">
        <w:rPr>
          <w:lang w:val="fr-FR"/>
        </w:rPr>
        <w:t xml:space="preserve"> de gazole, N</w:t>
      </w:r>
      <w:r w:rsidRPr="00B60DC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815928">
        <w:rPr>
          <w:lang w:val="fr-FR"/>
        </w:rPr>
        <w:t xml:space="preserve">ONU 1202, GAZOLE, GE III, N2, CMR, F </w:t>
      </w:r>
      <w:r>
        <w:rPr>
          <w:lang w:val="fr-FR"/>
        </w:rPr>
        <w:t>dans les citernes </w:t>
      </w:r>
      <w:r w:rsidR="00815928">
        <w:rPr>
          <w:lang w:val="fr-FR"/>
        </w:rPr>
        <w:t>1, 2, 3 et 4 au point de remplissage</w:t>
      </w:r>
      <w:r>
        <w:rPr>
          <w:lang w:val="fr-FR"/>
        </w:rPr>
        <w:t> A, jetée n</w:t>
      </w:r>
      <w:r w:rsidRPr="00B60DC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815928">
        <w:rPr>
          <w:lang w:val="fr-FR"/>
        </w:rPr>
        <w:t>1. L</w:t>
      </w:r>
      <w:r>
        <w:rPr>
          <w:lang w:val="fr-FR"/>
        </w:rPr>
        <w:t>es citernes sont remplies à 70 </w:t>
      </w:r>
      <w:r w:rsidR="00815928">
        <w:rPr>
          <w:lang w:val="fr-FR"/>
        </w:rPr>
        <w:t>%.</w:t>
      </w:r>
    </w:p>
    <w:p w:rsidR="00815928" w:rsidRDefault="00815928" w:rsidP="00B60DCE">
      <w:pPr>
        <w:pStyle w:val="SingleTxtG"/>
        <w:ind w:left="1701"/>
      </w:pPr>
      <w:r>
        <w:rPr>
          <w:lang w:val="fr-FR"/>
        </w:rPr>
        <w:t xml:space="preserve">Ensuite, la barge doit se rendre à la jetée </w:t>
      </w:r>
      <w:r w:rsidR="00B60DCE">
        <w:rPr>
          <w:lang w:val="fr-FR"/>
        </w:rPr>
        <w:t>n</w:t>
      </w:r>
      <w:r w:rsidR="00B60DCE" w:rsidRPr="00B60DCE">
        <w:rPr>
          <w:vertAlign w:val="superscript"/>
          <w:lang w:val="fr-FR"/>
        </w:rPr>
        <w:t>o</w:t>
      </w:r>
      <w:r w:rsidR="00B60DCE">
        <w:rPr>
          <w:lang w:val="fr-FR"/>
        </w:rPr>
        <w:t> </w:t>
      </w:r>
      <w:r>
        <w:rPr>
          <w:lang w:val="fr-FR"/>
        </w:rPr>
        <w:t xml:space="preserve">2 du même point de remplissage </w:t>
      </w:r>
      <w:r w:rsidR="000820DD">
        <w:rPr>
          <w:lang w:val="fr-FR"/>
        </w:rPr>
        <w:t xml:space="preserve">pour </w:t>
      </w:r>
      <w:r>
        <w:rPr>
          <w:lang w:val="fr-FR"/>
        </w:rPr>
        <w:t>charger, en sus du gazole, une part d</w:t>
      </w:r>
      <w:r w:rsidR="000820DD">
        <w:rPr>
          <w:lang w:val="fr-FR"/>
        </w:rPr>
        <w:t>’</w:t>
      </w:r>
      <w:r w:rsidR="00B60DCE">
        <w:rPr>
          <w:lang w:val="fr-FR"/>
        </w:rPr>
        <w:t>« </w:t>
      </w:r>
      <w:r>
        <w:rPr>
          <w:lang w:val="fr-FR"/>
        </w:rPr>
        <w:t>EMAG</w:t>
      </w:r>
      <w:r w:rsidR="00B60DCE">
        <w:rPr>
          <w:lang w:val="fr-FR"/>
        </w:rPr>
        <w:t> »</w:t>
      </w:r>
      <w:r>
        <w:rPr>
          <w:lang w:val="fr-FR"/>
        </w:rPr>
        <w:t>. Les esters méthyliques d</w:t>
      </w:r>
      <w:r w:rsidR="000820DD">
        <w:rPr>
          <w:lang w:val="fr-FR"/>
        </w:rPr>
        <w:t>’</w:t>
      </w:r>
      <w:r>
        <w:rPr>
          <w:lang w:val="fr-FR"/>
        </w:rPr>
        <w:t xml:space="preserve">acides gras sont des marchandises non dangereuses, souvent ajoutés comme </w:t>
      </w:r>
      <w:r w:rsidR="00B60DCE">
        <w:rPr>
          <w:lang w:val="fr-FR"/>
        </w:rPr>
        <w:t>« </w:t>
      </w:r>
      <w:r>
        <w:rPr>
          <w:lang w:val="fr-FR"/>
        </w:rPr>
        <w:t>biocomposant</w:t>
      </w:r>
      <w:r w:rsidR="00B60DCE">
        <w:rPr>
          <w:lang w:val="fr-FR"/>
        </w:rPr>
        <w:t> »</w:t>
      </w:r>
      <w:r>
        <w:rPr>
          <w:lang w:val="fr-FR"/>
        </w:rPr>
        <w:t>.</w:t>
      </w:r>
    </w:p>
    <w:p w:rsidR="00815928" w:rsidRDefault="00815928" w:rsidP="00B60DCE">
      <w:pPr>
        <w:pStyle w:val="SingleTxtG"/>
        <w:ind w:left="1701"/>
      </w:pPr>
      <w:r>
        <w:rPr>
          <w:lang w:val="fr-FR"/>
        </w:rPr>
        <w:t>Dans les spécifications techniques, les esters méthyliques d</w:t>
      </w:r>
      <w:r w:rsidR="000820DD">
        <w:rPr>
          <w:lang w:val="fr-FR"/>
        </w:rPr>
        <w:t>’</w:t>
      </w:r>
      <w:r>
        <w:rPr>
          <w:lang w:val="fr-FR"/>
        </w:rPr>
        <w:t>acides gras sont autorisés dans la composition du gazole, de sorte que la classification ne change pas.</w:t>
      </w:r>
    </w:p>
    <w:p w:rsidR="00815928" w:rsidRDefault="00815928" w:rsidP="00B60DCE">
      <w:pPr>
        <w:pStyle w:val="SingleTxtG"/>
        <w:ind w:left="1701"/>
      </w:pPr>
      <w:r>
        <w:rPr>
          <w:lang w:val="fr-FR"/>
        </w:rPr>
        <w:t>ii)</w:t>
      </w:r>
      <w:r>
        <w:rPr>
          <w:lang w:val="fr-FR"/>
        </w:rPr>
        <w:tab/>
        <w:t>Voir</w:t>
      </w:r>
      <w:r w:rsidR="00B60DCE">
        <w:rPr>
          <w:lang w:val="fr-FR"/>
        </w:rPr>
        <w:t> </w:t>
      </w:r>
      <w:r>
        <w:rPr>
          <w:lang w:val="fr-FR"/>
        </w:rPr>
        <w:t>i), mais un deuxième chargement, en sus du premier chargement, est effectué à un autre point de remplissage. La procédure est la même.</w:t>
      </w:r>
    </w:p>
    <w:p w:rsidR="00815928" w:rsidRDefault="00B60DCE" w:rsidP="00B60DCE">
      <w:pPr>
        <w:pStyle w:val="HChG"/>
      </w:pPr>
      <w:r>
        <w:rPr>
          <w:lang w:val="fr-FR"/>
        </w:rPr>
        <w:tab/>
      </w:r>
      <w:r w:rsidR="00815928">
        <w:rPr>
          <w:lang w:val="fr-FR"/>
        </w:rPr>
        <w:t>IV.</w:t>
      </w:r>
      <w:r w:rsidR="00815928">
        <w:rPr>
          <w:lang w:val="fr-FR"/>
        </w:rPr>
        <w:tab/>
        <w:t>Responsabilité</w:t>
      </w:r>
    </w:p>
    <w:p w:rsidR="00815928" w:rsidRPr="004F3781" w:rsidRDefault="00815928" w:rsidP="00B60DCE">
      <w:pPr>
        <w:pStyle w:val="SingleTxtG"/>
      </w:pPr>
      <w:r>
        <w:rPr>
          <w:lang w:val="fr-FR"/>
        </w:rPr>
        <w:t>9.</w:t>
      </w:r>
      <w:r>
        <w:rPr>
          <w:lang w:val="fr-FR"/>
        </w:rPr>
        <w:tab/>
        <w:t>Il est de la responsabilité de l</w:t>
      </w:r>
      <w:r w:rsidR="000820DD">
        <w:rPr>
          <w:lang w:val="fr-FR"/>
        </w:rPr>
        <w:t>’</w:t>
      </w:r>
      <w:r>
        <w:rPr>
          <w:lang w:val="fr-FR"/>
        </w:rPr>
        <w:t>expéditeur de fournir des données exactes du plan de mélange et une classification correcte,</w:t>
      </w:r>
      <w:r w:rsidR="00B60DCE">
        <w:rPr>
          <w:lang w:val="fr-FR"/>
        </w:rPr>
        <w:t xml:space="preserve"> conformément au paragraphe </w:t>
      </w:r>
      <w:r>
        <w:rPr>
          <w:lang w:val="fr-FR"/>
        </w:rPr>
        <w:t>1.4.2.1. de l</w:t>
      </w:r>
      <w:r w:rsidR="000820DD">
        <w:rPr>
          <w:lang w:val="fr-FR"/>
        </w:rPr>
        <w:t>’</w:t>
      </w:r>
      <w:r>
        <w:rPr>
          <w:lang w:val="fr-FR"/>
        </w:rPr>
        <w:t>ADN, au(x) remplisseur(s) et au transporteur. Il est de la responsabilité conjointe du remplisseur et du transporteur de renseigner la liste de contrôle ADN conformément aux paragraphes</w:t>
      </w:r>
      <w:r w:rsidR="00B60DCE">
        <w:rPr>
          <w:lang w:val="fr-FR"/>
        </w:rPr>
        <w:t> </w:t>
      </w:r>
      <w:r>
        <w:rPr>
          <w:lang w:val="fr-FR"/>
        </w:rPr>
        <w:t>7.2.4.10 et 8.6.3 de l</w:t>
      </w:r>
      <w:r w:rsidR="000820DD">
        <w:rPr>
          <w:lang w:val="fr-FR"/>
        </w:rPr>
        <w:t>’</w:t>
      </w:r>
      <w:r>
        <w:rPr>
          <w:lang w:val="fr-FR"/>
        </w:rPr>
        <w:t>ADN concernant la procédure de chargement, et d</w:t>
      </w:r>
      <w:r w:rsidR="000820DD">
        <w:rPr>
          <w:lang w:val="fr-FR"/>
        </w:rPr>
        <w:t>’</w:t>
      </w:r>
      <w:r>
        <w:rPr>
          <w:lang w:val="fr-FR"/>
        </w:rPr>
        <w:t>informer l</w:t>
      </w:r>
      <w:r w:rsidR="000820DD">
        <w:rPr>
          <w:lang w:val="fr-FR"/>
        </w:rPr>
        <w:t>’</w:t>
      </w:r>
      <w:r>
        <w:rPr>
          <w:lang w:val="fr-FR"/>
        </w:rPr>
        <w:t>équipage de manière optimale. Le transporteur et le remplisseur ont des responsabilités conformément aux</w:t>
      </w:r>
      <w:r w:rsidR="00B60DCE">
        <w:rPr>
          <w:lang w:val="fr-FR"/>
        </w:rPr>
        <w:t xml:space="preserve"> paragraphes </w:t>
      </w:r>
      <w:r>
        <w:rPr>
          <w:lang w:val="fr-FR"/>
        </w:rPr>
        <w:t>1.4.2.2 et 1.4.3.3 de l</w:t>
      </w:r>
      <w:r w:rsidR="000820DD">
        <w:rPr>
          <w:lang w:val="fr-FR"/>
        </w:rPr>
        <w:t>’</w:t>
      </w:r>
      <w:r>
        <w:rPr>
          <w:lang w:val="fr-FR"/>
        </w:rPr>
        <w:t>ADN respectivement.</w:t>
      </w:r>
    </w:p>
    <w:p w:rsidR="00815928" w:rsidRDefault="00B60DCE" w:rsidP="00B60DCE">
      <w:pPr>
        <w:pStyle w:val="HChG"/>
      </w:pPr>
      <w:r>
        <w:rPr>
          <w:lang w:val="fr-FR"/>
        </w:rPr>
        <w:lastRenderedPageBreak/>
        <w:tab/>
      </w:r>
      <w:r w:rsidR="00815928">
        <w:rPr>
          <w:lang w:val="fr-FR"/>
        </w:rPr>
        <w:t>V.</w:t>
      </w:r>
      <w:r w:rsidR="00815928">
        <w:rPr>
          <w:lang w:val="fr-FR"/>
        </w:rPr>
        <w:tab/>
        <w:t>Estimation des risques</w:t>
      </w:r>
    </w:p>
    <w:p w:rsidR="00815928" w:rsidRDefault="00815928" w:rsidP="00B60DCE">
      <w:pPr>
        <w:pStyle w:val="SingleTxtG"/>
      </w:pPr>
      <w:r>
        <w:rPr>
          <w:lang w:val="fr-FR"/>
        </w:rPr>
        <w:t>10.</w:t>
      </w:r>
      <w:r>
        <w:rPr>
          <w:lang w:val="fr-FR"/>
        </w:rPr>
        <w:tab/>
        <w:t xml:space="preserve">Pour assurer la sécurité de la manière la plus indépendante et constructive, il convient de considérer les résultats de cette proposition </w:t>
      </w:r>
      <w:r w:rsidR="00B60DCE">
        <w:rPr>
          <w:lang w:val="fr-FR"/>
        </w:rPr>
        <w:t>comme une procédure de « </w:t>
      </w:r>
      <w:r>
        <w:rPr>
          <w:lang w:val="fr-FR"/>
        </w:rPr>
        <w:t>gestion du changement</w:t>
      </w:r>
      <w:r w:rsidR="00B60DCE">
        <w:rPr>
          <w:lang w:val="fr-FR"/>
        </w:rPr>
        <w:t> »</w:t>
      </w:r>
      <w:r>
        <w:rPr>
          <w:lang w:val="fr-FR"/>
        </w:rPr>
        <w:t xml:space="preserve">. Cela signifie que les parties prenantes estiment les risques des opérations et comparent les résultats de la proposition avec la législation en vigueur, partant </w:t>
      </w:r>
      <w:r w:rsidR="00B60DCE">
        <w:rPr>
          <w:lang w:val="fr-FR"/>
        </w:rPr>
        <w:t>du point de vue et</w:t>
      </w:r>
      <w:r>
        <w:rPr>
          <w:lang w:val="fr-FR"/>
        </w:rPr>
        <w:t xml:space="preserve"> sachant que les opérations de mélange constituent une pratique quotidienne.</w:t>
      </w:r>
    </w:p>
    <w:p w:rsidR="00815928" w:rsidRPr="00ED773C" w:rsidRDefault="00815928" w:rsidP="00B60DCE">
      <w:pPr>
        <w:pStyle w:val="SingleTxtG"/>
      </w:pPr>
      <w:r>
        <w:rPr>
          <w:lang w:val="fr-FR"/>
        </w:rPr>
        <w:t>11.</w:t>
      </w:r>
      <w:r>
        <w:rPr>
          <w:lang w:val="fr-FR"/>
        </w:rPr>
        <w:tab/>
        <w:t>L</w:t>
      </w:r>
      <w:r w:rsidR="000820DD">
        <w:rPr>
          <w:lang w:val="fr-FR"/>
        </w:rPr>
        <w:t>’</w:t>
      </w:r>
      <w:r>
        <w:rPr>
          <w:lang w:val="fr-FR"/>
        </w:rPr>
        <w:t>évaluation des risques est décrite</w:t>
      </w:r>
      <w:r w:rsidR="006513B6">
        <w:rPr>
          <w:lang w:val="fr-FR"/>
        </w:rPr>
        <w:t xml:space="preserve"> dans le document informel INF.</w:t>
      </w:r>
      <w:r>
        <w:rPr>
          <w:lang w:val="fr-FR"/>
        </w:rPr>
        <w:t>6, tel qu</w:t>
      </w:r>
      <w:r w:rsidR="000820DD">
        <w:rPr>
          <w:lang w:val="fr-FR"/>
        </w:rPr>
        <w:t>’</w:t>
      </w:r>
      <w:r>
        <w:rPr>
          <w:lang w:val="fr-FR"/>
        </w:rPr>
        <w:t>approuvé par un responsable de la sécurité extérieur agréé. E</w:t>
      </w:r>
      <w:r w:rsidR="00B60DCE">
        <w:rPr>
          <w:lang w:val="fr-FR"/>
        </w:rPr>
        <w:t>lle démontre que la proposition</w:t>
      </w:r>
      <w:r>
        <w:rPr>
          <w:lang w:val="fr-FR"/>
        </w:rPr>
        <w:t xml:space="preserve"> permet de réduire les risques dans les opérations de mélange si elle est appliquée.</w:t>
      </w:r>
    </w:p>
    <w:p w:rsidR="00815928" w:rsidRDefault="00800918" w:rsidP="00B60DCE">
      <w:pPr>
        <w:pStyle w:val="SingleTxtG"/>
      </w:pPr>
      <w:r>
        <w:rPr>
          <w:lang w:val="fr-FR"/>
        </w:rPr>
        <w:t>12.</w:t>
      </w:r>
      <w:r>
        <w:rPr>
          <w:lang w:val="fr-FR"/>
        </w:rPr>
        <w:tab/>
      </w:r>
      <w:r w:rsidR="00815928">
        <w:rPr>
          <w:lang w:val="fr-FR"/>
        </w:rPr>
        <w:t>Sur la base d</w:t>
      </w:r>
      <w:r w:rsidR="000820DD">
        <w:rPr>
          <w:lang w:val="fr-FR"/>
        </w:rPr>
        <w:t>’</w:t>
      </w:r>
      <w:r w:rsidR="00815928">
        <w:rPr>
          <w:lang w:val="fr-FR"/>
        </w:rPr>
        <w:t>un champ d</w:t>
      </w:r>
      <w:r w:rsidR="000820DD">
        <w:rPr>
          <w:lang w:val="fr-FR"/>
        </w:rPr>
        <w:t>’</w:t>
      </w:r>
      <w:r w:rsidR="00815928">
        <w:rPr>
          <w:lang w:val="fr-FR"/>
        </w:rPr>
        <w:t>application clair définissant l</w:t>
      </w:r>
      <w:r w:rsidR="000820DD">
        <w:rPr>
          <w:lang w:val="fr-FR"/>
        </w:rPr>
        <w:t>’</w:t>
      </w:r>
      <w:r w:rsidR="00815928">
        <w:rPr>
          <w:lang w:val="fr-FR"/>
        </w:rPr>
        <w:t>opération de mélange à bord des bateaux-citernes de navigation intérieure, notamment des responsabilités claires pour les participants, la FETSA estime que l</w:t>
      </w:r>
      <w:r w:rsidR="000820DD">
        <w:rPr>
          <w:lang w:val="fr-FR"/>
        </w:rPr>
        <w:t>’</w:t>
      </w:r>
      <w:r w:rsidR="00815928">
        <w:rPr>
          <w:lang w:val="fr-FR"/>
        </w:rPr>
        <w:t>opération de mélange peut être incluse dans l</w:t>
      </w:r>
      <w:r w:rsidR="000820DD">
        <w:rPr>
          <w:lang w:val="fr-FR"/>
        </w:rPr>
        <w:t>’</w:t>
      </w:r>
      <w:r w:rsidR="00815928">
        <w:rPr>
          <w:lang w:val="fr-FR"/>
        </w:rPr>
        <w:t>ADN.</w:t>
      </w:r>
    </w:p>
    <w:p w:rsidR="00F9573C" w:rsidRDefault="00815928" w:rsidP="00B60DCE">
      <w:pPr>
        <w:pStyle w:val="SingleTxtG"/>
        <w:rPr>
          <w:lang w:val="fr-FR"/>
        </w:rPr>
      </w:pPr>
      <w:r>
        <w:rPr>
          <w:lang w:val="fr-FR"/>
        </w:rPr>
        <w:t>13.</w:t>
      </w:r>
      <w:r>
        <w:rPr>
          <w:lang w:val="fr-FR"/>
        </w:rPr>
        <w:tab/>
        <w:t>Par conséquent, elle prie le Comité de sécurité de l</w:t>
      </w:r>
      <w:r w:rsidR="000820DD">
        <w:rPr>
          <w:lang w:val="fr-FR"/>
        </w:rPr>
        <w:t>’</w:t>
      </w:r>
      <w:r>
        <w:rPr>
          <w:lang w:val="fr-FR"/>
        </w:rPr>
        <w:t>ADN d</w:t>
      </w:r>
      <w:r w:rsidR="000820DD">
        <w:rPr>
          <w:lang w:val="fr-FR"/>
        </w:rPr>
        <w:t>’</w:t>
      </w:r>
      <w:r>
        <w:rPr>
          <w:lang w:val="fr-FR"/>
        </w:rPr>
        <w:t>examiner plus en détail la proposition au sein d</w:t>
      </w:r>
      <w:r w:rsidR="000820DD">
        <w:rPr>
          <w:lang w:val="fr-FR"/>
        </w:rPr>
        <w:t>’</w:t>
      </w:r>
      <w:r>
        <w:rPr>
          <w:lang w:val="fr-FR"/>
        </w:rPr>
        <w:t>un groupe de travail constitué d</w:t>
      </w:r>
      <w:r w:rsidR="000820DD">
        <w:rPr>
          <w:lang w:val="fr-FR"/>
        </w:rPr>
        <w:t>’</w:t>
      </w:r>
      <w:r>
        <w:rPr>
          <w:lang w:val="fr-FR"/>
        </w:rPr>
        <w:t>experts de la question.</w:t>
      </w:r>
    </w:p>
    <w:p w:rsidR="000820DD" w:rsidRPr="000820DD" w:rsidRDefault="000820DD" w:rsidP="000820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20DD" w:rsidRPr="000820DD" w:rsidSect="004C4EA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AF" w:rsidRDefault="005820AF" w:rsidP="00F95C08">
      <w:pPr>
        <w:spacing w:line="240" w:lineRule="auto"/>
      </w:pPr>
    </w:p>
  </w:endnote>
  <w:endnote w:type="continuationSeparator" w:id="0">
    <w:p w:rsidR="005820AF" w:rsidRPr="00AC3823" w:rsidRDefault="005820AF" w:rsidP="00AC3823">
      <w:pPr>
        <w:pStyle w:val="Footer"/>
      </w:pPr>
    </w:p>
  </w:endnote>
  <w:endnote w:type="continuationNotice" w:id="1">
    <w:p w:rsidR="005820AF" w:rsidRDefault="005820A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A4" w:rsidRPr="004C4EA4" w:rsidRDefault="004C4EA4" w:rsidP="004C4EA4">
    <w:pPr>
      <w:pStyle w:val="Footer"/>
      <w:tabs>
        <w:tab w:val="right" w:pos="9638"/>
      </w:tabs>
    </w:pPr>
    <w:r w:rsidRPr="004C4EA4">
      <w:rPr>
        <w:b/>
        <w:sz w:val="18"/>
      </w:rPr>
      <w:fldChar w:fldCharType="begin"/>
    </w:r>
    <w:r w:rsidRPr="004C4EA4">
      <w:rPr>
        <w:b/>
        <w:sz w:val="18"/>
      </w:rPr>
      <w:instrText xml:space="preserve"> PAGE  \* MERGEFORMAT </w:instrText>
    </w:r>
    <w:r w:rsidRPr="004C4EA4">
      <w:rPr>
        <w:b/>
        <w:sz w:val="18"/>
      </w:rPr>
      <w:fldChar w:fldCharType="separate"/>
    </w:r>
    <w:r w:rsidR="00361CF0">
      <w:rPr>
        <w:b/>
        <w:noProof/>
        <w:sz w:val="18"/>
      </w:rPr>
      <w:t>2</w:t>
    </w:r>
    <w:r w:rsidRPr="004C4EA4">
      <w:rPr>
        <w:b/>
        <w:sz w:val="18"/>
      </w:rPr>
      <w:fldChar w:fldCharType="end"/>
    </w:r>
    <w:r>
      <w:rPr>
        <w:b/>
        <w:sz w:val="18"/>
      </w:rPr>
      <w:tab/>
    </w:r>
    <w:r>
      <w:t>GE.17-09459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A4" w:rsidRPr="004C4EA4" w:rsidRDefault="004C4EA4" w:rsidP="004C4EA4">
    <w:pPr>
      <w:pStyle w:val="Footer"/>
      <w:tabs>
        <w:tab w:val="right" w:pos="9638"/>
      </w:tabs>
      <w:rPr>
        <w:b/>
        <w:sz w:val="18"/>
      </w:rPr>
    </w:pPr>
    <w:r>
      <w:t>GE.17-09459</w:t>
    </w:r>
    <w:r>
      <w:tab/>
    </w:r>
    <w:r w:rsidRPr="004C4EA4">
      <w:rPr>
        <w:b/>
        <w:sz w:val="18"/>
      </w:rPr>
      <w:fldChar w:fldCharType="begin"/>
    </w:r>
    <w:r w:rsidRPr="004C4EA4">
      <w:rPr>
        <w:b/>
        <w:sz w:val="18"/>
      </w:rPr>
      <w:instrText xml:space="preserve"> PAGE  \* MERGEFORMAT </w:instrText>
    </w:r>
    <w:r w:rsidRPr="004C4EA4">
      <w:rPr>
        <w:b/>
        <w:sz w:val="18"/>
      </w:rPr>
      <w:fldChar w:fldCharType="separate"/>
    </w:r>
    <w:r w:rsidR="00361CF0">
      <w:rPr>
        <w:b/>
        <w:noProof/>
        <w:sz w:val="18"/>
      </w:rPr>
      <w:t>3</w:t>
    </w:r>
    <w:r w:rsidRPr="004C4EA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4C4EA4" w:rsidRDefault="004C4EA4" w:rsidP="004C4EA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17-09459  (F)</w:t>
    </w:r>
    <w:r w:rsidR="00025AFD">
      <w:rPr>
        <w:sz w:val="20"/>
      </w:rPr>
      <w:t xml:space="preserve">    030717    040717</w:t>
    </w:r>
    <w:r>
      <w:rPr>
        <w:sz w:val="20"/>
      </w:rPr>
      <w:br/>
    </w:r>
    <w:r w:rsidRPr="004C4EA4">
      <w:rPr>
        <w:rFonts w:ascii="C39T30Lfz" w:hAnsi="C39T30Lfz"/>
        <w:sz w:val="56"/>
      </w:rPr>
      <w:t></w:t>
    </w:r>
    <w:r w:rsidRPr="004C4EA4">
      <w:rPr>
        <w:rFonts w:ascii="C39T30Lfz" w:hAnsi="C39T30Lfz"/>
        <w:sz w:val="56"/>
      </w:rPr>
      <w:t></w:t>
    </w:r>
    <w:r w:rsidRPr="004C4EA4">
      <w:rPr>
        <w:rFonts w:ascii="C39T30Lfz" w:hAnsi="C39T30Lfz"/>
        <w:sz w:val="56"/>
      </w:rPr>
      <w:t></w:t>
    </w:r>
    <w:r w:rsidRPr="004C4EA4">
      <w:rPr>
        <w:rFonts w:ascii="C39T30Lfz" w:hAnsi="C39T30Lfz"/>
        <w:sz w:val="56"/>
      </w:rPr>
      <w:t></w:t>
    </w:r>
    <w:r w:rsidRPr="004C4EA4">
      <w:rPr>
        <w:rFonts w:ascii="C39T30Lfz" w:hAnsi="C39T30Lfz"/>
        <w:sz w:val="56"/>
      </w:rPr>
      <w:t></w:t>
    </w:r>
    <w:r w:rsidRPr="004C4EA4">
      <w:rPr>
        <w:rFonts w:ascii="C39T30Lfz" w:hAnsi="C39T30Lfz"/>
        <w:sz w:val="56"/>
      </w:rPr>
      <w:t></w:t>
    </w:r>
    <w:r w:rsidRPr="004C4EA4">
      <w:rPr>
        <w:rFonts w:ascii="C39T30Lfz" w:hAnsi="C39T30Lfz"/>
        <w:sz w:val="56"/>
      </w:rPr>
      <w:t></w:t>
    </w:r>
    <w:r w:rsidRPr="004C4EA4">
      <w:rPr>
        <w:rFonts w:ascii="C39T30Lfz" w:hAnsi="C39T30Lfz"/>
        <w:sz w:val="56"/>
      </w:rPr>
      <w:t></w:t>
    </w:r>
    <w:r w:rsidRPr="004C4EA4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7/4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7/4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AF" w:rsidRPr="00AC3823" w:rsidRDefault="005820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20AF" w:rsidRPr="00AC3823" w:rsidRDefault="005820A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820AF" w:rsidRPr="00AC3823" w:rsidRDefault="005820AF">
      <w:pPr>
        <w:spacing w:line="240" w:lineRule="auto"/>
        <w:rPr>
          <w:sz w:val="2"/>
          <w:szCs w:val="2"/>
        </w:rPr>
      </w:pPr>
    </w:p>
  </w:footnote>
  <w:footnote w:id="2">
    <w:p w:rsidR="00815928" w:rsidRPr="00815928" w:rsidRDefault="00815928">
      <w:pPr>
        <w:pStyle w:val="FootnoteText"/>
      </w:pPr>
      <w:r>
        <w:rPr>
          <w:rStyle w:val="FootnoteReference"/>
        </w:rPr>
        <w:tab/>
      </w:r>
      <w:r w:rsidRPr="0081592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Diffusée en langue allemande par la Commission centrale pour la navigation du Rhin sous la cote CCNR-ZKR/ADN/WP.15/AC.2/2017/44.</w:t>
      </w:r>
    </w:p>
  </w:footnote>
  <w:footnote w:id="3">
    <w:p w:rsidR="00815928" w:rsidRPr="00815928" w:rsidRDefault="00815928">
      <w:pPr>
        <w:pStyle w:val="FootnoteText"/>
      </w:pPr>
      <w:r>
        <w:rPr>
          <w:rStyle w:val="FootnoteReference"/>
        </w:rPr>
        <w:tab/>
      </w:r>
      <w:r w:rsidRPr="00815928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A4" w:rsidRPr="004C4EA4" w:rsidRDefault="00361CF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A4" w:rsidRPr="004C4EA4" w:rsidRDefault="00361CF0" w:rsidP="004C4E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ECE/TRANS/WP.15/AC.2/2017/44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AF"/>
    <w:rsid w:val="00017F94"/>
    <w:rsid w:val="00023842"/>
    <w:rsid w:val="00025AFD"/>
    <w:rsid w:val="000334F9"/>
    <w:rsid w:val="00045FEB"/>
    <w:rsid w:val="0007796D"/>
    <w:rsid w:val="000820DD"/>
    <w:rsid w:val="000B7790"/>
    <w:rsid w:val="00111F2F"/>
    <w:rsid w:val="0014365E"/>
    <w:rsid w:val="00143C66"/>
    <w:rsid w:val="00172012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61CF0"/>
    <w:rsid w:val="003916DE"/>
    <w:rsid w:val="003E6D3C"/>
    <w:rsid w:val="00441C3B"/>
    <w:rsid w:val="00446FE5"/>
    <w:rsid w:val="00452396"/>
    <w:rsid w:val="004837D8"/>
    <w:rsid w:val="004C4EA4"/>
    <w:rsid w:val="004E468C"/>
    <w:rsid w:val="005505B7"/>
    <w:rsid w:val="00573BE5"/>
    <w:rsid w:val="005820AF"/>
    <w:rsid w:val="00586ED3"/>
    <w:rsid w:val="00596AA9"/>
    <w:rsid w:val="006513B6"/>
    <w:rsid w:val="00714A32"/>
    <w:rsid w:val="0071601D"/>
    <w:rsid w:val="007A62E6"/>
    <w:rsid w:val="007F20FA"/>
    <w:rsid w:val="00800918"/>
    <w:rsid w:val="0080684C"/>
    <w:rsid w:val="00815928"/>
    <w:rsid w:val="00871C75"/>
    <w:rsid w:val="008776DC"/>
    <w:rsid w:val="009446C0"/>
    <w:rsid w:val="009705C8"/>
    <w:rsid w:val="009C1CF4"/>
    <w:rsid w:val="009F6B74"/>
    <w:rsid w:val="00A26292"/>
    <w:rsid w:val="00A30353"/>
    <w:rsid w:val="00A346A1"/>
    <w:rsid w:val="00AC3823"/>
    <w:rsid w:val="00AE323C"/>
    <w:rsid w:val="00AF0CB5"/>
    <w:rsid w:val="00B00181"/>
    <w:rsid w:val="00B00B0D"/>
    <w:rsid w:val="00B60DCE"/>
    <w:rsid w:val="00B765F7"/>
    <w:rsid w:val="00BA0CA9"/>
    <w:rsid w:val="00C02897"/>
    <w:rsid w:val="00C97039"/>
    <w:rsid w:val="00D3439C"/>
    <w:rsid w:val="00DB1831"/>
    <w:rsid w:val="00DD3BFD"/>
    <w:rsid w:val="00DF6678"/>
    <w:rsid w:val="00E85C74"/>
    <w:rsid w:val="00EA6547"/>
    <w:rsid w:val="00EC2AB9"/>
    <w:rsid w:val="00EF2E22"/>
    <w:rsid w:val="00F35BAF"/>
    <w:rsid w:val="00F660DF"/>
    <w:rsid w:val="00F9457B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9E6EF28-7DCA-4457-AE95-985F9825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ECE/TRANS/WP.15/AC.2/2017/44</vt:lpstr>
      <vt:lpstr>ECE/TRANS/WP.15/AC.2/2017/44</vt:lpstr>
    </vt:vector>
  </TitlesOfParts>
  <Company>DCM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ECE/TRANS/WP.15/AC.2/2017/44</dc:title>
  <dc:subject/>
  <dc:creator>Julien OKRZESIK</dc:creator>
  <cp:keywords/>
  <cp:lastModifiedBy>Marie-Claude Collet</cp:lastModifiedBy>
  <cp:revision>3</cp:revision>
  <cp:lastPrinted>2017-07-06T06:10:00Z</cp:lastPrinted>
  <dcterms:created xsi:type="dcterms:W3CDTF">2017-07-06T06:10:00Z</dcterms:created>
  <dcterms:modified xsi:type="dcterms:W3CDTF">2017-07-06T06:10:00Z</dcterms:modified>
</cp:coreProperties>
</file>