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C07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C07CD" w:rsidP="003C07CD">
            <w:pPr>
              <w:jc w:val="right"/>
            </w:pPr>
            <w:r w:rsidRPr="003C07CD">
              <w:rPr>
                <w:sz w:val="40"/>
              </w:rPr>
              <w:t>ECE</w:t>
            </w:r>
            <w:r>
              <w:t>/TRANS/WP.15/AC.2/2017/23</w:t>
            </w:r>
          </w:p>
        </w:tc>
      </w:tr>
      <w:tr w:rsidR="002D5AAC" w:rsidRPr="003C07C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C07C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C07CD" w:rsidRDefault="003C07CD" w:rsidP="003C07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May 2017</w:t>
            </w:r>
          </w:p>
          <w:p w:rsidR="003C07CD" w:rsidRDefault="003C07CD" w:rsidP="003C07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C07CD" w:rsidRPr="008D53B6" w:rsidRDefault="003C07CD" w:rsidP="003C07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C07CD" w:rsidRPr="00E51542" w:rsidRDefault="003C07CD" w:rsidP="00286038">
      <w:pPr>
        <w:spacing w:before="120"/>
        <w:rPr>
          <w:sz w:val="28"/>
          <w:szCs w:val="28"/>
        </w:rPr>
      </w:pPr>
      <w:r w:rsidRPr="00E51542">
        <w:rPr>
          <w:sz w:val="28"/>
          <w:szCs w:val="28"/>
        </w:rPr>
        <w:t>Комитет по внутреннему транспорту</w:t>
      </w:r>
    </w:p>
    <w:p w:rsidR="003C07CD" w:rsidRPr="00E51542" w:rsidRDefault="003C07CD" w:rsidP="00286038">
      <w:pPr>
        <w:spacing w:before="120"/>
        <w:rPr>
          <w:b/>
          <w:sz w:val="24"/>
          <w:szCs w:val="24"/>
        </w:rPr>
      </w:pPr>
      <w:r w:rsidRPr="00E51542">
        <w:rPr>
          <w:b/>
          <w:sz w:val="24"/>
          <w:szCs w:val="24"/>
        </w:rPr>
        <w:t>Рабочая группа по перевозкам опасных грузов</w:t>
      </w:r>
    </w:p>
    <w:p w:rsidR="003C07CD" w:rsidRPr="00845D69" w:rsidRDefault="003C07CD" w:rsidP="00E51542">
      <w:pPr>
        <w:spacing w:before="120"/>
        <w:rPr>
          <w:b/>
        </w:rPr>
      </w:pPr>
      <w:r w:rsidRPr="00845D69">
        <w:rPr>
          <w:b/>
        </w:rPr>
        <w:t xml:space="preserve">Совместное совещание экспертов по Правилам, </w:t>
      </w:r>
      <w:r w:rsidR="00E51542" w:rsidRPr="00845D69">
        <w:rPr>
          <w:b/>
        </w:rPr>
        <w:br/>
      </w:r>
      <w:r w:rsidRPr="00845D69">
        <w:rPr>
          <w:b/>
        </w:rPr>
        <w:t>прилагаемым</w:t>
      </w:r>
      <w:r w:rsidR="00E51542" w:rsidRPr="00845D69">
        <w:rPr>
          <w:b/>
        </w:rPr>
        <w:t xml:space="preserve"> </w:t>
      </w:r>
      <w:r w:rsidRPr="00845D69">
        <w:rPr>
          <w:b/>
        </w:rPr>
        <w:t xml:space="preserve">к Европейскому соглашению </w:t>
      </w:r>
      <w:r w:rsidR="00E51542" w:rsidRPr="00845D69">
        <w:rPr>
          <w:b/>
        </w:rPr>
        <w:br/>
      </w:r>
      <w:r w:rsidRPr="00845D69">
        <w:rPr>
          <w:b/>
        </w:rPr>
        <w:t xml:space="preserve">о международной перевозке опасных грузов </w:t>
      </w:r>
      <w:r w:rsidR="00E51542" w:rsidRPr="00845D69">
        <w:rPr>
          <w:b/>
        </w:rPr>
        <w:br/>
      </w:r>
      <w:r w:rsidRPr="00845D69">
        <w:rPr>
          <w:b/>
        </w:rPr>
        <w:t>по внутренним водным путям (ВОПОГ)</w:t>
      </w:r>
    </w:p>
    <w:p w:rsidR="003C07CD" w:rsidRPr="003C07CD" w:rsidRDefault="003C07CD" w:rsidP="003C07CD">
      <w:pPr>
        <w:rPr>
          <w:b/>
        </w:rPr>
      </w:pPr>
      <w:r w:rsidRPr="00845D69">
        <w:rPr>
          <w:b/>
        </w:rPr>
        <w:t>(Комитет по вопросам безопасности ВОПОГ)</w:t>
      </w:r>
    </w:p>
    <w:p w:rsidR="003C07CD" w:rsidRPr="00845D69" w:rsidRDefault="003C07CD" w:rsidP="00286038">
      <w:pPr>
        <w:spacing w:before="120"/>
        <w:rPr>
          <w:b/>
          <w:bCs/>
        </w:rPr>
      </w:pPr>
      <w:r w:rsidRPr="00845D69">
        <w:rPr>
          <w:b/>
        </w:rPr>
        <w:t>Тридцать первая сессия</w:t>
      </w:r>
    </w:p>
    <w:p w:rsidR="003C07CD" w:rsidRPr="003C07CD" w:rsidRDefault="003C07CD" w:rsidP="003C07CD">
      <w:r w:rsidRPr="003C07CD">
        <w:t>Женева, 28–31 августа 2017 года</w:t>
      </w:r>
    </w:p>
    <w:p w:rsidR="003C07CD" w:rsidRPr="003C07CD" w:rsidRDefault="003C07CD" w:rsidP="003C07CD">
      <w:r w:rsidRPr="003C07CD">
        <w:t>Пункт 4 b) предварительной повестки дня</w:t>
      </w:r>
    </w:p>
    <w:p w:rsidR="003C07CD" w:rsidRPr="00845D69" w:rsidRDefault="003C07CD" w:rsidP="003C07CD">
      <w:pPr>
        <w:rPr>
          <w:b/>
          <w:bCs/>
        </w:rPr>
      </w:pPr>
      <w:r w:rsidRPr="00845D69">
        <w:rPr>
          <w:b/>
        </w:rPr>
        <w:t xml:space="preserve">Предложения о внесении поправок в Правила, </w:t>
      </w:r>
      <w:r w:rsidR="00845D69" w:rsidRPr="00845D69">
        <w:rPr>
          <w:b/>
        </w:rPr>
        <w:br/>
      </w:r>
      <w:r w:rsidRPr="00845D69">
        <w:rPr>
          <w:b/>
        </w:rPr>
        <w:t>прилагаемые к ВОПОГ: прочие предложения</w:t>
      </w:r>
    </w:p>
    <w:p w:rsidR="003C07CD" w:rsidRPr="003C07CD" w:rsidRDefault="003C07CD" w:rsidP="00286038">
      <w:pPr>
        <w:pStyle w:val="HChGR"/>
      </w:pPr>
      <w:r w:rsidRPr="003C07CD">
        <w:tab/>
      </w:r>
      <w:r w:rsidRPr="003C07CD">
        <w:tab/>
        <w:t xml:space="preserve">Временное свидетельство о допущении </w:t>
      </w:r>
      <w:r w:rsidR="00845D69">
        <w:t>–</w:t>
      </w:r>
      <w:r w:rsidRPr="003C07CD">
        <w:t xml:space="preserve"> срок действия</w:t>
      </w:r>
    </w:p>
    <w:p w:rsidR="003C07CD" w:rsidRPr="003C07CD" w:rsidRDefault="003C07CD" w:rsidP="00286038">
      <w:pPr>
        <w:pStyle w:val="H1GR"/>
      </w:pPr>
      <w:r w:rsidRPr="003C07CD">
        <w:tab/>
      </w:r>
      <w:r w:rsidRPr="003C07CD">
        <w:tab/>
        <w:t>Передано правительством Бельгии</w:t>
      </w:r>
      <w:r w:rsidR="00845D69" w:rsidRPr="00845D6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845D69" w:rsidRPr="00845D69">
        <w:rPr>
          <w:b w:val="0"/>
          <w:sz w:val="20"/>
        </w:rPr>
        <w:t xml:space="preserve"> </w:t>
      </w:r>
      <w:r w:rsidR="00845D69" w:rsidRPr="00845D69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1F0F8D" w:rsidTr="00286038">
        <w:trPr>
          <w:trHeight w:val="240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F8D" w:rsidRDefault="001F0F8D">
            <w:pPr>
              <w:spacing w:line="240" w:lineRule="auto"/>
              <w:rPr>
                <w:lang w:val="es-ES"/>
              </w:rPr>
            </w:pPr>
          </w:p>
        </w:tc>
      </w:tr>
      <w:tr w:rsidR="001F0F8D" w:rsidRPr="001F0F8D" w:rsidTr="00286038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1F0F8D" w:rsidRPr="001F0F8D" w:rsidRDefault="001F0F8D" w:rsidP="001F0F8D">
            <w:pPr>
              <w:spacing w:after="120"/>
              <w:jc w:val="both"/>
              <w:rPr>
                <w:lang w:val="en-US"/>
              </w:rPr>
            </w:pPr>
            <w:r w:rsidRPr="001F0F8D">
              <w:t>Справочные документы:</w:t>
            </w:r>
          </w:p>
          <w:p w:rsidR="001F0F8D" w:rsidRPr="001F0F8D" w:rsidRDefault="001F0F8D" w:rsidP="00286038">
            <w:pPr>
              <w:pStyle w:val="Bullet1GR"/>
              <w:ind w:left="170" w:right="0"/>
              <w:jc w:val="left"/>
              <w:rPr>
                <w:lang w:val="en-US"/>
              </w:rPr>
            </w:pPr>
            <w:r w:rsidRPr="001F0F8D">
              <w:rPr>
                <w:lang w:val="en-US"/>
              </w:rPr>
              <w:t>ECE/TRANS/WP.15/AC.2/2014/43</w:t>
            </w:r>
          </w:p>
          <w:p w:rsidR="001F0F8D" w:rsidRPr="001F0F8D" w:rsidRDefault="001F0F8D" w:rsidP="00286038">
            <w:pPr>
              <w:pStyle w:val="Bullet1GR"/>
              <w:ind w:left="170" w:right="0"/>
              <w:jc w:val="left"/>
              <w:rPr>
                <w:lang w:val="en-GB"/>
              </w:rPr>
            </w:pPr>
            <w:r w:rsidRPr="001F0F8D">
              <w:rPr>
                <w:lang w:val="en-US"/>
              </w:rPr>
              <w:t>ECE/TRANS/WP.15/AC.2/52 (</w:t>
            </w:r>
            <w:r w:rsidRPr="001F0F8D">
              <w:t>пункты</w:t>
            </w:r>
            <w:r w:rsidRPr="001F0F8D">
              <w:rPr>
                <w:lang w:val="en-US"/>
              </w:rPr>
              <w:t xml:space="preserve"> 44 </w:t>
            </w:r>
            <w:r w:rsidRPr="001F0F8D">
              <w:t>и</w:t>
            </w:r>
            <w:r w:rsidRPr="001F0F8D">
              <w:rPr>
                <w:lang w:val="en-US"/>
              </w:rPr>
              <w:t xml:space="preserve"> 45)</w:t>
            </w:r>
          </w:p>
          <w:p w:rsidR="001F0F8D" w:rsidRPr="001F0F8D" w:rsidRDefault="001F0F8D" w:rsidP="00286038">
            <w:pPr>
              <w:pStyle w:val="Bullet1GR"/>
              <w:ind w:left="170" w:right="0"/>
              <w:jc w:val="left"/>
            </w:pPr>
            <w:r w:rsidRPr="001F0F8D">
              <w:t xml:space="preserve">Неофициальный документ INF.17, представленный на двадцать седьмой </w:t>
            </w:r>
            <w:r w:rsidR="00286038" w:rsidRPr="00286038">
              <w:br/>
            </w:r>
            <w:r w:rsidRPr="001F0F8D">
              <w:t>сессии</w:t>
            </w:r>
          </w:p>
          <w:p w:rsidR="001F0F8D" w:rsidRPr="001F0F8D" w:rsidRDefault="001F0F8D" w:rsidP="00286038">
            <w:pPr>
              <w:pStyle w:val="Bullet1GR"/>
              <w:ind w:left="170" w:right="0"/>
              <w:jc w:val="left"/>
              <w:rPr>
                <w:lang w:val="en-GB"/>
              </w:rPr>
            </w:pPr>
            <w:r w:rsidRPr="001F0F8D">
              <w:rPr>
                <w:lang w:val="en-US"/>
              </w:rPr>
              <w:t>ECE/TRANS/WP15/AC.2/56 (</w:t>
            </w:r>
            <w:r w:rsidRPr="001F0F8D">
              <w:t>раздел</w:t>
            </w:r>
            <w:r w:rsidRPr="001F0F8D">
              <w:rPr>
                <w:lang w:val="en-US"/>
              </w:rPr>
              <w:t xml:space="preserve"> 58 – </w:t>
            </w:r>
            <w:r w:rsidRPr="001F0F8D">
              <w:t>пункты</w:t>
            </w:r>
            <w:r w:rsidRPr="001F0F8D">
              <w:rPr>
                <w:lang w:val="en-US"/>
              </w:rPr>
              <w:t xml:space="preserve"> 62</w:t>
            </w:r>
            <w:r w:rsidR="00286038">
              <w:rPr>
                <w:lang w:val="en-US"/>
              </w:rPr>
              <w:t>–</w:t>
            </w:r>
            <w:r w:rsidRPr="001F0F8D">
              <w:rPr>
                <w:lang w:val="en-US"/>
              </w:rPr>
              <w:t>69)</w:t>
            </w:r>
          </w:p>
        </w:tc>
      </w:tr>
    </w:tbl>
    <w:p w:rsidR="00286038" w:rsidRDefault="00C43799" w:rsidP="00C4781E">
      <w:pPr>
        <w:pStyle w:val="HChGR"/>
        <w:pageBreakBefore/>
        <w:rPr>
          <w:lang w:val="en-US"/>
        </w:rPr>
      </w:pPr>
      <w:r>
        <w:lastRenderedPageBreak/>
        <w:tab/>
      </w:r>
      <w:r w:rsidR="00286038" w:rsidRPr="003C07CD">
        <w:t>I.</w:t>
      </w:r>
      <w:r w:rsidR="00286038" w:rsidRPr="003C07CD">
        <w:tab/>
        <w:t>Введение</w:t>
      </w:r>
    </w:p>
    <w:p w:rsidR="003C07CD" w:rsidRPr="003C07CD" w:rsidRDefault="003C07CD" w:rsidP="00845D69">
      <w:pPr>
        <w:pStyle w:val="SingleTxtGR"/>
      </w:pPr>
      <w:r w:rsidRPr="003C07CD">
        <w:t>1.</w:t>
      </w:r>
      <w:r w:rsidRPr="003C07CD">
        <w:tab/>
        <w:t>Пунктом 1.16.1.3.1 ВОПОГ 2015 предусматривается, что временное свидетельство о допущении может быть выдано в том случае, если судно соответствует следующему положению:</w:t>
      </w:r>
    </w:p>
    <w:p w:rsidR="003C07CD" w:rsidRPr="003C07CD" w:rsidRDefault="003C07CD" w:rsidP="00845D69">
      <w:pPr>
        <w:pStyle w:val="SingleTxtGR"/>
        <w:rPr>
          <w:i/>
          <w:iCs/>
        </w:rPr>
      </w:pPr>
      <w:r w:rsidRPr="003C07CD">
        <w:rPr>
          <w:i/>
          <w:iCs/>
        </w:rPr>
        <w:t>Судну, не имеющему свидетельства о допущении, может быть выдано временное свидетельство о допущении с ограниченным сроком действия в следующих случаях и при соблюдении следующих условий:</w:t>
      </w:r>
    </w:p>
    <w:p w:rsidR="003C07CD" w:rsidRPr="003C07CD" w:rsidRDefault="00C43799" w:rsidP="00C43799">
      <w:pPr>
        <w:pStyle w:val="SingleTxtGR"/>
        <w:ind w:left="2268" w:hanging="1134"/>
        <w:rPr>
          <w:i/>
          <w:iCs/>
        </w:rPr>
      </w:pPr>
      <w:r>
        <w:rPr>
          <w:i/>
          <w:iCs/>
        </w:rPr>
        <w:tab/>
        <w:t>а)</w:t>
      </w:r>
      <w:r>
        <w:rPr>
          <w:i/>
          <w:iCs/>
        </w:rPr>
        <w:tab/>
      </w:r>
      <w:r w:rsidR="003C07CD" w:rsidRPr="003C07CD">
        <w:rPr>
          <w:i/>
          <w:iCs/>
        </w:rPr>
        <w:t>судно удовлетворяет применимым предписаниям настоящих Правил, но обычное свидетельство о допущении не было своевременно выдано. Временное свидетельство о допущении действительно в течение соответствующего периода времени, который не должен, однако, превышать трех месяцев;</w:t>
      </w:r>
    </w:p>
    <w:p w:rsidR="003C07CD" w:rsidRPr="003C07CD" w:rsidRDefault="00C43799" w:rsidP="00C43799">
      <w:pPr>
        <w:pStyle w:val="SingleTxtGR"/>
        <w:ind w:left="2268" w:hanging="1134"/>
        <w:rPr>
          <w:i/>
          <w:iCs/>
          <w:lang w:val="en-GB"/>
        </w:rPr>
      </w:pPr>
      <w:r>
        <w:rPr>
          <w:i/>
          <w:iCs/>
        </w:rPr>
        <w:tab/>
      </w:r>
      <w:r>
        <w:rPr>
          <w:i/>
          <w:iCs/>
          <w:lang w:val="en-US"/>
        </w:rPr>
        <w:t>b</w:t>
      </w:r>
      <w:r w:rsidRPr="00C43799">
        <w:rPr>
          <w:i/>
          <w:iCs/>
        </w:rPr>
        <w:t>)</w:t>
      </w:r>
      <w:r w:rsidRPr="00C43799">
        <w:rPr>
          <w:i/>
          <w:iCs/>
        </w:rPr>
        <w:tab/>
      </w:r>
      <w:r w:rsidR="003C07CD" w:rsidRPr="003C07CD">
        <w:rPr>
          <w:i/>
          <w:iCs/>
        </w:rPr>
        <w:t>судно вследствие повреждения удовлетворяет не всем применимым предписаниям настоящих Правил. В этом случае временное свидетельство о допущении действительно лишь на один рейс и для конкретно указанного груза. Компетентный орган может наложить дополнительные ограничения.</w:t>
      </w:r>
    </w:p>
    <w:p w:rsidR="003C07CD" w:rsidRPr="003C07CD" w:rsidRDefault="003C07CD" w:rsidP="00845D69">
      <w:pPr>
        <w:pStyle w:val="SingleTxtGR"/>
      </w:pPr>
      <w:r w:rsidRPr="003C07CD">
        <w:t>2.</w:t>
      </w:r>
      <w:r w:rsidRPr="003C07CD">
        <w:tab/>
        <w:t>Неофициальная корреспондентская рабочая группа (НКРГ) сообщила о своей деятельности в ходе сессии Комитета по вопросам безопасности, состоявшейся в августе 2016 года. Этой неофициальной рабочей группы было поручено пересмотреть приложение, касающиеся процедуры осмотра (с целью выдачи свидетельства о допущении).</w:t>
      </w:r>
    </w:p>
    <w:p w:rsidR="003C07CD" w:rsidRPr="003C07CD" w:rsidRDefault="003C07CD" w:rsidP="00845D69">
      <w:pPr>
        <w:pStyle w:val="SingleTxtGR"/>
      </w:pPr>
      <w:r w:rsidRPr="003C07CD">
        <w:t>3.</w:t>
      </w:r>
      <w:r w:rsidRPr="003C07CD">
        <w:tab/>
        <w:t>Рабочая группа вполне обоснованно отметила, что положение ВОПОГ 2015 года, касающееся выдачи временного свидетельства о допущении, не отражает повседневной практики. Судам последовательно выдавались временные свидетельства, хотя они и не отвечали условиям, предусмотренным в приложении к ВОПОГ 2015 года.</w:t>
      </w:r>
    </w:p>
    <w:p w:rsidR="003C07CD" w:rsidRPr="003C07CD" w:rsidRDefault="003C07CD" w:rsidP="00845D69">
      <w:pPr>
        <w:pStyle w:val="SingleTxtGR"/>
      </w:pPr>
      <w:r w:rsidRPr="003C07CD">
        <w:t>4.</w:t>
      </w:r>
      <w:r w:rsidRPr="003C07CD">
        <w:tab/>
        <w:t>В связи с этим НКРГ предложила внести следую</w:t>
      </w:r>
      <w:r w:rsidR="0066190F">
        <w:t>щ</w:t>
      </w:r>
      <w:r w:rsidR="00C4781E">
        <w:t>ее исправление в пункт </w:t>
      </w:r>
      <w:r w:rsidRPr="003C07CD">
        <w:t>1.16.1.3.1 ВОПОГ, которое было представлено сессии Комитета по вопросам безопасности, прошедшей в августе 2016 года (ECE/TRANS/WP.15/</w:t>
      </w:r>
      <w:r w:rsidR="00C43799" w:rsidRPr="00C43799">
        <w:br/>
      </w:r>
      <w:r w:rsidRPr="003C07CD">
        <w:t>AC/2/2016/20):</w:t>
      </w:r>
    </w:p>
    <w:p w:rsidR="003C07CD" w:rsidRPr="003C07CD" w:rsidRDefault="003C07CD" w:rsidP="00845D69">
      <w:pPr>
        <w:pStyle w:val="SingleTxtGR"/>
        <w:rPr>
          <w:i/>
          <w:iCs/>
        </w:rPr>
      </w:pPr>
      <w:r w:rsidRPr="003C07CD">
        <w:rPr>
          <w:i/>
          <w:iCs/>
        </w:rPr>
        <w:t>Судну, не имеющему свидетельства о допущении, может быть выдано временное свидетельство о допущении с ограниченным сроком действия в следующих случаях и при соблюдении следующих условий:</w:t>
      </w:r>
    </w:p>
    <w:p w:rsidR="003C07CD" w:rsidRPr="003C07CD" w:rsidRDefault="00C43799" w:rsidP="00C43799">
      <w:pPr>
        <w:pStyle w:val="SingleTxtGR"/>
        <w:ind w:left="2268" w:hanging="1134"/>
        <w:rPr>
          <w:i/>
          <w:iCs/>
        </w:rPr>
      </w:pPr>
      <w:r>
        <w:rPr>
          <w:i/>
          <w:iCs/>
          <w:lang w:val="en-US"/>
        </w:rPr>
        <w:tab/>
      </w:r>
      <w:r w:rsidR="00F67D71">
        <w:rPr>
          <w:i/>
          <w:iCs/>
          <w:lang w:val="en-US"/>
        </w:rPr>
        <w:t>a</w:t>
      </w:r>
      <w:r w:rsidR="00F67D71" w:rsidRPr="00F67D71">
        <w:rPr>
          <w:i/>
          <w:iCs/>
        </w:rPr>
        <w:t>)</w:t>
      </w:r>
      <w:r w:rsidR="00F67D71" w:rsidRPr="00F67D71">
        <w:rPr>
          <w:i/>
          <w:iCs/>
        </w:rPr>
        <w:tab/>
      </w:r>
      <w:r w:rsidR="003C07CD" w:rsidRPr="003C07CD">
        <w:rPr>
          <w:i/>
          <w:iCs/>
        </w:rPr>
        <w:t>судно удовлетворяет применимым предписаниям настоящих Правил, но обычное свидетельство о допущении не было своевременно выдано. Временное свидетельство о допущении действительно в течение соответствующего периода времени, который не должен, однако, превышать трех месяцев;</w:t>
      </w:r>
    </w:p>
    <w:p w:rsidR="003C07CD" w:rsidRPr="003C07CD" w:rsidRDefault="00F67D71" w:rsidP="00C43799">
      <w:pPr>
        <w:pStyle w:val="SingleTxtGR"/>
        <w:ind w:left="2268" w:hanging="1134"/>
        <w:rPr>
          <w:i/>
          <w:iCs/>
        </w:rPr>
      </w:pPr>
      <w:r>
        <w:rPr>
          <w:i/>
          <w:iCs/>
          <w:lang w:val="en-US"/>
        </w:rPr>
        <w:tab/>
        <w:t>b</w:t>
      </w:r>
      <w:r w:rsidRPr="00F67D71">
        <w:rPr>
          <w:i/>
          <w:iCs/>
        </w:rPr>
        <w:t>)</w:t>
      </w:r>
      <w:r w:rsidRPr="00F67D71">
        <w:rPr>
          <w:i/>
          <w:iCs/>
        </w:rPr>
        <w:tab/>
      </w:r>
      <w:r w:rsidR="003C07CD" w:rsidRPr="003C07CD">
        <w:rPr>
          <w:i/>
          <w:iCs/>
        </w:rPr>
        <w:t>судно не удовлетворяет всем применимым требованиям настоящих Правил, но безопасность перевозки не нарушена согласно оценке компетентного органа.</w:t>
      </w:r>
    </w:p>
    <w:p w:rsidR="003C07CD" w:rsidRPr="003C07CD" w:rsidRDefault="00F67D71" w:rsidP="00C43799">
      <w:pPr>
        <w:pStyle w:val="SingleTxtGR"/>
        <w:ind w:left="2268" w:hanging="1134"/>
        <w:rPr>
          <w:i/>
          <w:iCs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="003C07CD" w:rsidRPr="003C07CD">
        <w:rPr>
          <w:i/>
          <w:iCs/>
        </w:rPr>
        <w:t>Временное свидетельство о допущении остается действительным в течение надлежащего периода времени, необходимого для приведения судна в соответствие с применимыми предписаниями, который не должен, однако, превышать трех месяцев.</w:t>
      </w:r>
    </w:p>
    <w:p w:rsidR="003C07CD" w:rsidRPr="003C07CD" w:rsidRDefault="00F67D71" w:rsidP="00F67D71">
      <w:pPr>
        <w:pStyle w:val="SingleTxtGR"/>
        <w:ind w:left="2268" w:hanging="1134"/>
        <w:rPr>
          <w:i/>
          <w:iCs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="003C07CD" w:rsidRPr="003C07CD">
        <w:rPr>
          <w:i/>
          <w:iCs/>
        </w:rPr>
        <w:t>Компетентный орган может запросить дополнительные отчеты в дополнение к отчету об осмотре и может предусмотреть дополни</w:t>
      </w:r>
      <w:r w:rsidR="00C4781E">
        <w:rPr>
          <w:i/>
          <w:iCs/>
        </w:rPr>
        <w:t>тельные условия.</w:t>
      </w:r>
    </w:p>
    <w:p w:rsidR="003C07CD" w:rsidRPr="003C07CD" w:rsidRDefault="00F67D71" w:rsidP="00F67D71">
      <w:pPr>
        <w:pStyle w:val="SingleTxtGR"/>
        <w:ind w:left="2268" w:hanging="1134"/>
        <w:rPr>
          <w:i/>
          <w:iCs/>
        </w:rPr>
      </w:pPr>
      <w:r w:rsidRPr="00C4781E">
        <w:rPr>
          <w:i/>
          <w:iCs/>
        </w:rPr>
        <w:lastRenderedPageBreak/>
        <w:tab/>
      </w:r>
      <w:r w:rsidRPr="00C4781E">
        <w:rPr>
          <w:i/>
          <w:iCs/>
        </w:rPr>
        <w:tab/>
      </w:r>
      <w:r w:rsidR="003C07CD" w:rsidRPr="00F67D71">
        <w:rPr>
          <w:b/>
          <w:i/>
          <w:iCs/>
        </w:rPr>
        <w:t>ПРИМЕЧАНИЕ</w:t>
      </w:r>
      <w:r w:rsidR="003C07CD" w:rsidRPr="003C07CD">
        <w:rPr>
          <w:i/>
          <w:iCs/>
        </w:rPr>
        <w:t>: Для выдачи окончательного свидетельства о допущении в соответствии с подразделом 1.16.1.2 должен быть подготовлен новый отчет об о</w:t>
      </w:r>
      <w:r w:rsidR="00C4781E">
        <w:rPr>
          <w:i/>
          <w:iCs/>
        </w:rPr>
        <w:t>смотре в соответствии с пунктом </w:t>
      </w:r>
      <w:r w:rsidR="003C07CD" w:rsidRPr="003C07CD">
        <w:rPr>
          <w:i/>
          <w:iCs/>
        </w:rPr>
        <w:t>1.16.3.1, удостоверяющий соответствие также всем тем требованиям настоящих Правил, которые до этого не были выполнены;</w:t>
      </w:r>
    </w:p>
    <w:p w:rsidR="003C07CD" w:rsidRPr="00F67D71" w:rsidRDefault="00F67D71" w:rsidP="00F67D71">
      <w:pPr>
        <w:pStyle w:val="SingleTxtGR"/>
        <w:ind w:left="2268" w:hanging="1134"/>
        <w:rPr>
          <w:i/>
          <w:iCs/>
        </w:rPr>
      </w:pPr>
      <w:r w:rsidRPr="00C4781E">
        <w:rPr>
          <w:i/>
          <w:iCs/>
        </w:rPr>
        <w:tab/>
      </w:r>
      <w:r>
        <w:rPr>
          <w:i/>
          <w:iCs/>
          <w:lang w:val="en-US"/>
        </w:rPr>
        <w:t>c</w:t>
      </w:r>
      <w:r w:rsidRPr="00F67D71">
        <w:rPr>
          <w:i/>
          <w:iCs/>
        </w:rPr>
        <w:t>)</w:t>
      </w:r>
      <w:r w:rsidRPr="00F67D71">
        <w:rPr>
          <w:i/>
          <w:iCs/>
        </w:rPr>
        <w:tab/>
      </w:r>
      <w:r w:rsidR="003C07CD" w:rsidRPr="003C07CD">
        <w:rPr>
          <w:i/>
          <w:iCs/>
        </w:rPr>
        <w:t>судно вследствие повреждения удовлетворяет не всем применимым предписаниям настоящих Правил. В этом случае временное свидетельство о допущении действительно лишь на один рейс и для конкретно указанного груза. Компетентный орган может наложить дополнительные ограничения.</w:t>
      </w:r>
    </w:p>
    <w:p w:rsidR="003C07CD" w:rsidRPr="003C07CD" w:rsidRDefault="003C07CD" w:rsidP="00845D69">
      <w:pPr>
        <w:pStyle w:val="SingleTxtGR"/>
      </w:pPr>
      <w:r w:rsidRPr="003C07CD">
        <w:t>5.</w:t>
      </w:r>
      <w:r w:rsidRPr="003C07CD">
        <w:tab/>
        <w:t>В ходе последовавшего за этим обсуждения Комитет по вопросам безопасности принял решение о том, что временное свидетельство о допущении может быть выдано только один раз и что оно будет действительным в течение не более трех месяцев. Это указание было включено в доклад (ECE/TRANS/</w:t>
      </w:r>
      <w:r w:rsidR="00F67D71" w:rsidRPr="00F67D71">
        <w:br/>
      </w:r>
      <w:r w:rsidRPr="003C07CD">
        <w:t>WP.15/AC.2/58)</w:t>
      </w:r>
      <w:r w:rsidR="001E0754">
        <w:t>.</w:t>
      </w:r>
    </w:p>
    <w:p w:rsidR="003C07CD" w:rsidRPr="00F67D71" w:rsidRDefault="003C07CD" w:rsidP="00845D69">
      <w:pPr>
        <w:pStyle w:val="SingleTxtGR"/>
      </w:pPr>
      <w:r w:rsidRPr="003C07CD">
        <w:t>6.</w:t>
      </w:r>
      <w:r w:rsidRPr="003C07CD">
        <w:tab/>
        <w:t>В ВОПОГ 2017 года был включен следующий текст:</w:t>
      </w:r>
    </w:p>
    <w:p w:rsidR="003C07CD" w:rsidRPr="003C07CD" w:rsidRDefault="00F67D71" w:rsidP="00845D69">
      <w:pPr>
        <w:pStyle w:val="SingleTxtGR"/>
        <w:rPr>
          <w:i/>
          <w:iCs/>
        </w:rPr>
      </w:pPr>
      <w:r>
        <w:rPr>
          <w:i/>
          <w:iCs/>
        </w:rPr>
        <w:t>«</w:t>
      </w:r>
      <w:r w:rsidRPr="00A83FF7">
        <w:rPr>
          <w:i/>
          <w:iCs/>
        </w:rPr>
        <w:t>Судну, не имеющему свидетельства о допущении, может быть выдано временное свидетельство о допущении с ограниченным сроком действия в следующих случаях и при соблюдении следующих условий:</w:t>
      </w:r>
    </w:p>
    <w:p w:rsidR="003C07CD" w:rsidRPr="003C07CD" w:rsidRDefault="00F67D71" w:rsidP="00F67D71">
      <w:pPr>
        <w:pStyle w:val="SingleTxtGR"/>
        <w:ind w:left="2268" w:hanging="1134"/>
        <w:rPr>
          <w:i/>
          <w:iCs/>
        </w:rPr>
      </w:pPr>
      <w:r>
        <w:rPr>
          <w:i/>
          <w:iCs/>
        </w:rPr>
        <w:tab/>
        <w:t>а)</w:t>
      </w:r>
      <w:r>
        <w:rPr>
          <w:i/>
          <w:iCs/>
        </w:rPr>
        <w:tab/>
      </w:r>
      <w:r w:rsidR="003C07CD" w:rsidRPr="003C07CD">
        <w:rPr>
          <w:i/>
          <w:iCs/>
        </w:rPr>
        <w:t>судно удовлетворяет применимым требованиям настоящих Правил, но обычное свидетельство о допущении не удалось своевременно выдать. Временное свидетельство о допущении действительно в течение соответствующего периода времени, который не должен, однако, превышать трех месяцев;</w:t>
      </w:r>
    </w:p>
    <w:p w:rsidR="003C07CD" w:rsidRPr="00F67D71" w:rsidRDefault="00F67D71" w:rsidP="00F67D71">
      <w:pPr>
        <w:pStyle w:val="SingleTxtGR"/>
        <w:ind w:left="2268" w:hanging="1134"/>
        <w:rPr>
          <w:i/>
          <w:iCs/>
        </w:rPr>
      </w:pPr>
      <w:r>
        <w:rPr>
          <w:i/>
          <w:iCs/>
        </w:rPr>
        <w:tab/>
      </w:r>
      <w:r>
        <w:rPr>
          <w:i/>
          <w:iCs/>
          <w:lang w:val="en-US"/>
        </w:rPr>
        <w:t>b</w:t>
      </w:r>
      <w:r w:rsidRPr="00F67D71">
        <w:rPr>
          <w:i/>
          <w:iCs/>
        </w:rPr>
        <w:t>)</w:t>
      </w:r>
      <w:r w:rsidRPr="00F67D71">
        <w:rPr>
          <w:i/>
          <w:iCs/>
        </w:rPr>
        <w:tab/>
      </w:r>
      <w:r w:rsidR="003C07CD" w:rsidRPr="00F67D71">
        <w:rPr>
          <w:i/>
          <w:iCs/>
          <w:u w:val="single"/>
        </w:rPr>
        <w:t>судно не удовлетворяет всем применимым требованиям настоящих Правил, но безопасность перевозки не нарушена согласно оценке компетентного органа</w:t>
      </w:r>
      <w:r w:rsidR="003C07CD" w:rsidRPr="00F67D71">
        <w:rPr>
          <w:i/>
          <w:iCs/>
        </w:rPr>
        <w:t>.</w:t>
      </w:r>
    </w:p>
    <w:p w:rsidR="003C07CD" w:rsidRPr="00F67D71" w:rsidRDefault="00F67D71" w:rsidP="00F67D71">
      <w:pPr>
        <w:pStyle w:val="SingleTxtGR"/>
        <w:ind w:left="2268" w:hanging="1134"/>
        <w:rPr>
          <w:i/>
          <w:iCs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="003C07CD" w:rsidRPr="006D1111">
        <w:rPr>
          <w:b/>
          <w:i/>
          <w:iCs/>
          <w:u w:val="single"/>
        </w:rPr>
        <w:t>Временное свидетельство о допущении выдается только один раз</w:t>
      </w:r>
      <w:r w:rsidR="003C07CD" w:rsidRPr="00B40D5B">
        <w:rPr>
          <w:i/>
          <w:iCs/>
          <w:u w:val="single"/>
        </w:rPr>
        <w:t xml:space="preserve"> и действительно в течение соответствующего периода времени, необходимого для приведения судна в соответствие с применимыми положениями, который не должен, однако, превышать трех месяцев</w:t>
      </w:r>
      <w:r w:rsidR="003C07CD" w:rsidRPr="00F67D71">
        <w:rPr>
          <w:i/>
          <w:iCs/>
        </w:rPr>
        <w:t>.</w:t>
      </w:r>
    </w:p>
    <w:p w:rsidR="003C07CD" w:rsidRPr="003C07CD" w:rsidRDefault="00B40D5B" w:rsidP="00F67D71">
      <w:pPr>
        <w:pStyle w:val="SingleTxtGR"/>
        <w:ind w:left="2268" w:hanging="1134"/>
        <w:rPr>
          <w:i/>
          <w:iCs/>
        </w:rPr>
      </w:pPr>
      <w:r w:rsidRPr="007C5451">
        <w:rPr>
          <w:i/>
          <w:iCs/>
        </w:rPr>
        <w:tab/>
      </w:r>
      <w:r w:rsidRPr="007C5451">
        <w:rPr>
          <w:i/>
          <w:iCs/>
        </w:rPr>
        <w:tab/>
      </w:r>
      <w:r w:rsidR="003C07CD" w:rsidRPr="003C07CD">
        <w:rPr>
          <w:i/>
          <w:iCs/>
        </w:rPr>
        <w:t>Компетентный орган может запросить дополнительные отчеты в дополнение к отчету об осмотре и может предусмотреть дополни</w:t>
      </w:r>
      <w:r w:rsidR="000F2BBD">
        <w:rPr>
          <w:i/>
          <w:iCs/>
        </w:rPr>
        <w:t>тельные условия.</w:t>
      </w:r>
    </w:p>
    <w:p w:rsidR="003C07CD" w:rsidRPr="003C07CD" w:rsidRDefault="00B40D5B" w:rsidP="00F67D71">
      <w:pPr>
        <w:pStyle w:val="SingleTxtGR"/>
        <w:ind w:left="2268" w:hanging="1134"/>
        <w:rPr>
          <w:i/>
          <w:iCs/>
        </w:rPr>
      </w:pPr>
      <w:r w:rsidRPr="000F2BBD">
        <w:rPr>
          <w:i/>
          <w:iCs/>
        </w:rPr>
        <w:tab/>
      </w:r>
      <w:r w:rsidRPr="000F2BBD">
        <w:rPr>
          <w:i/>
          <w:iCs/>
        </w:rPr>
        <w:tab/>
      </w:r>
      <w:r w:rsidR="003C07CD" w:rsidRPr="00197AEE">
        <w:rPr>
          <w:b/>
          <w:i/>
          <w:iCs/>
        </w:rPr>
        <w:t>ПРИМЕЧАНИЕ</w:t>
      </w:r>
      <w:r w:rsidR="003C07CD" w:rsidRPr="003C07CD">
        <w:rPr>
          <w:i/>
          <w:iCs/>
        </w:rPr>
        <w:t>: Для выдачи окончательного свидетельства о допущении в соответствии с подразделом 1.16.1.2 должен быть подготовлен новый отчет об ос</w:t>
      </w:r>
      <w:r w:rsidR="000F2BBD">
        <w:rPr>
          <w:i/>
          <w:iCs/>
        </w:rPr>
        <w:t>мотре в соответствии с пунктом </w:t>
      </w:r>
      <w:r w:rsidR="003C07CD" w:rsidRPr="003C07CD">
        <w:rPr>
          <w:i/>
          <w:iCs/>
        </w:rPr>
        <w:t>1.16.3.1, удостоверяющий соответствие также всем тем требованиям настоящих Правил, которые до этого не были выполнены;</w:t>
      </w:r>
    </w:p>
    <w:p w:rsidR="00B40D5B" w:rsidRDefault="00B40D5B" w:rsidP="00B40D5B">
      <w:pPr>
        <w:pStyle w:val="SingleTxtGR"/>
        <w:ind w:left="2268" w:hanging="1134"/>
        <w:rPr>
          <w:i/>
          <w:iCs/>
        </w:rPr>
      </w:pPr>
      <w:r w:rsidRPr="000F2BBD">
        <w:rPr>
          <w:i/>
          <w:iCs/>
        </w:rPr>
        <w:tab/>
      </w:r>
      <w:r>
        <w:rPr>
          <w:i/>
          <w:iCs/>
          <w:lang w:val="en-US"/>
        </w:rPr>
        <w:t>c</w:t>
      </w:r>
      <w:r w:rsidRPr="00B40D5B">
        <w:rPr>
          <w:i/>
          <w:iCs/>
        </w:rPr>
        <w:t>)</w:t>
      </w:r>
      <w:r w:rsidRPr="00B40D5B">
        <w:rPr>
          <w:i/>
          <w:iCs/>
        </w:rPr>
        <w:tab/>
      </w:r>
      <w:r w:rsidR="003C07CD" w:rsidRPr="003C07CD">
        <w:rPr>
          <w:i/>
          <w:iCs/>
        </w:rPr>
        <w:t>судно вследствие повреждения удовлетворяет не всем применимым предписаниям настоящих Правил. В этом случае временное свидетельство о допущении действительно лишь на один рейс и для конкретно указанного груза.</w:t>
      </w:r>
      <w:r w:rsidRPr="00B40D5B">
        <w:rPr>
          <w:i/>
          <w:iCs/>
        </w:rPr>
        <w:t xml:space="preserve"> </w:t>
      </w:r>
      <w:r w:rsidRPr="002635D0">
        <w:rPr>
          <w:i/>
          <w:iCs/>
        </w:rPr>
        <w:t>Компетентный орган может наложить дополнительные ограничения.</w:t>
      </w:r>
      <w:r>
        <w:rPr>
          <w:i/>
          <w:iCs/>
        </w:rPr>
        <w:t>».</w:t>
      </w:r>
    </w:p>
    <w:p w:rsidR="003C07CD" w:rsidRPr="003C07CD" w:rsidRDefault="003C07CD" w:rsidP="00B40D5B">
      <w:pPr>
        <w:pStyle w:val="SingleTxtGR"/>
      </w:pPr>
      <w:r w:rsidRPr="003C07CD">
        <w:t>7.</w:t>
      </w:r>
      <w:r w:rsidRPr="003C07CD">
        <w:tab/>
        <w:t>Бельгия сочла, что проблемы возникают в связи с выдачей временного свидетельства о допущении только один раз.</w:t>
      </w:r>
    </w:p>
    <w:p w:rsidR="003C07CD" w:rsidRPr="003C07CD" w:rsidRDefault="003C07CD" w:rsidP="00845D69">
      <w:pPr>
        <w:pStyle w:val="SingleTxtGR"/>
      </w:pPr>
      <w:r w:rsidRPr="003C07CD">
        <w:t>8.</w:t>
      </w:r>
      <w:r w:rsidRPr="003C07CD">
        <w:tab/>
        <w:t xml:space="preserve">Выяснилось, что трехмесячного периода для приведения новых и существующих судов (как </w:t>
      </w:r>
      <w:r w:rsidRPr="00197AEE">
        <w:rPr>
          <w:u w:val="single"/>
        </w:rPr>
        <w:t>в техническом, так и в административном отношении</w:t>
      </w:r>
      <w:r w:rsidRPr="003C07CD">
        <w:t>) в соответствие с требованиями приложения к ВОПОГ недостаточно. Выдача только одного свидетельства о допущении ставит под угрозу непрерывность эксплуатации судов, что имеет явные экономические последствия.</w:t>
      </w:r>
    </w:p>
    <w:p w:rsidR="003C07CD" w:rsidRPr="003C07CD" w:rsidRDefault="003C07CD" w:rsidP="00845D69">
      <w:pPr>
        <w:pStyle w:val="SingleTxtGR"/>
      </w:pPr>
      <w:r w:rsidRPr="003C07CD">
        <w:t>9.</w:t>
      </w:r>
      <w:r w:rsidRPr="003C07CD">
        <w:tab/>
        <w:t>Бельгия безоговорочно поддерживает идею ограничения выдачи временного свидетельства о допущении, в соответствии с решением, принятым в рамках Комитета по вопросам безопасности. Бельгия также выступает за принятие реалистичного правила, с тем чтобы избежать повторения процедуры, в соответствии с которой – в нарушение положений пункта 1.16.1.3.1  ВОПОГ – выдаются несколько временных свидетельств о допущении.</w:t>
      </w:r>
    </w:p>
    <w:p w:rsidR="003C07CD" w:rsidRPr="003C07CD" w:rsidRDefault="00B40D5B" w:rsidP="00B40D5B">
      <w:pPr>
        <w:pStyle w:val="HChGR"/>
      </w:pPr>
      <w:r>
        <w:rPr>
          <w:lang w:val="en-US"/>
        </w:rPr>
        <w:tab/>
      </w:r>
      <w:r w:rsidR="003C07CD" w:rsidRPr="003C07CD">
        <w:t>II.</w:t>
      </w:r>
      <w:r w:rsidR="003C07CD" w:rsidRPr="003C07CD">
        <w:tab/>
        <w:t>Предложение</w:t>
      </w:r>
    </w:p>
    <w:p w:rsidR="003C07CD" w:rsidRPr="003C07CD" w:rsidRDefault="003C07CD" w:rsidP="00845D69">
      <w:pPr>
        <w:pStyle w:val="SingleTxtGR"/>
      </w:pPr>
      <w:r w:rsidRPr="003C07CD">
        <w:t>10.</w:t>
      </w:r>
      <w:r w:rsidRPr="003C07CD">
        <w:tab/>
        <w:t>Бельгия предлагает внести в пункт 1.16.1.3.1 ВОПОГ следующие изменения (выделены жирным шрифтом):</w:t>
      </w:r>
    </w:p>
    <w:p w:rsidR="003C07CD" w:rsidRPr="004C1134" w:rsidRDefault="00B40D5B" w:rsidP="004C1134">
      <w:pPr>
        <w:pStyle w:val="SingleTxtGR"/>
        <w:rPr>
          <w:i/>
        </w:rPr>
      </w:pPr>
      <w:r w:rsidRPr="004C1134">
        <w:rPr>
          <w:i/>
        </w:rPr>
        <w:t>«Судну, не имеющему свидетельства о допущении, может быть выдано временное свидетельство о допущении с ограниченным сроком действия в следующих случаях и при соблюдении следующих условий:</w:t>
      </w:r>
    </w:p>
    <w:p w:rsidR="003C07CD" w:rsidRPr="003C07CD" w:rsidRDefault="004C1134" w:rsidP="004C1134">
      <w:pPr>
        <w:pStyle w:val="SingleTxtGR"/>
        <w:ind w:left="2268" w:hanging="1134"/>
        <w:rPr>
          <w:i/>
          <w:iCs/>
        </w:rPr>
      </w:pPr>
      <w:r>
        <w:rPr>
          <w:i/>
          <w:iCs/>
        </w:rPr>
        <w:tab/>
        <w:t>а)</w:t>
      </w:r>
      <w:r>
        <w:rPr>
          <w:i/>
          <w:iCs/>
        </w:rPr>
        <w:tab/>
      </w:r>
      <w:r w:rsidR="003C07CD" w:rsidRPr="003C07CD">
        <w:rPr>
          <w:i/>
          <w:iCs/>
        </w:rPr>
        <w:t>судно удовлетворяет применимым требованиям настоящих Правил, но обычное свидетельство о допущении не удалось своевременно выдать. Временное свидетельство о допущении действительно в течение соответствующего периода времени, который не должен, однако, превышать трех месяцев;</w:t>
      </w:r>
    </w:p>
    <w:p w:rsidR="003C07CD" w:rsidRPr="003C07CD" w:rsidRDefault="004C1134" w:rsidP="004C1134">
      <w:pPr>
        <w:pStyle w:val="SingleTxtGR"/>
        <w:ind w:left="2268" w:hanging="1134"/>
        <w:rPr>
          <w:i/>
          <w:iCs/>
        </w:rPr>
      </w:pPr>
      <w:r>
        <w:rPr>
          <w:i/>
          <w:iCs/>
        </w:rPr>
        <w:tab/>
      </w:r>
      <w:r>
        <w:rPr>
          <w:i/>
          <w:iCs/>
          <w:lang w:val="en-US"/>
        </w:rPr>
        <w:t>b</w:t>
      </w:r>
      <w:r w:rsidRPr="004C1134">
        <w:rPr>
          <w:i/>
          <w:iCs/>
        </w:rPr>
        <w:t>)</w:t>
      </w:r>
      <w:r w:rsidRPr="004C1134">
        <w:rPr>
          <w:i/>
          <w:iCs/>
        </w:rPr>
        <w:tab/>
      </w:r>
      <w:r w:rsidR="003C07CD" w:rsidRPr="003C07CD">
        <w:rPr>
          <w:i/>
          <w:iCs/>
        </w:rPr>
        <w:t>судно не удовлетворяет всем применимым требованиям настоящих Правил, но безопасность перевозки не нарушена согласно оценке компетентного органа.</w:t>
      </w:r>
    </w:p>
    <w:p w:rsidR="003C07CD" w:rsidRPr="003C07CD" w:rsidRDefault="003C07CD" w:rsidP="004C1134">
      <w:pPr>
        <w:pStyle w:val="SingleTxtGR"/>
        <w:ind w:left="2268" w:hanging="1134"/>
        <w:rPr>
          <w:i/>
          <w:iCs/>
        </w:rPr>
      </w:pPr>
      <w:r w:rsidRPr="003C07CD">
        <w:rPr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4F4539" wp14:editId="791F70E6">
                <wp:simplePos x="0" y="0"/>
                <wp:positionH relativeFrom="page">
                  <wp:posOffset>5135880</wp:posOffset>
                </wp:positionH>
                <wp:positionV relativeFrom="paragraph">
                  <wp:posOffset>312420</wp:posOffset>
                </wp:positionV>
                <wp:extent cx="34925" cy="7620"/>
                <wp:effectExtent l="1905" t="0" r="1270" b="3810"/>
                <wp:wrapNone/>
                <wp:docPr id="5" name="48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5F16" id="48498" o:spid="_x0000_s1026" style="position:absolute;margin-left:404.4pt;margin-top:24.6pt;width:2.7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="004C1134" w:rsidRPr="004C1134">
        <w:rPr>
          <w:i/>
          <w:iCs/>
        </w:rPr>
        <w:tab/>
      </w:r>
      <w:r w:rsidR="004C1134" w:rsidRPr="004C1134">
        <w:rPr>
          <w:i/>
          <w:iCs/>
        </w:rPr>
        <w:tab/>
      </w:r>
      <w:r w:rsidRPr="003C07CD">
        <w:rPr>
          <w:i/>
          <w:iCs/>
        </w:rPr>
        <w:t xml:space="preserve">Временное свидетельство о допущении </w:t>
      </w:r>
      <w:r w:rsidRPr="004F15A9">
        <w:rPr>
          <w:b/>
          <w:i/>
          <w:iCs/>
          <w:strike/>
        </w:rPr>
        <w:t>выдается только один раз и</w:t>
      </w:r>
      <w:r w:rsidRPr="003C07CD">
        <w:rPr>
          <w:i/>
          <w:iCs/>
        </w:rPr>
        <w:t xml:space="preserve"> действительно в течение соответствующего периода времени, необходимого для приведения судна в соответствие с применимыми положениями</w:t>
      </w:r>
      <w:r w:rsidRPr="004F15A9">
        <w:rPr>
          <w:b/>
          <w:i/>
          <w:iCs/>
          <w:strike/>
        </w:rPr>
        <w:t>, который не должен, однако, превышать трех месяцев.</w:t>
      </w:r>
    </w:p>
    <w:p w:rsidR="003C07CD" w:rsidRPr="004F15A9" w:rsidRDefault="004F15A9" w:rsidP="004C1134">
      <w:pPr>
        <w:pStyle w:val="SingleTxtGR"/>
        <w:ind w:left="2268" w:hanging="1134"/>
        <w:rPr>
          <w:b/>
          <w:i/>
          <w:iCs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="003C07CD" w:rsidRPr="004F15A9">
        <w:rPr>
          <w:b/>
          <w:i/>
          <w:iCs/>
        </w:rPr>
        <w:t>Судам, которые прошли первоначальный осмотр, упомянутый в разделе 1.16.8 ВОПОГ, временное свидетельство о допущении может последовательно выдаваться не более трех раз, при этом каждое такое свидетельство имеет срок действия не более трех месяцев.</w:t>
      </w:r>
    </w:p>
    <w:p w:rsidR="003C07CD" w:rsidRPr="004F15A9" w:rsidRDefault="004F15A9" w:rsidP="004C1134">
      <w:pPr>
        <w:pStyle w:val="SingleTxtGR"/>
        <w:ind w:left="2268" w:hanging="1134"/>
        <w:rPr>
          <w:b/>
          <w:i/>
          <w:iCs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="003C07CD" w:rsidRPr="004F15A9">
        <w:rPr>
          <w:b/>
          <w:i/>
          <w:iCs/>
        </w:rPr>
        <w:t>Судам, на которые распространяю</w:t>
      </w:r>
      <w:r w:rsidR="000F2BBD">
        <w:rPr>
          <w:b/>
          <w:i/>
          <w:iCs/>
        </w:rPr>
        <w:t>тся требования пунктов </w:t>
      </w:r>
      <w:r w:rsidR="000F2BBD" w:rsidRPr="004F15A9">
        <w:rPr>
          <w:b/>
          <w:i/>
          <w:iCs/>
        </w:rPr>
        <w:t xml:space="preserve">7.1.2.19.1 </w:t>
      </w:r>
      <w:r w:rsidR="000F2BBD">
        <w:rPr>
          <w:b/>
          <w:i/>
          <w:iCs/>
        </w:rPr>
        <w:t xml:space="preserve">и </w:t>
      </w:r>
      <w:r w:rsidR="003C07CD" w:rsidRPr="004F15A9">
        <w:rPr>
          <w:b/>
          <w:i/>
          <w:iCs/>
        </w:rPr>
        <w:t>7.2.2.19.3 ВОПОГ, и судам, которые подпадают под действие требований раздела 1.16.10 ВОПОГ, временное свидетельство о допущении может последовательно выдаваться не более двух раз, при этом каждое такое свидетельство имеет срок действия не более трех месяцев.</w:t>
      </w:r>
    </w:p>
    <w:p w:rsidR="003C07CD" w:rsidRPr="003C07CD" w:rsidRDefault="004F15A9" w:rsidP="004C1134">
      <w:pPr>
        <w:pStyle w:val="SingleTxtGR"/>
        <w:ind w:left="2268" w:hanging="1134"/>
        <w:rPr>
          <w:i/>
          <w:iCs/>
        </w:rPr>
      </w:pPr>
      <w:r w:rsidRPr="000F2BBD">
        <w:rPr>
          <w:i/>
          <w:iCs/>
        </w:rPr>
        <w:tab/>
      </w:r>
      <w:r w:rsidRPr="000F2BBD">
        <w:rPr>
          <w:i/>
          <w:iCs/>
        </w:rPr>
        <w:tab/>
      </w:r>
      <w:r w:rsidR="003C07CD" w:rsidRPr="003C07CD">
        <w:rPr>
          <w:i/>
          <w:iCs/>
        </w:rPr>
        <w:t>Компетентный орган может запросить дополнительные отчеты в дополнение к отчету об осмотре и может предусмотреть дополни</w:t>
      </w:r>
      <w:r w:rsidR="000F2BBD">
        <w:rPr>
          <w:i/>
          <w:iCs/>
        </w:rPr>
        <w:t>тельные условия.</w:t>
      </w:r>
    </w:p>
    <w:p w:rsidR="003C07CD" w:rsidRPr="003C07CD" w:rsidRDefault="004F15A9" w:rsidP="004C1134">
      <w:pPr>
        <w:pStyle w:val="SingleTxtGR"/>
        <w:ind w:left="2268" w:hanging="1134"/>
        <w:rPr>
          <w:i/>
          <w:iCs/>
        </w:rPr>
      </w:pPr>
      <w:r w:rsidRPr="000F2BBD">
        <w:rPr>
          <w:i/>
          <w:iCs/>
        </w:rPr>
        <w:tab/>
      </w:r>
      <w:r w:rsidRPr="000F2BBD">
        <w:rPr>
          <w:i/>
          <w:iCs/>
        </w:rPr>
        <w:tab/>
      </w:r>
      <w:r w:rsidR="003C07CD" w:rsidRPr="00197AEE">
        <w:rPr>
          <w:b/>
          <w:i/>
          <w:iCs/>
        </w:rPr>
        <w:t>ПРИМЕЧАНИЕ</w:t>
      </w:r>
      <w:r w:rsidR="003C07CD" w:rsidRPr="003C07CD">
        <w:rPr>
          <w:i/>
          <w:iCs/>
        </w:rPr>
        <w:t>: Для выдачи окончательного свидетельства о допущении в соответствии с подразделом 1.16.1.2 должен быть подготовлен новый отчет об о</w:t>
      </w:r>
      <w:r w:rsidR="000F2BBD">
        <w:rPr>
          <w:i/>
          <w:iCs/>
        </w:rPr>
        <w:t>смотре в соответствии с пунктом </w:t>
      </w:r>
      <w:r w:rsidR="003C07CD" w:rsidRPr="003C07CD">
        <w:rPr>
          <w:i/>
          <w:iCs/>
        </w:rPr>
        <w:t>1.16.3.1, удостоверяющий соответствие также всем тем требованиям настоящих Правил, которые до этого не были выполнены;</w:t>
      </w:r>
    </w:p>
    <w:p w:rsidR="003C07CD" w:rsidRPr="00DA65E8" w:rsidRDefault="004F15A9" w:rsidP="004C1134">
      <w:pPr>
        <w:pStyle w:val="SingleTxtGR"/>
        <w:ind w:left="2268" w:hanging="1134"/>
        <w:rPr>
          <w:i/>
          <w:iCs/>
        </w:rPr>
      </w:pPr>
      <w:r w:rsidRPr="000F2BBD">
        <w:rPr>
          <w:i/>
          <w:iCs/>
        </w:rPr>
        <w:tab/>
      </w:r>
      <w:r>
        <w:rPr>
          <w:i/>
          <w:iCs/>
          <w:lang w:val="en-US"/>
        </w:rPr>
        <w:t>c</w:t>
      </w:r>
      <w:r w:rsidRPr="004F15A9">
        <w:rPr>
          <w:i/>
          <w:iCs/>
        </w:rPr>
        <w:t>)</w:t>
      </w:r>
      <w:r w:rsidRPr="004F15A9">
        <w:rPr>
          <w:i/>
          <w:iCs/>
        </w:rPr>
        <w:tab/>
      </w:r>
      <w:r w:rsidR="003C07CD" w:rsidRPr="003C07CD">
        <w:rPr>
          <w:i/>
          <w:iCs/>
        </w:rPr>
        <w:t xml:space="preserve">судно вследствие повреждения удовлетворяет не всем применимым предписаниям настоящих Правил. В этом случае временное свидетельство о допущении действительно лишь на один рейс и для конкретно указанного груза. </w:t>
      </w:r>
      <w:r w:rsidR="00197AEE" w:rsidRPr="002635D0">
        <w:rPr>
          <w:i/>
          <w:iCs/>
        </w:rPr>
        <w:t>Компетентный орган может наложить дополнительные ограничения.</w:t>
      </w:r>
      <w:r w:rsidR="00DA65E8">
        <w:rPr>
          <w:i/>
          <w:iCs/>
        </w:rPr>
        <w:t>».</w:t>
      </w:r>
    </w:p>
    <w:p w:rsidR="003C07CD" w:rsidRPr="003C07CD" w:rsidRDefault="003C07CD" w:rsidP="00845D69">
      <w:pPr>
        <w:pStyle w:val="SingleTxtGR"/>
      </w:pPr>
      <w:r w:rsidRPr="003C07CD">
        <w:t>11.</w:t>
      </w:r>
      <w:r w:rsidRPr="003C07CD">
        <w:tab/>
        <w:t>Бельгия любезно просит Председателя Комитета по вопросам безопасности приступить к обсуждению вышеупомянутого предложения.</w:t>
      </w:r>
    </w:p>
    <w:p w:rsidR="004F15A9" w:rsidRDefault="003C07CD" w:rsidP="004F15A9">
      <w:pPr>
        <w:pStyle w:val="SingleTxtGR"/>
        <w:rPr>
          <w:lang w:val="en-US"/>
        </w:rPr>
      </w:pPr>
      <w:r w:rsidRPr="003C07CD">
        <w:t>12.</w:t>
      </w:r>
      <w:r w:rsidRPr="003C07CD">
        <w:tab/>
        <w:t>В случае одобрения Комитетом по вопросам безопасности этих изменений Бельгия предложи</w:t>
      </w:r>
      <w:r w:rsidRPr="004F15A9">
        <w:t>т разработать многостороннее соглашение, касающееся внесения изменений в</w:t>
      </w:r>
      <w:r w:rsidRPr="003C07CD">
        <w:t xml:space="preserve"> пункт 1.16.1.3.1 ВОПОГ, для подписания участниками этого соглашения.</w:t>
      </w:r>
    </w:p>
    <w:p w:rsidR="00E12C5F" w:rsidRPr="004F15A9" w:rsidRDefault="004F15A9" w:rsidP="004F15A9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12C5F" w:rsidRPr="004F15A9" w:rsidSect="003C07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F6" w:rsidRPr="00A312BC" w:rsidRDefault="00C056F6" w:rsidP="00A312BC"/>
  </w:endnote>
  <w:endnote w:type="continuationSeparator" w:id="0">
    <w:p w:rsidR="00C056F6" w:rsidRPr="00A312BC" w:rsidRDefault="00C056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CD" w:rsidRPr="003C07CD" w:rsidRDefault="003C07CD">
    <w:pPr>
      <w:pStyle w:val="Footer"/>
    </w:pPr>
    <w:r w:rsidRPr="003C07CD">
      <w:rPr>
        <w:b/>
        <w:sz w:val="18"/>
      </w:rPr>
      <w:fldChar w:fldCharType="begin"/>
    </w:r>
    <w:r w:rsidRPr="003C07CD">
      <w:rPr>
        <w:b/>
        <w:sz w:val="18"/>
      </w:rPr>
      <w:instrText xml:space="preserve"> PAGE  \* MERGEFORMAT </w:instrText>
    </w:r>
    <w:r w:rsidRPr="003C07CD">
      <w:rPr>
        <w:b/>
        <w:sz w:val="18"/>
      </w:rPr>
      <w:fldChar w:fldCharType="separate"/>
    </w:r>
    <w:r w:rsidR="00C8074A">
      <w:rPr>
        <w:b/>
        <w:noProof/>
        <w:sz w:val="18"/>
      </w:rPr>
      <w:t>2</w:t>
    </w:r>
    <w:r w:rsidRPr="003C07CD">
      <w:rPr>
        <w:b/>
        <w:sz w:val="18"/>
      </w:rPr>
      <w:fldChar w:fldCharType="end"/>
    </w:r>
    <w:r>
      <w:rPr>
        <w:b/>
        <w:sz w:val="18"/>
      </w:rPr>
      <w:tab/>
    </w:r>
    <w:r>
      <w:t>GE.17-08203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CD" w:rsidRPr="003C07CD" w:rsidRDefault="003C07CD" w:rsidP="003C07C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GE.17-08203</w:t>
    </w:r>
    <w:r>
      <w:tab/>
    </w:r>
    <w:r w:rsidRPr="003C07CD">
      <w:rPr>
        <w:b/>
        <w:sz w:val="18"/>
      </w:rPr>
      <w:fldChar w:fldCharType="begin"/>
    </w:r>
    <w:r w:rsidRPr="003C07CD">
      <w:rPr>
        <w:b/>
        <w:sz w:val="18"/>
      </w:rPr>
      <w:instrText xml:space="preserve"> PAGE  \* MERGEFORMAT </w:instrText>
    </w:r>
    <w:r w:rsidRPr="003C07CD">
      <w:rPr>
        <w:b/>
        <w:sz w:val="18"/>
      </w:rPr>
      <w:fldChar w:fldCharType="separate"/>
    </w:r>
    <w:r w:rsidR="00C8074A">
      <w:rPr>
        <w:b/>
        <w:noProof/>
        <w:sz w:val="18"/>
      </w:rPr>
      <w:t>5</w:t>
    </w:r>
    <w:r w:rsidRPr="003C07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C07CD" w:rsidRDefault="003C07CD" w:rsidP="003C07C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C21CE4B" wp14:editId="57F3CB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17-08203  (R)</w:t>
    </w:r>
    <w:r>
      <w:rPr>
        <w:lang w:val="en-US"/>
      </w:rPr>
      <w:t xml:space="preserve">  140617  140617</w:t>
    </w:r>
    <w:r>
      <w:br/>
    </w:r>
    <w:r w:rsidRPr="003C07CD">
      <w:rPr>
        <w:rFonts w:ascii="C39T30Lfz" w:hAnsi="C39T30Lfz"/>
        <w:spacing w:val="0"/>
        <w:w w:val="100"/>
        <w:sz w:val="56"/>
      </w:rPr>
      <w:t></w:t>
    </w:r>
    <w:r w:rsidRPr="003C07CD">
      <w:rPr>
        <w:rFonts w:ascii="C39T30Lfz" w:hAnsi="C39T30Lfz"/>
        <w:spacing w:val="0"/>
        <w:w w:val="100"/>
        <w:sz w:val="56"/>
      </w:rPr>
      <w:t></w:t>
    </w:r>
    <w:r w:rsidRPr="003C07CD">
      <w:rPr>
        <w:rFonts w:ascii="C39T30Lfz" w:hAnsi="C39T30Lfz"/>
        <w:spacing w:val="0"/>
        <w:w w:val="100"/>
        <w:sz w:val="56"/>
      </w:rPr>
      <w:t></w:t>
    </w:r>
    <w:r w:rsidRPr="003C07CD">
      <w:rPr>
        <w:rFonts w:ascii="C39T30Lfz" w:hAnsi="C39T30Lfz"/>
        <w:spacing w:val="0"/>
        <w:w w:val="100"/>
        <w:sz w:val="56"/>
      </w:rPr>
      <w:t></w:t>
    </w:r>
    <w:r w:rsidRPr="003C07CD">
      <w:rPr>
        <w:rFonts w:ascii="C39T30Lfz" w:hAnsi="C39T30Lfz"/>
        <w:spacing w:val="0"/>
        <w:w w:val="100"/>
        <w:sz w:val="56"/>
      </w:rPr>
      <w:t></w:t>
    </w:r>
    <w:r w:rsidRPr="003C07CD">
      <w:rPr>
        <w:rFonts w:ascii="C39T30Lfz" w:hAnsi="C39T30Lfz"/>
        <w:spacing w:val="0"/>
        <w:w w:val="100"/>
        <w:sz w:val="56"/>
      </w:rPr>
      <w:t></w:t>
    </w:r>
    <w:r w:rsidRPr="003C07CD">
      <w:rPr>
        <w:rFonts w:ascii="C39T30Lfz" w:hAnsi="C39T30Lfz"/>
        <w:spacing w:val="0"/>
        <w:w w:val="100"/>
        <w:sz w:val="56"/>
      </w:rPr>
      <w:t></w:t>
    </w:r>
    <w:r w:rsidRPr="003C07CD">
      <w:rPr>
        <w:rFonts w:ascii="C39T30Lfz" w:hAnsi="C39T30Lfz"/>
        <w:spacing w:val="0"/>
        <w:w w:val="100"/>
        <w:sz w:val="56"/>
      </w:rPr>
      <w:t></w:t>
    </w:r>
    <w:r w:rsidRPr="003C07C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3EE1CFF5" wp14:editId="77F3B3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F6" w:rsidRPr="001075E9" w:rsidRDefault="00C056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56F6" w:rsidRDefault="00C056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45D69" w:rsidRPr="00845D69" w:rsidRDefault="00845D69">
      <w:pPr>
        <w:pStyle w:val="FootnoteText"/>
        <w:rPr>
          <w:sz w:val="20"/>
          <w:lang w:val="ru-RU"/>
        </w:rPr>
      </w:pPr>
      <w:r>
        <w:tab/>
      </w:r>
      <w:r w:rsidRPr="00845D69">
        <w:rPr>
          <w:rStyle w:val="FootnoteReference"/>
          <w:sz w:val="20"/>
          <w:vertAlign w:val="baseline"/>
          <w:lang w:val="ru-RU"/>
        </w:rPr>
        <w:t>*</w:t>
      </w:r>
      <w:r w:rsidRPr="00845D69">
        <w:rPr>
          <w:rStyle w:val="FootnoteReference"/>
          <w:vertAlign w:val="baseline"/>
          <w:lang w:val="ru-RU"/>
        </w:rPr>
        <w:tab/>
      </w:r>
      <w:r w:rsidRPr="00845D69">
        <w:rPr>
          <w:lang w:val="ru-RU"/>
        </w:rPr>
        <w:t xml:space="preserve">Распространено на немецком языке ЦКСР под условным обозначением </w:t>
      </w:r>
      <w:r w:rsidR="00C4781E" w:rsidRPr="00C4781E">
        <w:rPr>
          <w:lang w:val="en-US"/>
        </w:rPr>
        <w:t>CCNR</w:t>
      </w:r>
      <w:r w:rsidR="00C4781E" w:rsidRPr="00C4781E">
        <w:rPr>
          <w:lang w:val="ru-RU"/>
        </w:rPr>
        <w:t>-</w:t>
      </w:r>
      <w:r w:rsidRPr="00845D69">
        <w:rPr>
          <w:lang w:val="ru-RU"/>
        </w:rPr>
        <w:t>ZKR/</w:t>
      </w:r>
      <w:r w:rsidR="00C4781E">
        <w:rPr>
          <w:lang w:val="ru-RU"/>
        </w:rPr>
        <w:br/>
      </w:r>
      <w:r w:rsidRPr="00845D69">
        <w:rPr>
          <w:lang w:val="ru-RU"/>
        </w:rPr>
        <w:t>ADN/WP.15/AC.2/2017/23.</w:t>
      </w:r>
    </w:p>
  </w:footnote>
  <w:footnote w:id="2">
    <w:p w:rsidR="00845D69" w:rsidRPr="00845D69" w:rsidRDefault="00845D69">
      <w:pPr>
        <w:pStyle w:val="FootnoteText"/>
        <w:rPr>
          <w:sz w:val="20"/>
          <w:lang w:val="ru-RU"/>
        </w:rPr>
      </w:pPr>
      <w:r w:rsidRPr="00C4781E">
        <w:rPr>
          <w:lang w:val="ru-RU"/>
        </w:rPr>
        <w:tab/>
      </w:r>
      <w:r w:rsidRPr="00845D69">
        <w:rPr>
          <w:rStyle w:val="FootnoteReference"/>
          <w:sz w:val="20"/>
          <w:vertAlign w:val="baseline"/>
          <w:lang w:val="ru-RU"/>
        </w:rPr>
        <w:t>**</w:t>
      </w:r>
      <w:r w:rsidRPr="00845D69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197AEE" w:rsidRPr="00197AEE">
        <w:rPr>
          <w:lang w:val="ru-RU"/>
        </w:rPr>
        <w:br/>
      </w:r>
      <w:r>
        <w:rPr>
          <w:lang w:val="ru-RU"/>
        </w:rPr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CD" w:rsidRPr="003C07CD" w:rsidRDefault="00C8074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CD" w:rsidRPr="003C07CD" w:rsidRDefault="00C8074A" w:rsidP="003C07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45AA"/>
    <w:multiLevelType w:val="hybridMultilevel"/>
    <w:tmpl w:val="BC68548A"/>
    <w:lvl w:ilvl="0" w:tplc="5E22A8CC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E04F5"/>
    <w:multiLevelType w:val="hybridMultilevel"/>
    <w:tmpl w:val="BB6E0DDE"/>
    <w:lvl w:ilvl="0" w:tplc="5E22A8CC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6827861"/>
    <w:multiLevelType w:val="hybridMultilevel"/>
    <w:tmpl w:val="D416E854"/>
    <w:lvl w:ilvl="0" w:tplc="5E22A8CC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C0732"/>
    <w:multiLevelType w:val="hybridMultilevel"/>
    <w:tmpl w:val="5ED22102"/>
    <w:lvl w:ilvl="0" w:tplc="5E22A8CC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3"/>
  </w:num>
  <w:num w:numId="18">
    <w:abstractNumId w:val="17"/>
  </w:num>
  <w:num w:numId="19">
    <w:abstractNumId w:val="12"/>
    <w:lvlOverride w:ilvl="0">
      <w:lvl w:ilvl="0" w:tplc="5E22A8CC">
        <w:start w:val="1"/>
        <w:numFmt w:val="lowerLetter"/>
        <w:lvlText w:val="%1)"/>
        <w:lvlJc w:val="left"/>
        <w:pPr>
          <w:ind w:left="1854" w:hanging="360"/>
        </w:pPr>
        <w:rPr>
          <w:rFonts w:ascii="Times New Roman" w:eastAsia="Times New Roman" w:hAnsi="Times New Roman" w:cs="Times New Roman" w:hint="default"/>
          <w:i/>
          <w:w w:val="100"/>
          <w:sz w:val="22"/>
          <w:szCs w:val="22"/>
        </w:rPr>
      </w:lvl>
    </w:lvlOverride>
  </w:num>
  <w:num w:numId="20">
    <w:abstractNumId w:val="14"/>
    <w:lvlOverride w:ilvl="0">
      <w:lvl w:ilvl="0" w:tplc="5E22A8CC">
        <w:start w:val="1"/>
        <w:numFmt w:val="lowerLetter"/>
        <w:lvlText w:val="%1)"/>
        <w:lvlJc w:val="left"/>
        <w:pPr>
          <w:ind w:left="1854" w:hanging="360"/>
        </w:pPr>
        <w:rPr>
          <w:rFonts w:ascii="Times New Roman" w:eastAsia="Times New Roman" w:hAnsi="Times New Roman" w:cs="Times New Roman" w:hint="default"/>
          <w:i/>
          <w:w w:val="100"/>
          <w:sz w:val="22"/>
          <w:szCs w:val="22"/>
        </w:rPr>
      </w:lvl>
    </w:lvlOverride>
  </w:num>
  <w:num w:numId="21">
    <w:abstractNumId w:val="15"/>
    <w:lvlOverride w:ilvl="0">
      <w:lvl w:ilvl="0" w:tplc="5E22A8CC">
        <w:start w:val="1"/>
        <w:numFmt w:val="lowerLetter"/>
        <w:lvlText w:val="%1)"/>
        <w:lvlJc w:val="left"/>
        <w:pPr>
          <w:ind w:left="1854" w:hanging="360"/>
        </w:pPr>
        <w:rPr>
          <w:rFonts w:ascii="Times New Roman" w:eastAsia="Times New Roman" w:hAnsi="Times New Roman" w:cs="Times New Roman" w:hint="default"/>
          <w:i/>
          <w:w w:val="100"/>
          <w:sz w:val="22"/>
          <w:szCs w:val="22"/>
        </w:rPr>
      </w:lvl>
    </w:lvlOverride>
  </w:num>
  <w:num w:numId="22">
    <w:abstractNumId w:val="18"/>
    <w:lvlOverride w:ilvl="0">
      <w:lvl w:ilvl="0" w:tplc="5E22A8CC">
        <w:start w:val="1"/>
        <w:numFmt w:val="lowerLetter"/>
        <w:lvlText w:val="%1)"/>
        <w:lvlJc w:val="left"/>
        <w:pPr>
          <w:ind w:left="1854" w:hanging="360"/>
        </w:pPr>
        <w:rPr>
          <w:rFonts w:ascii="Times New Roman" w:eastAsia="Times New Roman" w:hAnsi="Times New Roman" w:cs="Times New Roman" w:hint="default"/>
          <w:i/>
          <w:w w:val="100"/>
          <w:sz w:val="22"/>
          <w:szCs w:val="22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F6"/>
    <w:rsid w:val="00033EE1"/>
    <w:rsid w:val="00042B72"/>
    <w:rsid w:val="00046DB2"/>
    <w:rsid w:val="000558BD"/>
    <w:rsid w:val="000B57E7"/>
    <w:rsid w:val="000B6373"/>
    <w:rsid w:val="000E4E5B"/>
    <w:rsid w:val="000F09DF"/>
    <w:rsid w:val="000F2BBD"/>
    <w:rsid w:val="000F61B2"/>
    <w:rsid w:val="001075E9"/>
    <w:rsid w:val="0014152F"/>
    <w:rsid w:val="00180183"/>
    <w:rsid w:val="0018024D"/>
    <w:rsid w:val="0018649F"/>
    <w:rsid w:val="00196389"/>
    <w:rsid w:val="00197AEE"/>
    <w:rsid w:val="001B3EF6"/>
    <w:rsid w:val="001C7A89"/>
    <w:rsid w:val="001E0754"/>
    <w:rsid w:val="001F0F8D"/>
    <w:rsid w:val="00255343"/>
    <w:rsid w:val="0027151D"/>
    <w:rsid w:val="0028603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25C5"/>
    <w:rsid w:val="003958D0"/>
    <w:rsid w:val="003A0D43"/>
    <w:rsid w:val="003A48CE"/>
    <w:rsid w:val="003B00E5"/>
    <w:rsid w:val="003C07CD"/>
    <w:rsid w:val="00407B78"/>
    <w:rsid w:val="00424203"/>
    <w:rsid w:val="00452493"/>
    <w:rsid w:val="00453318"/>
    <w:rsid w:val="00454AF2"/>
    <w:rsid w:val="00454E07"/>
    <w:rsid w:val="00472C5C"/>
    <w:rsid w:val="004C1134"/>
    <w:rsid w:val="004E05B7"/>
    <w:rsid w:val="004F15A9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4FB2"/>
    <w:rsid w:val="006345DB"/>
    <w:rsid w:val="00640F49"/>
    <w:rsid w:val="0066190F"/>
    <w:rsid w:val="00680D03"/>
    <w:rsid w:val="00681A10"/>
    <w:rsid w:val="006A1ED8"/>
    <w:rsid w:val="006C2031"/>
    <w:rsid w:val="006D1111"/>
    <w:rsid w:val="006D461A"/>
    <w:rsid w:val="006F35EE"/>
    <w:rsid w:val="007021FF"/>
    <w:rsid w:val="00712895"/>
    <w:rsid w:val="00734ACB"/>
    <w:rsid w:val="00757357"/>
    <w:rsid w:val="00792497"/>
    <w:rsid w:val="007A769D"/>
    <w:rsid w:val="007C5451"/>
    <w:rsid w:val="00806737"/>
    <w:rsid w:val="00825F8D"/>
    <w:rsid w:val="00834B71"/>
    <w:rsid w:val="00845D69"/>
    <w:rsid w:val="0086445C"/>
    <w:rsid w:val="00894693"/>
    <w:rsid w:val="008A08D7"/>
    <w:rsid w:val="008A37C8"/>
    <w:rsid w:val="008B6909"/>
    <w:rsid w:val="008C2399"/>
    <w:rsid w:val="008D08BA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6778F"/>
    <w:rsid w:val="00A84021"/>
    <w:rsid w:val="00A84D35"/>
    <w:rsid w:val="00A917B3"/>
    <w:rsid w:val="00AB3864"/>
    <w:rsid w:val="00AB4B51"/>
    <w:rsid w:val="00B10CC7"/>
    <w:rsid w:val="00B36DF7"/>
    <w:rsid w:val="00B40D5B"/>
    <w:rsid w:val="00B539E7"/>
    <w:rsid w:val="00B62458"/>
    <w:rsid w:val="00BC18B2"/>
    <w:rsid w:val="00BD33EE"/>
    <w:rsid w:val="00BE1CC7"/>
    <w:rsid w:val="00C056F6"/>
    <w:rsid w:val="00C106D6"/>
    <w:rsid w:val="00C119AE"/>
    <w:rsid w:val="00C43799"/>
    <w:rsid w:val="00C4781E"/>
    <w:rsid w:val="00C60F0C"/>
    <w:rsid w:val="00C805C9"/>
    <w:rsid w:val="00C8074A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A65E8"/>
    <w:rsid w:val="00DD78D1"/>
    <w:rsid w:val="00DE32CD"/>
    <w:rsid w:val="00DF5767"/>
    <w:rsid w:val="00DF71B9"/>
    <w:rsid w:val="00E12C5F"/>
    <w:rsid w:val="00E5154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D7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8524F3-00C5-4F1B-8585-2D90EBBA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ECE/TRANS/WP.15/AC.2/2017/23</vt:lpstr>
      <vt:lpstr>ECE/TRANS/WP.15/AC.2/2017/23</vt:lpstr>
      <vt:lpstr>A/</vt:lpstr>
    </vt:vector>
  </TitlesOfParts>
  <Company>DCM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ECE/TRANS/WP.15/AC.2/2017/23</dc:title>
  <dc:subject/>
  <dc:creator>Izotova Elena</dc:creator>
  <cp:keywords/>
  <cp:lastModifiedBy>Marie-Claude Collet</cp:lastModifiedBy>
  <cp:revision>3</cp:revision>
  <cp:lastPrinted>2017-07-10T05:43:00Z</cp:lastPrinted>
  <dcterms:created xsi:type="dcterms:W3CDTF">2017-07-10T05:42:00Z</dcterms:created>
  <dcterms:modified xsi:type="dcterms:W3CDTF">2017-07-10T05:43:00Z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