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947FB">
              <w:fldChar w:fldCharType="begin"/>
            </w:r>
            <w:r w:rsidR="00E947FB">
              <w:instrText xml:space="preserve"> FILLIN  "Введите символ после ЕCE/"  \* MERGEFORMAT </w:instrText>
            </w:r>
            <w:r w:rsidR="00E947FB">
              <w:fldChar w:fldCharType="separate"/>
            </w:r>
            <w:r w:rsidR="002802CC">
              <w:t>TRANS/WP.15/AC.2/2017/17</w:t>
            </w:r>
            <w:r w:rsidR="00E947F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947F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802CC">
                <w:t>4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947F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802CC" w:rsidRPr="002802CC" w:rsidRDefault="002802CC" w:rsidP="002802CC">
      <w:pPr>
        <w:spacing w:before="120" w:line="240" w:lineRule="auto"/>
        <w:rPr>
          <w:sz w:val="28"/>
          <w:szCs w:val="28"/>
        </w:rPr>
      </w:pPr>
      <w:r w:rsidRPr="002802CC">
        <w:rPr>
          <w:sz w:val="28"/>
          <w:szCs w:val="28"/>
        </w:rPr>
        <w:t>Комитет по внутреннему транспорту</w:t>
      </w:r>
    </w:p>
    <w:p w:rsidR="002802CC" w:rsidRPr="002802CC" w:rsidRDefault="002802CC" w:rsidP="002802CC">
      <w:pPr>
        <w:spacing w:before="120" w:line="240" w:lineRule="auto"/>
        <w:rPr>
          <w:b/>
          <w:bCs/>
          <w:sz w:val="24"/>
          <w:szCs w:val="24"/>
        </w:rPr>
      </w:pPr>
      <w:r w:rsidRPr="002802CC">
        <w:rPr>
          <w:b/>
          <w:bCs/>
          <w:sz w:val="24"/>
          <w:szCs w:val="24"/>
        </w:rPr>
        <w:t>Рабочая группа по перевозкам опасных грузов</w:t>
      </w:r>
    </w:p>
    <w:p w:rsidR="002802CC" w:rsidRPr="002802CC" w:rsidRDefault="002802CC" w:rsidP="002802CC">
      <w:pPr>
        <w:spacing w:before="120" w:line="240" w:lineRule="auto"/>
        <w:rPr>
          <w:b/>
          <w:bCs/>
        </w:rPr>
      </w:pPr>
      <w:r w:rsidRPr="002802CC">
        <w:rPr>
          <w:b/>
          <w:bCs/>
        </w:rPr>
        <w:t>Совместное совещание экспертов по Правилам,</w:t>
      </w:r>
      <w:r w:rsidRPr="002802CC">
        <w:rPr>
          <w:b/>
          <w:bCs/>
        </w:rPr>
        <w:br/>
        <w:t>прилагаемым к Европейскому соглашению</w:t>
      </w:r>
      <w:r w:rsidRPr="002802CC">
        <w:rPr>
          <w:b/>
          <w:bCs/>
        </w:rPr>
        <w:br/>
        <w:t>о международной перевозке опасных грузов</w:t>
      </w:r>
      <w:r w:rsidRPr="002802CC">
        <w:rPr>
          <w:b/>
          <w:bCs/>
        </w:rPr>
        <w:br/>
        <w:t>по внутренним водным путям (ВОПОГ)</w:t>
      </w:r>
      <w:r w:rsidRPr="002802CC">
        <w:rPr>
          <w:b/>
          <w:bCs/>
        </w:rPr>
        <w:br/>
        <w:t>(Комитет по вопросам безопасности ВОПОГ)</w:t>
      </w:r>
    </w:p>
    <w:p w:rsidR="002802CC" w:rsidRPr="002802CC" w:rsidRDefault="002802CC" w:rsidP="002802CC">
      <w:pPr>
        <w:spacing w:before="120" w:line="240" w:lineRule="auto"/>
        <w:rPr>
          <w:b/>
          <w:bCs/>
        </w:rPr>
      </w:pPr>
      <w:r w:rsidRPr="002802CC">
        <w:rPr>
          <w:b/>
          <w:bCs/>
        </w:rPr>
        <w:t>Тридцатая сессия</w:t>
      </w:r>
    </w:p>
    <w:p w:rsidR="002802CC" w:rsidRPr="002802CC" w:rsidRDefault="002802CC" w:rsidP="002802CC">
      <w:pPr>
        <w:spacing w:line="240" w:lineRule="auto"/>
      </w:pPr>
      <w:r w:rsidRPr="002802CC">
        <w:t>Женева, 23–27 января 2017 года</w:t>
      </w:r>
    </w:p>
    <w:p w:rsidR="002802CC" w:rsidRPr="002802CC" w:rsidRDefault="002802CC" w:rsidP="002802CC">
      <w:pPr>
        <w:spacing w:line="240" w:lineRule="auto"/>
      </w:pPr>
      <w:r w:rsidRPr="002802CC">
        <w:t>Пункт 6 предварительной повестки дня</w:t>
      </w:r>
    </w:p>
    <w:p w:rsidR="00A658DB" w:rsidRPr="002802CC" w:rsidRDefault="002802CC" w:rsidP="002802CC">
      <w:pPr>
        <w:spacing w:line="240" w:lineRule="auto"/>
      </w:pPr>
      <w:r w:rsidRPr="002802CC">
        <w:rPr>
          <w:b/>
        </w:rPr>
        <w:t>Доклады неофициальных рабочих групп</w:t>
      </w:r>
    </w:p>
    <w:p w:rsidR="002802CC" w:rsidRPr="002802CC" w:rsidRDefault="002802CC" w:rsidP="002802C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802CC">
        <w:t>Доклад неофициальной рабочей группы по СПГ</w:t>
      </w:r>
    </w:p>
    <w:p w:rsidR="002802CC" w:rsidRPr="002802CC" w:rsidRDefault="002802CC" w:rsidP="002802CC">
      <w:pPr>
        <w:pStyle w:val="H1GR"/>
      </w:pPr>
      <w:r w:rsidRPr="002802CC">
        <w:tab/>
      </w:r>
      <w:r w:rsidRPr="002802CC">
        <w:tab/>
        <w:t>Передано правительствами Нидерландов и Швейцарии</w:t>
      </w:r>
      <w:r w:rsidRPr="002802CC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2802CC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2802CC" w:rsidRPr="002802CC" w:rsidRDefault="002802CC" w:rsidP="002802C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802CC">
        <w:t>Введение</w:t>
      </w:r>
    </w:p>
    <w:p w:rsidR="002802CC" w:rsidRPr="002802CC" w:rsidRDefault="002802CC" w:rsidP="002802CC">
      <w:pPr>
        <w:pStyle w:val="SingleTxtGR"/>
      </w:pPr>
      <w:r w:rsidRPr="002802CC">
        <w:t>1.</w:t>
      </w:r>
      <w:r w:rsidRPr="002802CC">
        <w:tab/>
        <w:t>Второе совещание неофициальной рабочей группы по СПГ было проведено 21 и 22 сентября 2016 года в Министерстве инфраструктуры и окружающей среды в Гааге, Нидерланды. На совещании присутствовали делегаты от Германии, Нидерландов и Швейцарии, представители Центральной комиссии судоходства по Рейну (ЦКСР) и Регистра Ллойда.</w:t>
      </w:r>
    </w:p>
    <w:p w:rsidR="002802CC" w:rsidRPr="002802CC" w:rsidRDefault="002802CC" w:rsidP="001E09BF">
      <w:pPr>
        <w:pStyle w:val="SingleTxtGR"/>
      </w:pPr>
      <w:r w:rsidRPr="002802CC">
        <w:t>2.</w:t>
      </w:r>
      <w:r w:rsidRPr="002802CC">
        <w:tab/>
        <w:t>Неофициальная рабочая группа была создана в ходе сессии Комитета по вопросам безопасности ВОПОГ в январе 2016 года. На этой сессии Комитет по вопросам безопасности отметил, что представитель Нидерландов желает организовать совещание с целью включения в Правила, прилагаемые к ВОПОГ, положений, касающи</w:t>
      </w:r>
      <w:r w:rsidR="00CB2484">
        <w:t>х</w:t>
      </w:r>
      <w:r w:rsidRPr="002802CC">
        <w:t>ся использования СПГ в</w:t>
      </w:r>
      <w:r w:rsidRPr="002802CC">
        <w:rPr>
          <w:lang w:val="en-US"/>
        </w:rPr>
        <w:t> </w:t>
      </w:r>
      <w:r w:rsidRPr="002802CC">
        <w:t xml:space="preserve">качестве топлива для двигательных </w:t>
      </w:r>
      <w:r w:rsidRPr="002802CC">
        <w:lastRenderedPageBreak/>
        <w:t>установок судов внутреннего плавания, перевозящих опасные грузы (</w:t>
      </w:r>
      <w:r w:rsidRPr="002802CC">
        <w:rPr>
          <w:lang w:val="en-US"/>
        </w:rPr>
        <w:t>ECE</w:t>
      </w:r>
      <w:r w:rsidRPr="002802CC">
        <w:t>/</w:t>
      </w:r>
      <w:r w:rsidRPr="002802CC">
        <w:rPr>
          <w:lang w:val="en-US"/>
        </w:rPr>
        <w:t>TRANS</w:t>
      </w:r>
      <w:r w:rsidRPr="002802CC">
        <w:t>/</w:t>
      </w:r>
      <w:r w:rsidRPr="002802CC">
        <w:rPr>
          <w:lang w:val="en-US"/>
        </w:rPr>
        <w:t>WP</w:t>
      </w:r>
      <w:r w:rsidRPr="002802CC">
        <w:t>.15/</w:t>
      </w:r>
      <w:r w:rsidRPr="002802CC">
        <w:rPr>
          <w:lang w:val="en-US"/>
        </w:rPr>
        <w:t>AC</w:t>
      </w:r>
      <w:r w:rsidRPr="002802CC">
        <w:t>.2/58, пункты 63</w:t>
      </w:r>
      <w:r w:rsidR="00CB2484">
        <w:t>–</w:t>
      </w:r>
      <w:r w:rsidRPr="002802CC">
        <w:t>64).</w:t>
      </w:r>
    </w:p>
    <w:p w:rsidR="002802CC" w:rsidRPr="002802CC" w:rsidRDefault="002802CC" w:rsidP="002802CC">
      <w:pPr>
        <w:pStyle w:val="SingleTxtGR"/>
      </w:pPr>
      <w:r w:rsidRPr="002802CC">
        <w:t>3.</w:t>
      </w:r>
      <w:r w:rsidRPr="002802CC">
        <w:tab/>
        <w:t>В мае 2016 года неофициальная рабочая группа провела свое первое совещание. В докладе об этом совещании (</w:t>
      </w:r>
      <w:r w:rsidRPr="002802CC">
        <w:rPr>
          <w:lang w:val="en-GB"/>
        </w:rPr>
        <w:t>ECE</w:t>
      </w:r>
      <w:r w:rsidRPr="002802CC">
        <w:t>/</w:t>
      </w:r>
      <w:r w:rsidRPr="002802CC">
        <w:rPr>
          <w:lang w:val="en-GB"/>
        </w:rPr>
        <w:t>TRANS</w:t>
      </w:r>
      <w:r w:rsidRPr="002802CC">
        <w:t>/</w:t>
      </w:r>
      <w:r w:rsidRPr="002802CC">
        <w:rPr>
          <w:lang w:val="en-GB"/>
        </w:rPr>
        <w:t>WP</w:t>
      </w:r>
      <w:r w:rsidRPr="002802CC">
        <w:t>.15/</w:t>
      </w:r>
      <w:r w:rsidRPr="002802CC">
        <w:rPr>
          <w:lang w:val="en-GB"/>
        </w:rPr>
        <w:t>AC</w:t>
      </w:r>
      <w:r w:rsidRPr="002802CC">
        <w:t>.2/2016/46) содержалась просьба к Комитету по вопросам безопасности ВОПОГ обсудить изложенные варианты (пункты 9</w:t>
      </w:r>
      <w:r w:rsidR="00CB2484">
        <w:t>–</w:t>
      </w:r>
      <w:r w:rsidRPr="002802CC">
        <w:t xml:space="preserve">12) корректировки Правил, прилагаемых к ВОПОГ, в целях использования СПГ и выбрать предпочтительный вариант. </w:t>
      </w:r>
      <w:r w:rsidR="00CB2484">
        <w:br/>
      </w:r>
      <w:r w:rsidRPr="002802CC">
        <w:t xml:space="preserve">Комитет по вопросам безопасности обсудил указанный доклад на своем совещании в августе 2016 года и выбрал вариант </w:t>
      </w:r>
      <w:r w:rsidRPr="002802CC">
        <w:rPr>
          <w:lang w:val="en-GB"/>
        </w:rPr>
        <w:t>C</w:t>
      </w:r>
      <w:r w:rsidRPr="002802CC">
        <w:t xml:space="preserve"> для дальнейшей проработки неофициальной рабочей  группой при том понимании, что глава 30 и </w:t>
      </w:r>
      <w:r w:rsidR="00CB2484">
        <w:t>приложение </w:t>
      </w:r>
      <w:r w:rsidRPr="002802CC">
        <w:t>8 ЕС-ТТСВП должны иметься на рабочих языках (</w:t>
      </w:r>
      <w:r w:rsidRPr="002802CC">
        <w:rPr>
          <w:lang w:val="en-GB"/>
        </w:rPr>
        <w:t>ECE</w:t>
      </w:r>
      <w:r w:rsidRPr="002802CC">
        <w:t>/</w:t>
      </w:r>
      <w:r w:rsidRPr="002802CC">
        <w:rPr>
          <w:lang w:val="en-GB"/>
        </w:rPr>
        <w:t>TRANS</w:t>
      </w:r>
      <w:r w:rsidRPr="002802CC">
        <w:t>/</w:t>
      </w:r>
      <w:r w:rsidRPr="002802CC">
        <w:rPr>
          <w:lang w:val="en-GB"/>
        </w:rPr>
        <w:t>WP</w:t>
      </w:r>
      <w:r w:rsidRPr="002802CC">
        <w:t>.15/</w:t>
      </w:r>
      <w:r w:rsidR="00CB2484">
        <w:t xml:space="preserve"> </w:t>
      </w:r>
      <w:r w:rsidRPr="002802CC">
        <w:rPr>
          <w:lang w:val="en-GB"/>
        </w:rPr>
        <w:t>AC</w:t>
      </w:r>
      <w:r w:rsidRPr="002802CC">
        <w:t xml:space="preserve">.2/60, пункт 51). </w:t>
      </w:r>
    </w:p>
    <w:p w:rsidR="002802CC" w:rsidRPr="002802CC" w:rsidRDefault="002802CC" w:rsidP="001E09BF">
      <w:pPr>
        <w:pStyle w:val="HChGR"/>
      </w:pPr>
      <w:r w:rsidRPr="002802CC">
        <w:tab/>
      </w:r>
      <w:r w:rsidRPr="002802CC">
        <w:tab/>
        <w:t>Анализ обсуждения в Комитете по вопросам безопасности ВОПОГ</w:t>
      </w:r>
    </w:p>
    <w:p w:rsidR="002802CC" w:rsidRPr="002802CC" w:rsidRDefault="002802CC" w:rsidP="002802CC">
      <w:pPr>
        <w:pStyle w:val="SingleTxtGR"/>
      </w:pPr>
      <w:r w:rsidRPr="002802CC">
        <w:t>4.</w:t>
      </w:r>
      <w:r w:rsidRPr="002802CC">
        <w:tab/>
        <w:t>Неофициальная рабочая группа обсудила итоги обсуждения доклада о первом совещании в Комитете по вопросам безопасности ВОПОГ. Группа приветствовала результаты проведенного в Женеве обсуждения, поскольку вариант</w:t>
      </w:r>
      <w:r w:rsidR="00CB2484">
        <w:t> </w:t>
      </w:r>
      <w:r w:rsidRPr="002802CC">
        <w:t>С полностью обеспечивает прерогативы всех государств</w:t>
      </w:r>
      <w:r w:rsidR="00CB2484">
        <w:t xml:space="preserve"> </w:t>
      </w:r>
      <w:r w:rsidRPr="002802CC">
        <w:t>–</w:t>
      </w:r>
      <w:r w:rsidR="00CB2484">
        <w:t xml:space="preserve"> </w:t>
      </w:r>
      <w:r w:rsidRPr="002802CC">
        <w:t>участников ВОПОГ принимать хорошо продуманные решения по данному вопросу.</w:t>
      </w:r>
    </w:p>
    <w:p w:rsidR="002802CC" w:rsidRPr="002802CC" w:rsidRDefault="002802CC" w:rsidP="002802CC">
      <w:pPr>
        <w:pStyle w:val="SingleTxtGR"/>
      </w:pPr>
      <w:r w:rsidRPr="002802CC">
        <w:t>5.</w:t>
      </w:r>
      <w:r w:rsidRPr="002802CC">
        <w:tab/>
        <w:t>Хотя об этом не упоминается в докладе Комитета по вопросам безопасности ВОПОГ, неофициальная рабочая группа обсудила аварию, которая произошла в апреле 2016 года на Мозеле с судном внутреннего плавания, на котором в</w:t>
      </w:r>
      <w:r w:rsidRPr="002802CC">
        <w:rPr>
          <w:lang w:val="en-US"/>
        </w:rPr>
        <w:t> </w:t>
      </w:r>
      <w:r w:rsidRPr="002802CC">
        <w:t>качестве топлива для двигательной установки используется СПГ. Представитель Регистра Ллойда выступил с обширной презентацией о данной аварии (причина, последствия и извлеченные уроки в отношении конструкции судна и процедур разгрузки). Неофициальная рабочая группа пришла к выводу, что данная авария стала следствием навигационного сбоя и никак не связана с используемым на судне СПГ.</w:t>
      </w:r>
    </w:p>
    <w:p w:rsidR="002802CC" w:rsidRPr="002802CC" w:rsidRDefault="002802CC" w:rsidP="002802CC">
      <w:pPr>
        <w:pStyle w:val="SingleTxtGR"/>
      </w:pPr>
      <w:r w:rsidRPr="002802CC">
        <w:t>6.</w:t>
      </w:r>
      <w:r w:rsidRPr="002802CC">
        <w:tab/>
        <w:t>Представитель ЦКСР проинформировал группу о принятии и ожидаемом вступлении в силу европейского законодательства о технических требованиях к судам внутреннего плавания (имеется в виду ЕС-ТТСВП), с одной стороны, и о требованиях к внедорожной подвижной технике (ВПТ) в отношении выбросов, с другой стороны. Неофициальная рабочая группа обсудила эти изменения, а также взаимосвязь и взаимодействие между нормативными актами Организации Объединенных Наций, Европейского союза и ЦКСР.</w:t>
      </w:r>
    </w:p>
    <w:p w:rsidR="002802CC" w:rsidRPr="002802CC" w:rsidRDefault="002802CC" w:rsidP="001E09BF">
      <w:pPr>
        <w:pStyle w:val="HChGR"/>
      </w:pPr>
      <w:r w:rsidRPr="002802CC">
        <w:tab/>
      </w:r>
      <w:r w:rsidRPr="002802CC">
        <w:tab/>
        <w:t>Взаимодействие между СПГ в</w:t>
      </w:r>
      <w:r w:rsidRPr="002802CC">
        <w:rPr>
          <w:lang w:val="en-US"/>
        </w:rPr>
        <w:t> </w:t>
      </w:r>
      <w:r w:rsidRPr="002802CC">
        <w:t>качестве топлива для</w:t>
      </w:r>
      <w:r w:rsidR="001E09BF">
        <w:rPr>
          <w:lang w:val="en-US"/>
        </w:rPr>
        <w:t> </w:t>
      </w:r>
      <w:r w:rsidRPr="002802CC">
        <w:t>двигательных установок и опасными грузами, перевозимыми на борту судов внутреннего плавания</w:t>
      </w:r>
    </w:p>
    <w:p w:rsidR="002802CC" w:rsidRPr="002802CC" w:rsidRDefault="002802CC" w:rsidP="002802CC">
      <w:pPr>
        <w:pStyle w:val="SingleTxtGR"/>
      </w:pPr>
      <w:r w:rsidRPr="002802CC">
        <w:t>7.</w:t>
      </w:r>
      <w:r w:rsidRPr="002802CC">
        <w:tab/>
        <w:t>Как говорится в докладе о первом совещании, неофициальная рабочая группа желала провести дискуссию относительно возможного взаимодействия между СПГ (используемым в качестве топлива) и другими опасными грузами, перевозимыми на борту судов внутреннего плавания. В преддверии совещания представитель Регистра Ллойда подготовил краткую записку, в которой сделана ссылка на исследование «</w:t>
      </w:r>
      <w:r w:rsidRPr="002802CC">
        <w:rPr>
          <w:lang w:val="en-GB"/>
        </w:rPr>
        <w:t>Chemical</w:t>
      </w:r>
      <w:r w:rsidRPr="002802CC">
        <w:t xml:space="preserve"> </w:t>
      </w:r>
      <w:r w:rsidRPr="002802CC">
        <w:rPr>
          <w:lang w:val="en-GB"/>
        </w:rPr>
        <w:t>Data</w:t>
      </w:r>
      <w:r w:rsidRPr="002802CC">
        <w:t xml:space="preserve"> </w:t>
      </w:r>
      <w:r w:rsidRPr="002802CC">
        <w:rPr>
          <w:lang w:val="en-GB"/>
        </w:rPr>
        <w:t>Guide</w:t>
      </w:r>
      <w:r w:rsidRPr="002802CC">
        <w:t xml:space="preserve"> </w:t>
      </w:r>
      <w:r w:rsidRPr="002802CC">
        <w:rPr>
          <w:lang w:val="en-GB"/>
        </w:rPr>
        <w:t>for</w:t>
      </w:r>
      <w:r w:rsidRPr="002802CC">
        <w:t xml:space="preserve"> </w:t>
      </w:r>
      <w:r w:rsidRPr="002802CC">
        <w:rPr>
          <w:lang w:val="en-GB"/>
        </w:rPr>
        <w:t>Bulk</w:t>
      </w:r>
      <w:r w:rsidRPr="002802CC">
        <w:t xml:space="preserve"> </w:t>
      </w:r>
      <w:r w:rsidRPr="002802CC">
        <w:rPr>
          <w:lang w:val="en-GB"/>
        </w:rPr>
        <w:t>Shipment</w:t>
      </w:r>
      <w:r w:rsidRPr="002802CC">
        <w:t xml:space="preserve"> </w:t>
      </w:r>
      <w:r w:rsidRPr="002802CC">
        <w:rPr>
          <w:lang w:val="en-GB"/>
        </w:rPr>
        <w:t>over</w:t>
      </w:r>
      <w:r w:rsidRPr="002802CC">
        <w:t xml:space="preserve"> </w:t>
      </w:r>
      <w:r w:rsidRPr="002802CC">
        <w:rPr>
          <w:lang w:val="en-GB"/>
        </w:rPr>
        <w:t>Water</w:t>
      </w:r>
      <w:r w:rsidRPr="002802CC">
        <w:t>» (Руководство по транспортировке химических наливных грузов по водным пу</w:t>
      </w:r>
      <w:r w:rsidRPr="002802CC">
        <w:lastRenderedPageBreak/>
        <w:t>тям), подготовленное и опубликованное Службой береговой охраны США. Неофициальная рабочая группа приняла к сведению сделанный в данном исследовании вывод о том, что между СПГ и другими опасными веществами не может происходить какого-либо взаимодействия.</w:t>
      </w:r>
    </w:p>
    <w:p w:rsidR="002802CC" w:rsidRPr="002802CC" w:rsidRDefault="002802CC" w:rsidP="002802CC">
      <w:pPr>
        <w:pStyle w:val="SingleTxtGR"/>
      </w:pPr>
      <w:r w:rsidRPr="002802CC">
        <w:t>8.</w:t>
      </w:r>
      <w:r w:rsidRPr="002802CC">
        <w:tab/>
        <w:t>Помимо этого, неофициальная рабочая группа рассмотрела вопрос о том, какой будет реакция топливной цистерны для СПГ на борту судов внутреннего плавания в случае возгорания на судне. Представители ЦКСР и Регистра Ллойда проинформировали группу об особых технических требованиях к топливным цистернам для СПГ на борту судов внутреннего плавания. Эти требования в отношении конструкции и безопасности содержатся в главе 2.1 приложения 8 ЕС-ТТСВП. В статье 2.1.4 указаны конкретные стандарты, которым должны отвечать топливные цистерны. Представитель ЦКСР проинформировал группу об эквивалентном уровне безопасности топливных цистерн для СПГ и обычных топливных цистерн, имеющихся на борту судов внутреннего плавания. Этот представитель добавил, что в рамках «Генерального плана по использованию СПГ» опубликован ряд руководств и кодексов практики, посвященных способам предупреждения и ликвидации возгорания на борту судна внутреннего плавания, использующего СПГ в</w:t>
      </w:r>
      <w:r w:rsidRPr="002802CC">
        <w:rPr>
          <w:lang w:val="en-US"/>
        </w:rPr>
        <w:t> </w:t>
      </w:r>
      <w:r w:rsidRPr="002802CC">
        <w:t>качестве топлива для своей двигательной установки.</w:t>
      </w:r>
    </w:p>
    <w:p w:rsidR="002802CC" w:rsidRPr="002802CC" w:rsidRDefault="002802CC" w:rsidP="002802CC">
      <w:pPr>
        <w:pStyle w:val="SingleTxtGR"/>
      </w:pPr>
      <w:r w:rsidRPr="002802CC">
        <w:t>9.</w:t>
      </w:r>
      <w:r w:rsidRPr="002802CC">
        <w:tab/>
        <w:t>Участники также внимательно рассмотрели некоторые отдельные статьи приложения 8 ЕС-ТТСВП, в частности статьи 1.3.1, 1.3.2 и 2.1.1. Был сделан вывод, что грузовое пространство не следует идентифицировать как пространство, характеризующееся высокой степенью опасности возгорания, как это указано в статье 2.1.1 приложения 8 ЕС-ТТСВП. Группа также с удовлетворением отметила, что статьи 1.3.1 и 1.3.2 предписывают, что каждая новая концепция использования СПГ на судах внутреннего плавания должна подкрепляться всесторонней оценкой рисков, учитывающей как минимум выход из строя, повреждение деталей, возгорание, взрыв, затопление трюма с цистернами, потопление судна и электрическое перенапряжение.</w:t>
      </w:r>
    </w:p>
    <w:p w:rsidR="002802CC" w:rsidRPr="002802CC" w:rsidRDefault="002802CC" w:rsidP="002802CC">
      <w:pPr>
        <w:pStyle w:val="SingleTxtGR"/>
      </w:pPr>
      <w:r w:rsidRPr="002802CC">
        <w:t>10.</w:t>
      </w:r>
      <w:r w:rsidRPr="002802CC">
        <w:tab/>
        <w:t>Учитывая выбранный в ЕС-ТТСВП уровень безопасности, исследование, проведенное Службой береговой охраны США, и желание рабочей группы согласовать международное законодательство в области внутреннего судоходства, группа вновь поддержала вариант, выбранный Комитетом по вопросам безопасности ВОПОГ, а именно добавить к положениям Правил, прилагаемых к ВОПОГ, динамическую ссылку на ЕС-ТТСВП, касающуюся использования СПГ в качестве топлива для двигательных установок. Рабочая группа будет продолжать с большим интересом следить за изменениями в ЕС-ТТСВП и призывает КЕСНИ и впредь устанавливать четкие и недвусмысленные стандарты.</w:t>
      </w:r>
    </w:p>
    <w:p w:rsidR="002802CC" w:rsidRPr="002802CC" w:rsidRDefault="002802CC" w:rsidP="001E09BF">
      <w:pPr>
        <w:pStyle w:val="HChGR"/>
      </w:pPr>
      <w:r w:rsidRPr="002802CC">
        <w:tab/>
      </w:r>
      <w:r w:rsidRPr="002802CC">
        <w:tab/>
        <w:t>Предлагаемые поправки к Правилам, прилагаемым</w:t>
      </w:r>
      <w:r w:rsidR="001E09BF">
        <w:t xml:space="preserve"> к</w:t>
      </w:r>
      <w:r w:rsidR="001E09BF">
        <w:rPr>
          <w:lang w:val="en-US"/>
        </w:rPr>
        <w:t> </w:t>
      </w:r>
      <w:r w:rsidRPr="002802CC">
        <w:t>ВОПОГ</w:t>
      </w:r>
    </w:p>
    <w:p w:rsidR="002802CC" w:rsidRPr="002802CC" w:rsidRDefault="002802CC" w:rsidP="002802CC">
      <w:pPr>
        <w:pStyle w:val="SingleTxtGR"/>
      </w:pPr>
      <w:r w:rsidRPr="002802CC">
        <w:t>11.</w:t>
      </w:r>
      <w:r w:rsidRPr="002802CC">
        <w:tab/>
        <w:t>Неофициальная рабочая группа продолжила свою работу по подготовке проектов поправок к части 7 и части 9 Правил, прилагаемых к ВОПОГ. Было решено воспользоваться представившейся возможностью также для того, чтобы согласовать нормативные положения частей 7 и 9 (касающиеся топлива с температурой вспышки, которая ниже, выше или равна 55 º</w:t>
      </w:r>
      <w:r w:rsidRPr="002802CC">
        <w:rPr>
          <w:lang w:val="en-GB"/>
        </w:rPr>
        <w:t>C</w:t>
      </w:r>
      <w:r w:rsidRPr="002802CC">
        <w:t>). Неофициальная рабочая группа предлагает Комитету по вопросам безопасности ВОПОГ рассмотреть нижеследующие поправки (</w:t>
      </w:r>
      <w:r w:rsidRPr="001E09BF">
        <w:rPr>
          <w:strike/>
        </w:rPr>
        <w:t xml:space="preserve">исключенный текст зачеркнут, </w:t>
      </w:r>
      <w:r w:rsidRPr="002802CC">
        <w:rPr>
          <w:b/>
          <w:u w:val="single"/>
        </w:rPr>
        <w:t>дополнительный текст выделен жирным шрифтом и подчеркнут</w:t>
      </w:r>
      <w:r w:rsidRPr="002802CC">
        <w:t>):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7.1.3.31</w:t>
      </w:r>
    </w:p>
    <w:p w:rsidR="002802CC" w:rsidRPr="002802CC" w:rsidRDefault="002802CC" w:rsidP="002802CC">
      <w:pPr>
        <w:pStyle w:val="SingleTxtGR"/>
        <w:rPr>
          <w:b/>
          <w:u w:val="single"/>
        </w:rPr>
      </w:pPr>
      <w:r w:rsidRPr="002802CC">
        <w:t xml:space="preserve">Запрещается использовать двигатели, работающие на топливе с температурой вспышки </w:t>
      </w:r>
      <w:r w:rsidRPr="001E09BF">
        <w:rPr>
          <w:strike/>
        </w:rPr>
        <w:t xml:space="preserve">ниже </w:t>
      </w:r>
      <w:r w:rsidRPr="002802CC">
        <w:rPr>
          <w:b/>
          <w:u w:val="single"/>
        </w:rPr>
        <w:t>не выше</w:t>
      </w:r>
      <w:r w:rsidRPr="002802CC">
        <w:t xml:space="preserve"> 55</w:t>
      </w:r>
      <w:r w:rsidRPr="002802CC">
        <w:rPr>
          <w:lang w:val="en-US"/>
        </w:rPr>
        <w:t> </w:t>
      </w:r>
      <w:r w:rsidRPr="002802CC">
        <w:t>°</w:t>
      </w:r>
      <w:r w:rsidRPr="002802CC">
        <w:rPr>
          <w:lang w:val="en-GB"/>
        </w:rPr>
        <w:t>C</w:t>
      </w:r>
      <w:r w:rsidRPr="002802CC">
        <w:t xml:space="preserve"> (например, бензиновые двигатели). Это </w:t>
      </w:r>
      <w:r w:rsidRPr="001E09BF">
        <w:rPr>
          <w:strike/>
        </w:rPr>
        <w:t xml:space="preserve">предписание </w:t>
      </w:r>
      <w:r w:rsidRPr="002802CC">
        <w:rPr>
          <w:b/>
          <w:u w:val="single"/>
        </w:rPr>
        <w:t>положение</w:t>
      </w:r>
      <w:r w:rsidRPr="002802CC">
        <w:t xml:space="preserve"> не применяется к</w:t>
      </w:r>
      <w:r w:rsidRPr="002802CC">
        <w:rPr>
          <w:b/>
          <w:u w:val="single"/>
        </w:rPr>
        <w:t>:</w:t>
      </w:r>
    </w:p>
    <w:p w:rsidR="002802CC" w:rsidRPr="002802CC" w:rsidRDefault="001E09BF" w:rsidP="002802CC">
      <w:pPr>
        <w:pStyle w:val="SingleTxtGR"/>
        <w:rPr>
          <w:b/>
          <w:u w:val="single"/>
        </w:rPr>
      </w:pPr>
      <w:r w:rsidRPr="001E09BF">
        <w:t>–</w:t>
      </w:r>
      <w:r w:rsidR="002802CC" w:rsidRPr="002802CC">
        <w:t xml:space="preserve"> подвесным моторам спасательных шлюпок, работающим на бензине</w:t>
      </w:r>
      <w:r w:rsidR="002802CC" w:rsidRPr="002802CC">
        <w:rPr>
          <w:b/>
          <w:u w:val="single"/>
        </w:rPr>
        <w:t>;</w:t>
      </w:r>
    </w:p>
    <w:p w:rsidR="002802CC" w:rsidRPr="002802CC" w:rsidRDefault="001E09BF" w:rsidP="002802CC">
      <w:pPr>
        <w:pStyle w:val="SingleTxtGR"/>
      </w:pPr>
      <w:r w:rsidRPr="001E09BF">
        <w:t>–</w:t>
      </w:r>
      <w:r w:rsidR="002802CC" w:rsidRPr="002802CC">
        <w:t xml:space="preserve"> </w:t>
      </w:r>
      <w:r w:rsidR="002802CC" w:rsidRPr="002802CC">
        <w:rPr>
          <w:b/>
          <w:u w:val="single"/>
        </w:rPr>
        <w:t xml:space="preserve">пропульсивным и вспомогательным системам, которые отвечают </w:t>
      </w:r>
      <w:r w:rsidR="00CB2484">
        <w:rPr>
          <w:b/>
          <w:u w:val="single"/>
        </w:rPr>
        <w:br/>
      </w:r>
      <w:r w:rsidR="002802CC" w:rsidRPr="002802CC">
        <w:rPr>
          <w:b/>
          <w:u w:val="single"/>
        </w:rPr>
        <w:t xml:space="preserve">требованиям главы 30 и приложения 8 Европейского стандарта, устанавливающего технические требования для судов внутреннего плавания </w:t>
      </w:r>
      <w:r w:rsidR="00CB2484">
        <w:rPr>
          <w:b/>
          <w:u w:val="single"/>
        </w:rPr>
        <w:br/>
      </w:r>
      <w:r w:rsidR="002802CC" w:rsidRPr="002802CC">
        <w:rPr>
          <w:b/>
          <w:u w:val="single"/>
        </w:rPr>
        <w:t>(ЕС-ТТСВП), с поправками</w:t>
      </w:r>
      <w:r w:rsidR="002802CC" w:rsidRPr="002802CC">
        <w:t>.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7.2.3.31.1</w:t>
      </w:r>
    </w:p>
    <w:p w:rsidR="002802CC" w:rsidRPr="002802CC" w:rsidRDefault="002802CC" w:rsidP="002802CC">
      <w:pPr>
        <w:pStyle w:val="SingleTxtGR"/>
        <w:rPr>
          <w:b/>
          <w:u w:val="single"/>
        </w:rPr>
      </w:pPr>
      <w:r w:rsidRPr="002802CC">
        <w:t xml:space="preserve">Запрещается использовать двигатели, работающие на топливе с температурой вспышки </w:t>
      </w:r>
      <w:r w:rsidRPr="001E09BF">
        <w:rPr>
          <w:strike/>
        </w:rPr>
        <w:t xml:space="preserve">ниже </w:t>
      </w:r>
      <w:r w:rsidRPr="002802CC">
        <w:rPr>
          <w:b/>
          <w:u w:val="single"/>
        </w:rPr>
        <w:t>не выше</w:t>
      </w:r>
      <w:r w:rsidRPr="002802CC">
        <w:t xml:space="preserve"> 55</w:t>
      </w:r>
      <w:r w:rsidRPr="002802CC">
        <w:rPr>
          <w:lang w:val="en-GB"/>
        </w:rPr>
        <w:t> </w:t>
      </w:r>
      <w:r w:rsidRPr="002802CC">
        <w:t xml:space="preserve">°С (например, бензиновые двигатели). Это </w:t>
      </w:r>
      <w:r w:rsidRPr="001E09BF">
        <w:rPr>
          <w:strike/>
        </w:rPr>
        <w:t xml:space="preserve">предписание </w:t>
      </w:r>
      <w:r w:rsidRPr="002802CC">
        <w:rPr>
          <w:b/>
          <w:u w:val="single"/>
        </w:rPr>
        <w:t>положение</w:t>
      </w:r>
      <w:r w:rsidRPr="002802CC">
        <w:t xml:space="preserve"> не применяется к</w:t>
      </w:r>
      <w:r w:rsidRPr="002802CC">
        <w:rPr>
          <w:b/>
          <w:u w:val="single"/>
        </w:rPr>
        <w:t>:</w:t>
      </w:r>
    </w:p>
    <w:p w:rsidR="002802CC" w:rsidRPr="002802CC" w:rsidRDefault="001E09BF" w:rsidP="002802CC">
      <w:pPr>
        <w:pStyle w:val="SingleTxtGR"/>
        <w:rPr>
          <w:b/>
          <w:u w:val="single"/>
        </w:rPr>
      </w:pPr>
      <w:r w:rsidRPr="001E09BF">
        <w:t>–</w:t>
      </w:r>
      <w:r w:rsidR="002802CC" w:rsidRPr="002802CC">
        <w:t xml:space="preserve"> подвесным моторам спасательных шлюпок, </w:t>
      </w:r>
      <w:r w:rsidR="002802CC" w:rsidRPr="002802CC">
        <w:rPr>
          <w:b/>
          <w:u w:val="single"/>
        </w:rPr>
        <w:t>работающим на бензине;</w:t>
      </w:r>
    </w:p>
    <w:p w:rsidR="002802CC" w:rsidRPr="002802CC" w:rsidRDefault="001E09BF" w:rsidP="002802CC">
      <w:pPr>
        <w:pStyle w:val="SingleTxtGR"/>
      </w:pPr>
      <w:r w:rsidRPr="001E09BF">
        <w:rPr>
          <w:b/>
        </w:rPr>
        <w:t>–</w:t>
      </w:r>
      <w:r w:rsidR="002802CC" w:rsidRPr="002802CC">
        <w:t xml:space="preserve"> </w:t>
      </w:r>
      <w:r w:rsidR="002802CC" w:rsidRPr="002802CC">
        <w:rPr>
          <w:b/>
          <w:u w:val="single"/>
        </w:rPr>
        <w:t xml:space="preserve">пропульсивным и вспомогательным системам, которые отвечают </w:t>
      </w:r>
      <w:r w:rsidR="00CB2484">
        <w:rPr>
          <w:b/>
          <w:u w:val="single"/>
        </w:rPr>
        <w:br/>
      </w:r>
      <w:r w:rsidR="002802CC" w:rsidRPr="002802CC">
        <w:rPr>
          <w:b/>
          <w:u w:val="single"/>
        </w:rPr>
        <w:t xml:space="preserve">требованиям главы 30 и приложения 8 Европейского стандарта, устанавливающего технические требования для судов внутреннего плавания </w:t>
      </w:r>
      <w:r w:rsidR="00CB2484">
        <w:rPr>
          <w:b/>
          <w:u w:val="single"/>
        </w:rPr>
        <w:br/>
      </w:r>
      <w:r w:rsidR="002802CC" w:rsidRPr="002802CC">
        <w:rPr>
          <w:b/>
          <w:u w:val="single"/>
        </w:rPr>
        <w:t>(ЕС-ТТСВП), с поправками</w:t>
      </w:r>
      <w:r w:rsidR="002802CC" w:rsidRPr="002802CC">
        <w:t>.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9.1.0.31.1</w:t>
      </w:r>
    </w:p>
    <w:p w:rsidR="002802CC" w:rsidRPr="002802CC" w:rsidRDefault="002802CC" w:rsidP="002802CC">
      <w:pPr>
        <w:pStyle w:val="SingleTxtGR"/>
        <w:rPr>
          <w:b/>
          <w:u w:val="single"/>
        </w:rPr>
      </w:pPr>
      <w:r w:rsidRPr="002802CC">
        <w:t>Разрешается устанавливать только двигатели внутреннего сгорания, работающие на топливе с температурой вспышки выше 55</w:t>
      </w:r>
      <w:r w:rsidRPr="002802CC">
        <w:rPr>
          <w:lang w:val="en-GB"/>
        </w:rPr>
        <w:t> </w:t>
      </w:r>
      <w:r w:rsidRPr="002802CC">
        <w:t xml:space="preserve">°С. </w:t>
      </w:r>
      <w:r w:rsidRPr="002802CC">
        <w:rPr>
          <w:b/>
          <w:u w:val="single"/>
        </w:rPr>
        <w:t>Это положение не применяется к двигателям внутреннего сгорания, являющимся частью пропульсивных и вспомогательных систем, которые отвечают требованиям главы 30 и приложения 8 Европейского стандарта, устанавливающего технические требования для судов внутреннего плавания (ЕС-ТТСВП), с поправками</w:t>
      </w:r>
      <w:r w:rsidRPr="002802CC">
        <w:t>.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9.3.1.31.1</w:t>
      </w:r>
    </w:p>
    <w:p w:rsidR="002802CC" w:rsidRPr="002802CC" w:rsidRDefault="002802CC" w:rsidP="002802CC">
      <w:pPr>
        <w:pStyle w:val="SingleTxtGR"/>
      </w:pPr>
      <w:r w:rsidRPr="002802CC">
        <w:t>Разрешается устанавливать только двигатели внутреннего сгорания, работающие на топливе с температурой вспышки выше 55</w:t>
      </w:r>
      <w:r w:rsidRPr="002802CC">
        <w:rPr>
          <w:lang w:val="en-GB"/>
        </w:rPr>
        <w:t> </w:t>
      </w:r>
      <w:r w:rsidRPr="002802CC">
        <w:t>°</w:t>
      </w:r>
      <w:r w:rsidRPr="002802CC">
        <w:rPr>
          <w:lang w:val="en-GB"/>
        </w:rPr>
        <w:t>C</w:t>
      </w:r>
      <w:r w:rsidRPr="002802CC">
        <w:t xml:space="preserve">. </w:t>
      </w:r>
      <w:r w:rsidRPr="002802CC">
        <w:rPr>
          <w:b/>
          <w:u w:val="single"/>
        </w:rPr>
        <w:t>Это положение не применяется к двигателям внутреннего сгорания, являющимся частью пропульсивных и вспомогательных систем, которые отвечают требованиям главы 30 и приложения 8 Европейского стандарта, устанавливающего технические требования для судов внутреннего плавания (ЕС-ТТСВП), с поправками</w:t>
      </w:r>
      <w:r w:rsidRPr="002802CC">
        <w:t>.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9.3.2.31.1</w:t>
      </w:r>
    </w:p>
    <w:p w:rsidR="002802CC" w:rsidRPr="002802CC" w:rsidRDefault="002802CC" w:rsidP="002802CC">
      <w:pPr>
        <w:pStyle w:val="SingleTxtGR"/>
        <w:rPr>
          <w:b/>
          <w:u w:val="single"/>
        </w:rPr>
      </w:pPr>
      <w:r w:rsidRPr="002802CC">
        <w:t>Разрешается устанавливать только двигатели внутреннего сгорания, работающие на топливе с температурой вспышки выше 55</w:t>
      </w:r>
      <w:r w:rsidRPr="002802CC">
        <w:rPr>
          <w:lang w:val="en-GB"/>
        </w:rPr>
        <w:t> </w:t>
      </w:r>
      <w:r w:rsidRPr="002802CC">
        <w:t>°</w:t>
      </w:r>
      <w:r w:rsidRPr="002802CC">
        <w:rPr>
          <w:lang w:val="en-GB"/>
        </w:rPr>
        <w:t>C</w:t>
      </w:r>
      <w:r w:rsidRPr="002802CC">
        <w:t xml:space="preserve">. </w:t>
      </w:r>
      <w:r w:rsidRPr="002802CC">
        <w:rPr>
          <w:b/>
          <w:u w:val="single"/>
        </w:rPr>
        <w:t>Это положение не применяется к двигателям внутреннего сгорания, являющимся частью пропульсивных и вспомогательных систем, которые отвечают требованиям главы 30 и приложения 8 Европейского стандарта, устанавливающего технические требования для судов внутреннего плавания (ЕС-ТТСВП), с поправками</w:t>
      </w:r>
      <w:r w:rsidRPr="002802CC">
        <w:t>.</w:t>
      </w:r>
    </w:p>
    <w:p w:rsidR="002802CC" w:rsidRPr="002802CC" w:rsidRDefault="002802CC" w:rsidP="002802CC">
      <w:pPr>
        <w:pStyle w:val="SingleTxtGR"/>
        <w:rPr>
          <w:i/>
        </w:rPr>
      </w:pPr>
      <w:r w:rsidRPr="002802CC">
        <w:rPr>
          <w:i/>
        </w:rPr>
        <w:t>9.3.3.31.1</w:t>
      </w:r>
    </w:p>
    <w:p w:rsidR="002802CC" w:rsidRPr="002802CC" w:rsidRDefault="002802CC" w:rsidP="002802CC">
      <w:pPr>
        <w:pStyle w:val="SingleTxtGR"/>
      </w:pPr>
      <w:r w:rsidRPr="002802CC">
        <w:t>Разрешается устанавливать только двигатели внутреннего сгорания, работающие на топливе с температурой вспышки выше 55</w:t>
      </w:r>
      <w:r w:rsidRPr="002802CC">
        <w:rPr>
          <w:lang w:val="en-GB"/>
        </w:rPr>
        <w:t> </w:t>
      </w:r>
      <w:r w:rsidRPr="002802CC">
        <w:t>°</w:t>
      </w:r>
      <w:r w:rsidRPr="002802CC">
        <w:rPr>
          <w:lang w:val="en-GB"/>
        </w:rPr>
        <w:t>C</w:t>
      </w:r>
      <w:r w:rsidRPr="002802CC">
        <w:t xml:space="preserve">. </w:t>
      </w:r>
      <w:r w:rsidRPr="002802CC">
        <w:rPr>
          <w:b/>
          <w:u w:val="single"/>
        </w:rPr>
        <w:t>Это положение не применяется к двигателям внутреннего сгорания, являющимся частью пропульсивных и вспомогательных систем, которые отвечают требованиям главы 30 и приложения 8 Европейского стандарта, устанавливающего технические требования для судов внутреннего плавания (ЕС-ТТСВП), с поправками</w:t>
      </w:r>
      <w:r w:rsidRPr="002802CC">
        <w:t>.</w:t>
      </w:r>
    </w:p>
    <w:p w:rsidR="002802CC" w:rsidRPr="002802CC" w:rsidRDefault="002802CC" w:rsidP="001E09BF">
      <w:pPr>
        <w:pStyle w:val="HChGR"/>
      </w:pPr>
      <w:r w:rsidRPr="002802CC">
        <w:tab/>
      </w:r>
      <w:r w:rsidRPr="002802CC">
        <w:tab/>
        <w:t xml:space="preserve">Перевод главы 30 и приложения 8 ЕС-ТТСВП </w:t>
      </w:r>
      <w:r w:rsidR="001E09BF">
        <w:t>на</w:t>
      </w:r>
      <w:r w:rsidR="001E09BF">
        <w:rPr>
          <w:lang w:val="en-US"/>
        </w:rPr>
        <w:t> </w:t>
      </w:r>
      <w:r w:rsidRPr="002802CC">
        <w:t>рабочие языки</w:t>
      </w:r>
    </w:p>
    <w:p w:rsidR="002802CC" w:rsidRPr="002802CC" w:rsidRDefault="002802CC" w:rsidP="002802CC">
      <w:pPr>
        <w:pStyle w:val="SingleTxtGR"/>
      </w:pPr>
      <w:r w:rsidRPr="002802CC">
        <w:t>12.</w:t>
      </w:r>
      <w:r w:rsidRPr="002802CC">
        <w:tab/>
        <w:t>Неофициальная рабочая группа всецело поддержала просьбу Комитета по вопросам безопасности ВОПОГ обеспечить наличие главы 30 и приложения 8 ЕС-ТТСВП на рабочих языках Комитета по вопросам безопасности ВОПОГ. После обмена мнениями с секретариатом Комитета по вопросам безопасности ВОПОГ группа была проинформирована о том, что перевод соответствующих частей ЕС-ТТСВП будет осуществлен в рамках Рабочей группы ЕЭК ООН по внутреннему водному транспорту (</w:t>
      </w:r>
      <w:r w:rsidRPr="002802CC">
        <w:rPr>
          <w:lang w:val="en-GB"/>
        </w:rPr>
        <w:t>SC</w:t>
      </w:r>
      <w:r w:rsidRPr="002802CC">
        <w:t>.3) как часть ее текущей работы над Резолюцией № 61, касающейся технических предписаний, применимых к судам внутреннего плавания.</w:t>
      </w:r>
    </w:p>
    <w:p w:rsidR="002802CC" w:rsidRPr="002802CC" w:rsidRDefault="002802CC" w:rsidP="001E09BF">
      <w:pPr>
        <w:pStyle w:val="HChGR"/>
      </w:pPr>
      <w:r w:rsidRPr="002802CC">
        <w:tab/>
      </w:r>
      <w:r w:rsidRPr="002802CC">
        <w:tab/>
        <w:t>Выводы</w:t>
      </w:r>
    </w:p>
    <w:p w:rsidR="002802CC" w:rsidRPr="002802CC" w:rsidRDefault="002802CC" w:rsidP="002802CC">
      <w:pPr>
        <w:pStyle w:val="SingleTxtGR"/>
      </w:pPr>
      <w:r w:rsidRPr="002802CC">
        <w:t>13.</w:t>
      </w:r>
      <w:r w:rsidRPr="002802CC">
        <w:tab/>
        <w:t xml:space="preserve">К </w:t>
      </w:r>
      <w:r w:rsidRPr="002802CC">
        <w:rPr>
          <w:bCs/>
        </w:rPr>
        <w:t>Комитету по вопросам безопасности ВОПОГ обращается просьба</w:t>
      </w:r>
      <w:r w:rsidRPr="002802CC">
        <w:t xml:space="preserve"> рассмотреть поправки, предлагаемые в пункте 11, и принять меры, которые он сочтет надлежащими. По мнению участников, неофициальная рабочая группа выполнила свои задачи и завершила свою работу в соответствии с изначальной целью и сферой охвата. Рабочая группа решительно рекомендует государствам</w:t>
      </w:r>
      <w:r w:rsidR="00CB2484">
        <w:t> </w:t>
      </w:r>
      <w:r w:rsidRPr="002802CC">
        <w:t>–</w:t>
      </w:r>
      <w:r w:rsidR="00CB2484">
        <w:t> </w:t>
      </w:r>
      <w:r w:rsidRPr="002802CC">
        <w:t>участникам ВОПОГ принять предлагаемые поправки и в дальнейшем выработать и подписать многостороннее соглашение по данному вопросу. Это обеспечило бы скорейшее применение новых нормативных положений ВОПОГ. Это также обеспечило бы законность перевозки опасных грузов судами внутреннего плавания, которые в настоящее время используют СПГ в качестве топлива для своих двигательных установок, учитывая тот факт, что в большинстве случаев срок действия предоставленного им отступления истекает 30 июня 2017 года.</w:t>
      </w:r>
    </w:p>
    <w:p w:rsidR="002802CC" w:rsidRPr="00CB2484" w:rsidRDefault="00CB2484" w:rsidP="00CB24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02CC" w:rsidRPr="00CB2484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CC" w:rsidRDefault="002802CC" w:rsidP="00B471C5">
      <w:r>
        <w:separator/>
      </w:r>
    </w:p>
  </w:endnote>
  <w:endnote w:type="continuationSeparator" w:id="0">
    <w:p w:rsidR="002802CC" w:rsidRDefault="002802C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947F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558AE">
      <w:rPr>
        <w:lang w:val="en-US"/>
      </w:rPr>
      <w:t>19275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558AE">
      <w:rPr>
        <w:lang w:val="en-US"/>
      </w:rPr>
      <w:t>19275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947FB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D46FA">
            <w:rPr>
              <w:lang w:val="en-US"/>
            </w:rPr>
            <w:t>19275</w:t>
          </w:r>
          <w:r w:rsidRPr="001C3ABC">
            <w:rPr>
              <w:lang w:val="en-US"/>
            </w:rPr>
            <w:t xml:space="preserve"> (R)</w:t>
          </w:r>
          <w:r w:rsidR="000D46FA">
            <w:rPr>
              <w:lang w:val="en-US"/>
            </w:rPr>
            <w:t xml:space="preserve">  151116  151116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D46F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7/1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D46FA" w:rsidRDefault="000D46F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D46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CC" w:rsidRPr="009141DC" w:rsidRDefault="002802C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802CC" w:rsidRPr="00D1261C" w:rsidRDefault="002802C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802CC" w:rsidRPr="002802CC" w:rsidRDefault="002802CC">
      <w:pPr>
        <w:pStyle w:val="FootnoteText"/>
        <w:rPr>
          <w:sz w:val="20"/>
          <w:lang w:val="ru-RU"/>
        </w:rPr>
      </w:pPr>
      <w:r>
        <w:tab/>
      </w:r>
      <w:r w:rsidRPr="002802CC">
        <w:rPr>
          <w:rStyle w:val="FootnoteReference"/>
          <w:sz w:val="20"/>
          <w:vertAlign w:val="baseline"/>
          <w:lang w:val="ru-RU"/>
        </w:rPr>
        <w:t>*</w:t>
      </w:r>
      <w:r w:rsidRPr="002802CC">
        <w:rPr>
          <w:sz w:val="20"/>
          <w:lang w:val="ru-RU"/>
        </w:rPr>
        <w:t xml:space="preserve"> </w:t>
      </w:r>
      <w:r w:rsidRPr="002802CC">
        <w:rPr>
          <w:lang w:val="ru-RU"/>
        </w:rPr>
        <w:tab/>
        <w:t>Распространено на немецком языке Центральной комиссией судоходства по Рейну под</w:t>
      </w:r>
      <w:r w:rsidRPr="002802CC">
        <w:rPr>
          <w:lang w:val="en-US"/>
        </w:rPr>
        <w:t> </w:t>
      </w:r>
      <w:r w:rsidRPr="002802CC">
        <w:rPr>
          <w:lang w:val="ru-RU"/>
        </w:rPr>
        <w:t>условным обозначением CCNR-ZKR/ADN/WP.15/AC.2/2017/10.</w:t>
      </w:r>
    </w:p>
  </w:footnote>
  <w:footnote w:id="2">
    <w:p w:rsidR="002802CC" w:rsidRPr="002802CC" w:rsidRDefault="002802CC" w:rsidP="002802CC">
      <w:pPr>
        <w:pStyle w:val="FootnoteText"/>
        <w:rPr>
          <w:lang w:val="ru-RU"/>
        </w:rPr>
      </w:pPr>
      <w:r>
        <w:tab/>
      </w:r>
      <w:r w:rsidRPr="002802CC">
        <w:rPr>
          <w:rStyle w:val="FootnoteReference"/>
          <w:sz w:val="20"/>
          <w:vertAlign w:val="baseline"/>
          <w:lang w:val="ru-RU"/>
        </w:rPr>
        <w:t>**</w:t>
      </w:r>
      <w:r w:rsidRPr="002802CC">
        <w:rPr>
          <w:lang w:val="ru-RU"/>
        </w:rPr>
        <w:t xml:space="preserve"> </w:t>
      </w:r>
      <w:r w:rsidRPr="002802CC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802CC">
        <w:rPr>
          <w:lang w:val="ru-RU"/>
        </w:rPr>
        <w:br/>
        <w:t>на 2016–2017 годы (</w:t>
      </w:r>
      <w:r w:rsidRPr="002802CC">
        <w:rPr>
          <w:lang w:val="en-US"/>
        </w:rPr>
        <w:t>ECE</w:t>
      </w:r>
      <w:r w:rsidRPr="002802CC">
        <w:rPr>
          <w:lang w:val="ru-RU"/>
        </w:rPr>
        <w:t>/</w:t>
      </w:r>
      <w:r w:rsidRPr="002802CC">
        <w:rPr>
          <w:lang w:val="en-US"/>
        </w:rPr>
        <w:t>TRANS</w:t>
      </w:r>
      <w:r w:rsidRPr="002802CC">
        <w:rPr>
          <w:lang w:val="ru-RU"/>
        </w:rPr>
        <w:t>/2016/28/</w:t>
      </w:r>
      <w:r w:rsidRPr="002802CC">
        <w:rPr>
          <w:lang w:val="en-US"/>
        </w:rPr>
        <w:t>Add</w:t>
      </w:r>
      <w:r w:rsidRPr="002802CC">
        <w:rPr>
          <w:lang w:val="ru-RU"/>
        </w:rPr>
        <w:t>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D46FA" w:rsidRPr="000D46FA">
      <w:rPr>
        <w:lang w:val="en-US"/>
      </w:rPr>
      <w:t>TRANS/WP.15/AC.2/2017/17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A558AE" w:rsidRPr="00A558AE">
      <w:rPr>
        <w:lang w:val="en-US"/>
      </w:rPr>
      <w:t>TRANS/WP.15/AC.2/2017/17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C"/>
    <w:rsid w:val="000450D1"/>
    <w:rsid w:val="000B1FD5"/>
    <w:rsid w:val="000D46FA"/>
    <w:rsid w:val="000F2A4F"/>
    <w:rsid w:val="001E09BF"/>
    <w:rsid w:val="00203F84"/>
    <w:rsid w:val="00275188"/>
    <w:rsid w:val="002802CC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8AE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B2484"/>
    <w:rsid w:val="00D1261C"/>
    <w:rsid w:val="00D26030"/>
    <w:rsid w:val="00D75DCE"/>
    <w:rsid w:val="00DD35AC"/>
    <w:rsid w:val="00DD479F"/>
    <w:rsid w:val="00E15E48"/>
    <w:rsid w:val="00E947FB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400F9E-6F5E-4919-9201-ADDBF4C7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rsid w:val="002802C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2802CC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character" w:customStyle="1" w:styleId="st1">
    <w:name w:val="st1"/>
    <w:basedOn w:val="DefaultParagraphFont"/>
    <w:rsid w:val="002802CC"/>
  </w:style>
  <w:style w:type="character" w:styleId="Hyperlink">
    <w:name w:val="Hyperlink"/>
    <w:basedOn w:val="DefaultParagraphFont"/>
    <w:uiPriority w:val="99"/>
    <w:unhideWhenUsed/>
    <w:rsid w:val="00280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26B5-79C9-4246-9DE0-1973353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2016-11-15T12:15:00Z</cp:lastPrinted>
  <dcterms:created xsi:type="dcterms:W3CDTF">2016-11-24T10:03:00Z</dcterms:created>
  <dcterms:modified xsi:type="dcterms:W3CDTF">2016-11-24T10:03:00Z</dcterms:modified>
</cp:coreProperties>
</file>