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3FF75" w14:textId="77777777" w:rsidR="00213CD9" w:rsidRPr="002E1C82" w:rsidRDefault="00213CD9">
      <w:pPr>
        <w:rPr>
          <w:lang w:val="de-DE"/>
        </w:rPr>
      </w:pPr>
      <w:bookmarkStart w:id="0" w:name="_GoBack"/>
      <w:bookmarkEnd w:id="0"/>
    </w:p>
    <w:p w14:paraId="6B7BD1B7" w14:textId="77777777" w:rsidR="00552DC3" w:rsidRPr="008B479D" w:rsidRDefault="00552DC3" w:rsidP="00552DC3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de-DE" w:eastAsia="fr-FR" w:bidi="fr-FR"/>
        </w:rPr>
      </w:pPr>
      <w:r w:rsidRPr="008B479D">
        <w:rPr>
          <w:rFonts w:ascii="Arial" w:hAnsi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6F833F" wp14:editId="7B0ACC98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79D">
        <w:rPr>
          <w:rFonts w:ascii="Arial" w:eastAsia="Arial" w:hAnsi="Arial" w:cs="Arial"/>
          <w:bCs/>
          <w:szCs w:val="24"/>
          <w:lang w:val="de-DE" w:eastAsia="de-DE"/>
        </w:rPr>
        <w:t>CCNR-ZKR/ADN/WP.15/AC.2/2017/</w:t>
      </w:r>
      <w:r>
        <w:rPr>
          <w:rFonts w:ascii="Arial" w:eastAsia="Arial" w:hAnsi="Arial" w:cs="Arial"/>
          <w:bCs/>
          <w:szCs w:val="24"/>
          <w:lang w:val="de-DE" w:eastAsia="de-DE"/>
        </w:rPr>
        <w:t>17</w:t>
      </w:r>
    </w:p>
    <w:p w14:paraId="08294BC1" w14:textId="77777777" w:rsidR="00552DC3" w:rsidRPr="008B479D" w:rsidRDefault="00552DC3" w:rsidP="00552DC3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8B479D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34BCF4E" w14:textId="77777777" w:rsidR="00552DC3" w:rsidRPr="008B479D" w:rsidRDefault="00552DC3" w:rsidP="00552DC3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4</w:t>
      </w:r>
      <w:r w:rsidRPr="008B479D">
        <w:rPr>
          <w:rFonts w:ascii="Arial" w:eastAsia="Arial" w:hAnsi="Arial" w:cs="Arial"/>
          <w:szCs w:val="24"/>
          <w:lang w:val="de-DE" w:eastAsia="de-DE"/>
        </w:rPr>
        <w:t>. November 2016</w:t>
      </w:r>
    </w:p>
    <w:p w14:paraId="7E5CB2E8" w14:textId="77777777" w:rsidR="00552DC3" w:rsidRPr="008B479D" w:rsidRDefault="00552DC3" w:rsidP="00552DC3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8B479D">
        <w:rPr>
          <w:rFonts w:ascii="Arial" w:eastAsia="Arial" w:hAnsi="Arial" w:cs="Arial"/>
          <w:sz w:val="16"/>
          <w:szCs w:val="24"/>
          <w:lang w:val="de-DE" w:eastAsia="de-DE"/>
        </w:rPr>
        <w:t xml:space="preserve">Or. </w:t>
      </w:r>
      <w:r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14:paraId="45486ABD" w14:textId="77777777" w:rsidR="00552DC3" w:rsidRPr="008B479D" w:rsidRDefault="00552DC3" w:rsidP="00552DC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633A344" w14:textId="77777777" w:rsidR="00552DC3" w:rsidRPr="008B479D" w:rsidRDefault="00552DC3" w:rsidP="00552DC3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060B0993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14:paraId="707B03C6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14:paraId="3A4CA5B0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14:paraId="297D1400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14:paraId="3E750D48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14:paraId="2B8B4F5C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8B479D">
        <w:rPr>
          <w:rFonts w:ascii="Arial" w:hAnsi="Arial"/>
          <w:snapToGrid w:val="0"/>
          <w:sz w:val="16"/>
          <w:szCs w:val="24"/>
          <w:lang w:val="de-DE" w:eastAsia="fr-FR"/>
        </w:rPr>
        <w:t xml:space="preserve">(30. </w:t>
      </w:r>
      <w:r w:rsidRPr="008B479D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23. bis 27. Januar 2017)</w:t>
      </w:r>
    </w:p>
    <w:p w14:paraId="1A704BD9" w14:textId="77777777" w:rsidR="00552DC3" w:rsidRPr="008B479D" w:rsidRDefault="00552DC3" w:rsidP="00552DC3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8B479D">
        <w:rPr>
          <w:rFonts w:ascii="Arial" w:hAnsi="Arial" w:cs="Arial"/>
          <w:sz w:val="16"/>
          <w:szCs w:val="16"/>
          <w:lang w:val="de-DE"/>
        </w:rPr>
        <w:t xml:space="preserve">Punkt </w:t>
      </w:r>
      <w:r>
        <w:rPr>
          <w:rFonts w:ascii="Arial" w:hAnsi="Arial" w:cs="Arial"/>
          <w:sz w:val="16"/>
          <w:szCs w:val="16"/>
          <w:lang w:val="de-DE"/>
        </w:rPr>
        <w:t>6</w:t>
      </w:r>
      <w:r w:rsidRPr="008B479D">
        <w:rPr>
          <w:rFonts w:ascii="Arial" w:hAnsi="Arial" w:cs="Arial"/>
          <w:sz w:val="16"/>
          <w:szCs w:val="16"/>
          <w:lang w:val="de-DE"/>
        </w:rPr>
        <w:t xml:space="preserve"> zur vorläufigen Tagesordnung</w:t>
      </w:r>
    </w:p>
    <w:p w14:paraId="611A8BFC" w14:textId="77777777" w:rsidR="00552DC3" w:rsidRPr="008B479D" w:rsidRDefault="00552DC3" w:rsidP="00552DC3">
      <w:pPr>
        <w:tabs>
          <w:tab w:val="left" w:pos="2977"/>
        </w:tabs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552DC3">
        <w:rPr>
          <w:rFonts w:ascii="Arial" w:hAnsi="Arial" w:cs="Arial"/>
          <w:b/>
          <w:sz w:val="16"/>
          <w:szCs w:val="16"/>
          <w:lang w:val="de-DE"/>
        </w:rPr>
        <w:t>Berichte informeller Arbeitsgruppen</w:t>
      </w:r>
    </w:p>
    <w:p w14:paraId="52793FAD" w14:textId="77777777" w:rsidR="00552DC3" w:rsidRPr="00870D92" w:rsidRDefault="00552DC3" w:rsidP="00552DC3">
      <w:pPr>
        <w:rPr>
          <w:lang w:val="de-DE"/>
        </w:rPr>
      </w:pPr>
    </w:p>
    <w:p w14:paraId="108CB6BA" w14:textId="77777777" w:rsidR="00D2078A" w:rsidRPr="002E1C82" w:rsidRDefault="00D2078A" w:rsidP="00213CD9">
      <w:pPr>
        <w:pStyle w:val="HCh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213CD9" w:rsidRPr="002E1C82">
        <w:rPr>
          <w:lang w:val="de-DE"/>
        </w:rPr>
        <w:t>Bericht der informellen Arbeitsgruppe „LNG“</w:t>
      </w:r>
    </w:p>
    <w:p w14:paraId="014AC01C" w14:textId="77777777" w:rsidR="00D2078A" w:rsidRPr="002E1C82" w:rsidRDefault="00D2078A" w:rsidP="00213CD9">
      <w:pPr>
        <w:pStyle w:val="H1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213CD9" w:rsidRPr="002E1C82">
        <w:rPr>
          <w:lang w:val="de-DE"/>
        </w:rPr>
        <w:t>Eingereicht von den Niederlanden und der Schweiz</w:t>
      </w:r>
      <w:r w:rsidR="00213CD9" w:rsidRPr="002E1C82">
        <w:rPr>
          <w:rStyle w:val="FootnoteReference"/>
          <w:sz w:val="24"/>
          <w:szCs w:val="24"/>
          <w:lang w:val="de-DE"/>
        </w:rPr>
        <w:footnoteReference w:customMarkFollows="1" w:id="1"/>
        <w:t>*</w:t>
      </w:r>
      <w:r w:rsidR="00213CD9" w:rsidRPr="002E1C82">
        <w:rPr>
          <w:szCs w:val="24"/>
          <w:vertAlign w:val="superscript"/>
          <w:lang w:val="de-DE"/>
        </w:rPr>
        <w:t>,</w:t>
      </w:r>
      <w:r w:rsidR="00213CD9" w:rsidRPr="002E1C82">
        <w:rPr>
          <w:rStyle w:val="FootnoteReference"/>
          <w:sz w:val="24"/>
          <w:szCs w:val="24"/>
          <w:lang w:val="de-DE"/>
        </w:rPr>
        <w:footnoteReference w:customMarkFollows="1" w:id="2"/>
        <w:t>**</w:t>
      </w:r>
    </w:p>
    <w:p w14:paraId="2BB8B10A" w14:textId="77777777" w:rsidR="00D2078A" w:rsidRPr="002E1C82" w:rsidRDefault="00D2078A" w:rsidP="00213CD9">
      <w:pPr>
        <w:pStyle w:val="HCh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213CD9" w:rsidRPr="002E1C82">
        <w:rPr>
          <w:lang w:val="de-DE"/>
        </w:rPr>
        <w:t>Einleitung</w:t>
      </w:r>
    </w:p>
    <w:p w14:paraId="676C8F51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1.</w:t>
      </w:r>
      <w:r w:rsidRPr="002E1C82">
        <w:rPr>
          <w:lang w:val="de-DE"/>
        </w:rPr>
        <w:tab/>
      </w:r>
      <w:r w:rsidR="0010080D" w:rsidRPr="002E1C82">
        <w:rPr>
          <w:lang w:val="de-DE"/>
        </w:rPr>
        <w:t>Die informelle Arbeitsgruppe „LNG“ hielt am 21. und 22. September 2016 am Sitz des Ministeriums für Infrastruktur und Umwelt in Den Haag, Niederlande, ihre zweite Sitzung ab.</w:t>
      </w:r>
      <w:r w:rsidRPr="002E1C82">
        <w:rPr>
          <w:lang w:val="de-DE"/>
        </w:rPr>
        <w:t xml:space="preserve"> </w:t>
      </w:r>
      <w:r w:rsidR="0010080D" w:rsidRPr="002E1C82">
        <w:rPr>
          <w:lang w:val="de-DE"/>
        </w:rPr>
        <w:t xml:space="preserve">An der Sitzung </w:t>
      </w:r>
      <w:r w:rsidR="0010080D" w:rsidRPr="00C575A8">
        <w:rPr>
          <w:lang w:val="de-DE"/>
        </w:rPr>
        <w:t>nahmen Delegierte aus Deutschland, den Ni</w:t>
      </w:r>
      <w:r w:rsidR="00A83531" w:rsidRPr="00C575A8">
        <w:rPr>
          <w:lang w:val="de-DE"/>
        </w:rPr>
        <w:t>ederlanden und</w:t>
      </w:r>
      <w:r w:rsidR="0010080D" w:rsidRPr="00C575A8">
        <w:rPr>
          <w:lang w:val="de-DE"/>
        </w:rPr>
        <w:t xml:space="preserve"> der Schweiz </w:t>
      </w:r>
      <w:r w:rsidR="00A83531" w:rsidRPr="00C575A8">
        <w:rPr>
          <w:lang w:val="de-DE"/>
        </w:rPr>
        <w:t>sowie</w:t>
      </w:r>
      <w:r w:rsidR="0010080D" w:rsidRPr="00C575A8">
        <w:rPr>
          <w:lang w:val="de-DE"/>
        </w:rPr>
        <w:t xml:space="preserve"> Vertreter der Zentralkommission für die Rheinschifffahrt und </w:t>
      </w:r>
      <w:r w:rsidR="00D44C08" w:rsidRPr="00C575A8">
        <w:rPr>
          <w:lang w:val="de-DE"/>
        </w:rPr>
        <w:t xml:space="preserve">von </w:t>
      </w:r>
      <w:r w:rsidR="0010080D" w:rsidRPr="00C575A8">
        <w:rPr>
          <w:lang w:val="de-DE"/>
        </w:rPr>
        <w:t>Lloyds Register teil.</w:t>
      </w:r>
    </w:p>
    <w:p w14:paraId="4AC31517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2.</w:t>
      </w:r>
      <w:r w:rsidRPr="002E1C82">
        <w:rPr>
          <w:lang w:val="de-DE"/>
        </w:rPr>
        <w:tab/>
      </w:r>
      <w:r w:rsidR="00A83531" w:rsidRPr="002E1C82">
        <w:rPr>
          <w:lang w:val="de-DE"/>
        </w:rPr>
        <w:t>Die informelle Arbeitsgruppe war in der Sitzung des ADN-Sicherheitsausschusses im Januar 2016 eingesetzt worden.</w:t>
      </w:r>
      <w:r w:rsidR="00021744" w:rsidRPr="002E1C82">
        <w:rPr>
          <w:lang w:val="de-DE"/>
        </w:rPr>
        <w:t xml:space="preserve"> In dieser Sitzung </w:t>
      </w:r>
      <w:r w:rsidR="00DE6117" w:rsidRPr="002E1C82">
        <w:rPr>
          <w:lang w:val="de-DE"/>
        </w:rPr>
        <w:t>hatte</w:t>
      </w:r>
      <w:r w:rsidR="00021744" w:rsidRPr="002E1C82">
        <w:rPr>
          <w:lang w:val="de-DE"/>
        </w:rPr>
        <w:t xml:space="preserve"> der Sicherheitsausschuss </w:t>
      </w:r>
      <w:r w:rsidR="00DE6117" w:rsidRPr="002E1C82">
        <w:rPr>
          <w:lang w:val="de-DE"/>
        </w:rPr>
        <w:t>davon Kenntnis genommen</w:t>
      </w:r>
      <w:r w:rsidR="00021744" w:rsidRPr="002E1C82">
        <w:rPr>
          <w:lang w:val="de-DE"/>
        </w:rPr>
        <w:t xml:space="preserve">, </w:t>
      </w:r>
      <w:r w:rsidR="00DE6117" w:rsidRPr="002E1C82">
        <w:rPr>
          <w:lang w:val="de-DE"/>
        </w:rPr>
        <w:t xml:space="preserve">dass der </w:t>
      </w:r>
      <w:r w:rsidR="00DE6117" w:rsidRPr="00C575A8">
        <w:rPr>
          <w:lang w:val="de-DE"/>
        </w:rPr>
        <w:t xml:space="preserve">niederländische Vertreter </w:t>
      </w:r>
      <w:r w:rsidR="00021744" w:rsidRPr="00C575A8">
        <w:rPr>
          <w:lang w:val="de-DE"/>
        </w:rPr>
        <w:t>eine Sitzung ab</w:t>
      </w:r>
      <w:r w:rsidR="00DE6117" w:rsidRPr="00C575A8">
        <w:rPr>
          <w:lang w:val="de-DE"/>
        </w:rPr>
        <w:t>zu</w:t>
      </w:r>
      <w:r w:rsidR="00021744" w:rsidRPr="00C575A8">
        <w:rPr>
          <w:lang w:val="de-DE"/>
        </w:rPr>
        <w:t>halten</w:t>
      </w:r>
      <w:r w:rsidR="00DE6117" w:rsidRPr="00C575A8">
        <w:rPr>
          <w:lang w:val="de-DE"/>
        </w:rPr>
        <w:t xml:space="preserve"> wünschte</w:t>
      </w:r>
      <w:r w:rsidR="00021744" w:rsidRPr="00C575A8">
        <w:rPr>
          <w:lang w:val="de-DE"/>
        </w:rPr>
        <w:t xml:space="preserve">, um in die dem ADN beigefügte Verordnung Bestimmungen </w:t>
      </w:r>
      <w:r w:rsidR="0026467E" w:rsidRPr="00C575A8">
        <w:rPr>
          <w:lang w:val="de-DE"/>
        </w:rPr>
        <w:t>über</w:t>
      </w:r>
      <w:r w:rsidR="00021744" w:rsidRPr="00C575A8">
        <w:rPr>
          <w:lang w:val="de-DE"/>
        </w:rPr>
        <w:t xml:space="preserve"> die Nutzung von LNG </w:t>
      </w:r>
      <w:r w:rsidR="0026467E" w:rsidRPr="00C575A8">
        <w:rPr>
          <w:lang w:val="de-DE"/>
        </w:rPr>
        <w:t>für den Antrieb von Binnenschiffen</w:t>
      </w:r>
      <w:r w:rsidR="0026467E" w:rsidRPr="002E1C82">
        <w:rPr>
          <w:lang w:val="de-DE"/>
        </w:rPr>
        <w:t>, die gefährliche Güter befördern, aufzunehmen (ECE/TRANS/WP.15/AC.2/58, Absätze 63-64).</w:t>
      </w:r>
    </w:p>
    <w:p w14:paraId="390D02D9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3.</w:t>
      </w:r>
      <w:r w:rsidRPr="002E1C82">
        <w:rPr>
          <w:lang w:val="de-DE"/>
        </w:rPr>
        <w:tab/>
      </w:r>
      <w:r w:rsidR="00651190" w:rsidRPr="002E1C82">
        <w:rPr>
          <w:lang w:val="de-DE"/>
        </w:rPr>
        <w:t>Im Mai 2016 hielt die informelle Arbeitsgruppe ihre erste Sitzung ab.</w:t>
      </w:r>
      <w:r w:rsidRPr="002E1C82">
        <w:rPr>
          <w:lang w:val="de-DE"/>
        </w:rPr>
        <w:t xml:space="preserve"> </w:t>
      </w:r>
      <w:r w:rsidR="00651190" w:rsidRPr="002E1C82">
        <w:rPr>
          <w:lang w:val="de-DE"/>
        </w:rPr>
        <w:t xml:space="preserve">In dem Bericht dieser Sitzung (ECE/TRANS/WP.15/AC.2/2016/46) wurde der ADN-Sicherheitsausschuss gebeten, die darin beschriebenen Optionen (Absätze 9-12) zur Anpassung </w:t>
      </w:r>
      <w:r w:rsidR="00651190" w:rsidRPr="00C575A8">
        <w:rPr>
          <w:lang w:val="de-DE"/>
        </w:rPr>
        <w:t xml:space="preserve">der dem ADN beigefügten Verordnung </w:t>
      </w:r>
      <w:r w:rsidR="00C80838" w:rsidRPr="00C575A8">
        <w:rPr>
          <w:lang w:val="de-DE"/>
        </w:rPr>
        <w:t>an</w:t>
      </w:r>
      <w:r w:rsidR="00645E12" w:rsidRPr="00C575A8">
        <w:rPr>
          <w:lang w:val="de-DE"/>
        </w:rPr>
        <w:t xml:space="preserve"> d</w:t>
      </w:r>
      <w:r w:rsidR="00C80838" w:rsidRPr="00C575A8">
        <w:rPr>
          <w:lang w:val="de-DE"/>
        </w:rPr>
        <w:t>i</w:t>
      </w:r>
      <w:r w:rsidR="00645E12" w:rsidRPr="00C575A8">
        <w:rPr>
          <w:lang w:val="de-DE"/>
        </w:rPr>
        <w:t>e Nutzung</w:t>
      </w:r>
      <w:r w:rsidR="00645E12" w:rsidRPr="002E1C82">
        <w:rPr>
          <w:lang w:val="de-DE"/>
        </w:rPr>
        <w:t xml:space="preserve"> von LNG</w:t>
      </w:r>
      <w:r w:rsidR="00651190" w:rsidRPr="002E1C82">
        <w:rPr>
          <w:lang w:val="de-DE"/>
        </w:rPr>
        <w:t xml:space="preserve"> zu prüfen</w:t>
      </w:r>
      <w:r w:rsidR="00645E12" w:rsidRPr="002E1C82">
        <w:rPr>
          <w:lang w:val="de-DE"/>
        </w:rPr>
        <w:t xml:space="preserve"> und die von ihm bevorzugte Option auszuwählen</w:t>
      </w:r>
      <w:r w:rsidR="00651190" w:rsidRPr="002E1C82">
        <w:rPr>
          <w:lang w:val="de-DE"/>
        </w:rPr>
        <w:t>.</w:t>
      </w:r>
      <w:r w:rsidRPr="002E1C82">
        <w:rPr>
          <w:lang w:val="de-DE"/>
        </w:rPr>
        <w:t xml:space="preserve"> </w:t>
      </w:r>
      <w:r w:rsidR="00645E12" w:rsidRPr="002E1C82">
        <w:rPr>
          <w:lang w:val="de-DE"/>
        </w:rPr>
        <w:t>Der Sicherheitsausschuss behandelte den Bericht in seiner Sitzung im August 2016 und wählte Option C für die künftigen Arbeiten der informellen Arbeitsgruppe, mit der Maßgabe, dass Kapitel 30 und Anlage 8 des ES-TRIN in den Arbeitssprachen</w:t>
      </w:r>
      <w:r w:rsidR="00C575A8">
        <w:rPr>
          <w:lang w:val="de-DE"/>
        </w:rPr>
        <w:t xml:space="preserve"> des ADN-Sicherheitsausschusses</w:t>
      </w:r>
      <w:r w:rsidR="00645E12" w:rsidRPr="002E1C82">
        <w:rPr>
          <w:lang w:val="de-DE"/>
        </w:rPr>
        <w:t xml:space="preserve"> zur Verfügung zu stellen sind</w:t>
      </w:r>
      <w:r w:rsidR="00D52FBD" w:rsidRPr="002E1C82">
        <w:rPr>
          <w:lang w:val="de-DE"/>
        </w:rPr>
        <w:t xml:space="preserve"> (ECE/TRANS/WP.15/AC.2/60 Absatz 51)</w:t>
      </w:r>
      <w:r w:rsidR="00645E12" w:rsidRPr="002E1C82">
        <w:rPr>
          <w:lang w:val="de-DE"/>
        </w:rPr>
        <w:t>.</w:t>
      </w:r>
      <w:r w:rsidRPr="002E1C82">
        <w:rPr>
          <w:lang w:val="de-DE"/>
        </w:rPr>
        <w:t xml:space="preserve"> </w:t>
      </w:r>
    </w:p>
    <w:p w14:paraId="43332376" w14:textId="77777777" w:rsidR="006918DE" w:rsidRDefault="006918DE">
      <w:pPr>
        <w:suppressAutoHyphens w:val="0"/>
        <w:spacing w:after="200" w:line="276" w:lineRule="auto"/>
        <w:rPr>
          <w:b/>
          <w:sz w:val="28"/>
          <w:lang w:val="de-DE"/>
        </w:rPr>
      </w:pPr>
      <w:r>
        <w:rPr>
          <w:lang w:val="de-DE"/>
        </w:rPr>
        <w:br w:type="page"/>
      </w:r>
    </w:p>
    <w:p w14:paraId="1BE43D89" w14:textId="77777777" w:rsidR="003131E2" w:rsidRPr="002E1C82" w:rsidRDefault="003131E2" w:rsidP="00C80838">
      <w:pPr>
        <w:pStyle w:val="HChG"/>
        <w:rPr>
          <w:lang w:val="de-DE"/>
        </w:rPr>
      </w:pPr>
      <w:r w:rsidRPr="002E1C82">
        <w:rPr>
          <w:lang w:val="de-DE"/>
        </w:rPr>
        <w:lastRenderedPageBreak/>
        <w:tab/>
      </w:r>
      <w:r w:rsidRPr="002E1C82">
        <w:rPr>
          <w:lang w:val="de-DE"/>
        </w:rPr>
        <w:tab/>
      </w:r>
      <w:r w:rsidR="00D96D7F" w:rsidRPr="002E1C82">
        <w:rPr>
          <w:lang w:val="de-DE"/>
        </w:rPr>
        <w:t>Überlegungen zur Diskussion im ADN-Sicherheitsausschuss</w:t>
      </w:r>
    </w:p>
    <w:p w14:paraId="1E19782E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4.</w:t>
      </w:r>
      <w:r w:rsidRPr="002E1C82">
        <w:rPr>
          <w:lang w:val="de-DE"/>
        </w:rPr>
        <w:tab/>
      </w:r>
      <w:r w:rsidR="006769E9" w:rsidRPr="002E1C82">
        <w:rPr>
          <w:lang w:val="de-DE"/>
        </w:rPr>
        <w:t xml:space="preserve">Die informelle Arbeitsgruppe erörterte das Ergebnis der Diskussion im ADN-Sicherheitsausschuss über den Bericht </w:t>
      </w:r>
      <w:r w:rsidR="00806372">
        <w:rPr>
          <w:lang w:val="de-DE"/>
        </w:rPr>
        <w:t>ihrer</w:t>
      </w:r>
      <w:r w:rsidR="006769E9" w:rsidRPr="002E1C82">
        <w:rPr>
          <w:lang w:val="de-DE"/>
        </w:rPr>
        <w:t xml:space="preserve"> ersten Sitzung.</w:t>
      </w:r>
      <w:r w:rsidRPr="002E1C82">
        <w:rPr>
          <w:lang w:val="de-DE"/>
        </w:rPr>
        <w:t xml:space="preserve"> </w:t>
      </w:r>
      <w:r w:rsidR="006769E9" w:rsidRPr="002E1C82">
        <w:rPr>
          <w:lang w:val="de-DE"/>
        </w:rPr>
        <w:t xml:space="preserve">Die Arbeitsgruppe begrüßte das Ergebnis der Diskussion in Genf, da Option C die Vorrechte aller ADN-Mitgliedstaaten </w:t>
      </w:r>
      <w:r w:rsidR="006C7543" w:rsidRPr="002E1C82">
        <w:rPr>
          <w:lang w:val="de-DE"/>
        </w:rPr>
        <w:t>umfassend</w:t>
      </w:r>
      <w:r w:rsidR="006769E9" w:rsidRPr="002E1C82">
        <w:rPr>
          <w:lang w:val="de-DE"/>
        </w:rPr>
        <w:t xml:space="preserve"> wahrt</w:t>
      </w:r>
      <w:r w:rsidR="006C7543" w:rsidRPr="002E1C82">
        <w:rPr>
          <w:lang w:val="de-DE"/>
        </w:rPr>
        <w:t xml:space="preserve"> </w:t>
      </w:r>
      <w:r w:rsidR="0094270F" w:rsidRPr="002E1C82">
        <w:rPr>
          <w:lang w:val="de-DE"/>
        </w:rPr>
        <w:t>und diese in die Lage versetzt</w:t>
      </w:r>
      <w:r w:rsidR="006769E9" w:rsidRPr="002E1C82">
        <w:rPr>
          <w:lang w:val="de-DE"/>
        </w:rPr>
        <w:t xml:space="preserve">, </w:t>
      </w:r>
      <w:r w:rsidR="006C7543" w:rsidRPr="002E1C82">
        <w:rPr>
          <w:lang w:val="de-DE"/>
        </w:rPr>
        <w:t>fundierte</w:t>
      </w:r>
      <w:r w:rsidR="006769E9" w:rsidRPr="002E1C82">
        <w:rPr>
          <w:lang w:val="de-DE"/>
        </w:rPr>
        <w:t xml:space="preserve"> Entscheidungen in dieser Angelegenheit zu treffen.</w:t>
      </w:r>
    </w:p>
    <w:p w14:paraId="52243428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5.</w:t>
      </w:r>
      <w:r w:rsidRPr="002E1C82">
        <w:rPr>
          <w:lang w:val="de-DE"/>
        </w:rPr>
        <w:tab/>
      </w:r>
      <w:r w:rsidR="00621674" w:rsidRPr="002E1C82">
        <w:rPr>
          <w:lang w:val="de-DE"/>
        </w:rPr>
        <w:t xml:space="preserve">Obwohl </w:t>
      </w:r>
      <w:r w:rsidR="00991F75" w:rsidRPr="002E1C82">
        <w:rPr>
          <w:lang w:val="de-DE"/>
        </w:rPr>
        <w:t>der</w:t>
      </w:r>
      <w:r w:rsidR="00621674" w:rsidRPr="002E1C82">
        <w:rPr>
          <w:lang w:val="de-DE"/>
        </w:rPr>
        <w:t xml:space="preserve"> Bericht des ADN-Sicherheitsausschusses nicht </w:t>
      </w:r>
      <w:r w:rsidR="000B0064" w:rsidRPr="002E1C82">
        <w:rPr>
          <w:lang w:val="de-DE"/>
        </w:rPr>
        <w:t>darauf eing</w:t>
      </w:r>
      <w:r w:rsidR="00991F75" w:rsidRPr="002E1C82">
        <w:rPr>
          <w:lang w:val="de-DE"/>
        </w:rPr>
        <w:t>ing</w:t>
      </w:r>
      <w:r w:rsidR="00621674" w:rsidRPr="002E1C82">
        <w:rPr>
          <w:lang w:val="de-DE"/>
        </w:rPr>
        <w:t xml:space="preserve">, </w:t>
      </w:r>
      <w:r w:rsidR="00991F75" w:rsidRPr="002E1C82">
        <w:rPr>
          <w:lang w:val="de-DE"/>
        </w:rPr>
        <w:t>erörterte</w:t>
      </w:r>
      <w:r w:rsidR="00621674" w:rsidRPr="002E1C82">
        <w:rPr>
          <w:lang w:val="de-DE"/>
        </w:rPr>
        <w:t xml:space="preserve"> die informelle Arbeitsgruppe </w:t>
      </w:r>
      <w:r w:rsidR="000B0064" w:rsidRPr="002E1C82">
        <w:rPr>
          <w:lang w:val="de-DE"/>
        </w:rPr>
        <w:t>einen Unfall</w:t>
      </w:r>
      <w:r w:rsidR="003D6BCC" w:rsidRPr="002E1C82">
        <w:rPr>
          <w:lang w:val="de-DE"/>
        </w:rPr>
        <w:t>, der sich</w:t>
      </w:r>
      <w:r w:rsidR="000B0064" w:rsidRPr="002E1C82">
        <w:rPr>
          <w:lang w:val="de-DE"/>
        </w:rPr>
        <w:t xml:space="preserve"> </w:t>
      </w:r>
      <w:r w:rsidR="003D6BCC" w:rsidRPr="002E1C82">
        <w:rPr>
          <w:lang w:val="de-DE"/>
        </w:rPr>
        <w:t xml:space="preserve">im April 2016 auf der Mosel </w:t>
      </w:r>
      <w:r w:rsidR="000B0064" w:rsidRPr="002E1C82">
        <w:rPr>
          <w:lang w:val="de-DE"/>
        </w:rPr>
        <w:t xml:space="preserve">mit </w:t>
      </w:r>
      <w:r w:rsidR="00991F75" w:rsidRPr="002E1C82">
        <w:rPr>
          <w:lang w:val="de-DE"/>
        </w:rPr>
        <w:t>einem</w:t>
      </w:r>
      <w:r w:rsidR="000B0064" w:rsidRPr="002E1C82">
        <w:rPr>
          <w:lang w:val="de-DE"/>
        </w:rPr>
        <w:t xml:space="preserve"> </w:t>
      </w:r>
      <w:r w:rsidR="003D6BCC" w:rsidRPr="002E1C82">
        <w:rPr>
          <w:lang w:val="de-DE"/>
        </w:rPr>
        <w:t xml:space="preserve">LNG-angetriebenen </w:t>
      </w:r>
      <w:r w:rsidR="000B0064" w:rsidRPr="002E1C82">
        <w:rPr>
          <w:lang w:val="de-DE"/>
        </w:rPr>
        <w:t>Binnenschiff</w:t>
      </w:r>
      <w:r w:rsidR="003D6BCC" w:rsidRPr="002E1C82">
        <w:rPr>
          <w:lang w:val="de-DE"/>
        </w:rPr>
        <w:t xml:space="preserve"> ereignet h</w:t>
      </w:r>
      <w:r w:rsidR="00A72179" w:rsidRPr="002E1C82">
        <w:rPr>
          <w:lang w:val="de-DE"/>
        </w:rPr>
        <w:t>at</w:t>
      </w:r>
      <w:r w:rsidR="003D6BCC" w:rsidRPr="002E1C82">
        <w:rPr>
          <w:lang w:val="de-DE"/>
        </w:rPr>
        <w:t>.</w:t>
      </w:r>
      <w:r w:rsidR="00CE62E0" w:rsidRPr="002E1C82">
        <w:rPr>
          <w:lang w:val="de-DE"/>
        </w:rPr>
        <w:t xml:space="preserve"> </w:t>
      </w:r>
      <w:r w:rsidR="00A72179" w:rsidRPr="002E1C82">
        <w:rPr>
          <w:lang w:val="de-DE"/>
        </w:rPr>
        <w:t xml:space="preserve">Der Vertreter von Lloyds Register hielt einen </w:t>
      </w:r>
      <w:r w:rsidR="009F25B5" w:rsidRPr="002E1C82">
        <w:rPr>
          <w:lang w:val="de-DE"/>
        </w:rPr>
        <w:t>umfassenden</w:t>
      </w:r>
      <w:r w:rsidR="00A72179" w:rsidRPr="002E1C82">
        <w:rPr>
          <w:lang w:val="de-DE"/>
        </w:rPr>
        <w:t xml:space="preserve"> Vortrag über den Unfall (Ursache, Folgen und Lehren </w:t>
      </w:r>
      <w:r w:rsidR="009F25B5" w:rsidRPr="002E1C82">
        <w:rPr>
          <w:lang w:val="de-DE"/>
        </w:rPr>
        <w:t>bezüglich Bauart des Schiffes</w:t>
      </w:r>
      <w:r w:rsidR="00A72179" w:rsidRPr="002E1C82">
        <w:rPr>
          <w:lang w:val="de-DE"/>
        </w:rPr>
        <w:t xml:space="preserve"> </w:t>
      </w:r>
      <w:r w:rsidR="009F25B5" w:rsidRPr="002E1C82">
        <w:rPr>
          <w:lang w:val="de-DE"/>
        </w:rPr>
        <w:t>und Löschverfahren).</w:t>
      </w:r>
      <w:r w:rsidRPr="002E1C82">
        <w:rPr>
          <w:lang w:val="de-DE"/>
        </w:rPr>
        <w:t xml:space="preserve"> </w:t>
      </w:r>
      <w:r w:rsidR="00AD1EE7" w:rsidRPr="002E1C82">
        <w:rPr>
          <w:lang w:val="de-DE"/>
        </w:rPr>
        <w:t>Die informelle Arbeitsgruppe gelangte zu der Auffassung, dass der Unfall durch nautisches Versagen verursacht wurde und mit dem an Bord genutzten LNG in keinem Zusammenhang stand.</w:t>
      </w:r>
    </w:p>
    <w:p w14:paraId="51F1CC41" w14:textId="77777777" w:rsidR="003131E2" w:rsidRPr="002E1C82" w:rsidRDefault="003131E2" w:rsidP="00C80838">
      <w:pPr>
        <w:pStyle w:val="SingleTxtG"/>
        <w:rPr>
          <w:lang w:val="de-DE"/>
        </w:rPr>
      </w:pPr>
      <w:r w:rsidRPr="002E1C82">
        <w:rPr>
          <w:lang w:val="de-DE"/>
        </w:rPr>
        <w:t>6.</w:t>
      </w:r>
      <w:r w:rsidRPr="002E1C82">
        <w:rPr>
          <w:lang w:val="de-DE"/>
        </w:rPr>
        <w:tab/>
      </w:r>
      <w:r w:rsidR="00003F44" w:rsidRPr="002E1C82">
        <w:rPr>
          <w:lang w:val="de-DE"/>
        </w:rPr>
        <w:t xml:space="preserve">Der Vertreter der ZKR informierte die Arbeitsgruppe über die Annahme und </w:t>
      </w:r>
      <w:r w:rsidR="00BA6982" w:rsidRPr="002E1C82">
        <w:rPr>
          <w:lang w:val="de-DE"/>
        </w:rPr>
        <w:t>vorgesehene</w:t>
      </w:r>
      <w:r w:rsidR="00003F44" w:rsidRPr="002E1C82">
        <w:rPr>
          <w:lang w:val="de-DE"/>
        </w:rPr>
        <w:t xml:space="preserve"> Inkraftsetzung europäisch</w:t>
      </w:r>
      <w:r w:rsidR="00C11001" w:rsidRPr="002E1C82">
        <w:rPr>
          <w:lang w:val="de-DE"/>
        </w:rPr>
        <w:t xml:space="preserve">er </w:t>
      </w:r>
      <w:r w:rsidR="00BA6982" w:rsidRPr="002E1C82">
        <w:rPr>
          <w:lang w:val="de-DE"/>
        </w:rPr>
        <w:t>V</w:t>
      </w:r>
      <w:r w:rsidR="00003F44" w:rsidRPr="002E1C82">
        <w:rPr>
          <w:lang w:val="de-DE"/>
        </w:rPr>
        <w:t xml:space="preserve">orschriften über technische Anforderungen </w:t>
      </w:r>
      <w:r w:rsidR="00C11001" w:rsidRPr="002E1C82">
        <w:rPr>
          <w:lang w:val="de-DE"/>
        </w:rPr>
        <w:t>an</w:t>
      </w:r>
      <w:r w:rsidR="00003F44" w:rsidRPr="002E1C82">
        <w:rPr>
          <w:lang w:val="de-DE"/>
        </w:rPr>
        <w:t xml:space="preserve"> Binnenschiffe (</w:t>
      </w:r>
      <w:r w:rsidR="00C11001" w:rsidRPr="002E1C82">
        <w:rPr>
          <w:lang w:val="de-DE"/>
        </w:rPr>
        <w:t>ES-TRIN</w:t>
      </w:r>
      <w:r w:rsidR="00003F44" w:rsidRPr="002E1C82">
        <w:rPr>
          <w:lang w:val="de-DE"/>
        </w:rPr>
        <w:t>)</w:t>
      </w:r>
      <w:r w:rsidR="00681081" w:rsidRPr="002E1C82">
        <w:rPr>
          <w:lang w:val="de-DE"/>
        </w:rPr>
        <w:t xml:space="preserve"> und über Emissionsanforderungen an </w:t>
      </w:r>
      <w:r w:rsidR="00681081" w:rsidRPr="002E1C82">
        <w:rPr>
          <w:color w:val="000000"/>
          <w:lang w:val="de-DE"/>
        </w:rPr>
        <w:t>nicht für den Straßenverkehr bestimmte mobile Maschinen und Geräte (NRMM)</w:t>
      </w:r>
      <w:r w:rsidR="00003F44" w:rsidRPr="002E1C82">
        <w:rPr>
          <w:lang w:val="de-DE"/>
        </w:rPr>
        <w:t>.</w:t>
      </w:r>
      <w:r w:rsidRPr="002E1C82">
        <w:rPr>
          <w:lang w:val="de-DE"/>
        </w:rPr>
        <w:t xml:space="preserve"> </w:t>
      </w:r>
      <w:r w:rsidR="00BA6982" w:rsidRPr="002E1C82">
        <w:rPr>
          <w:lang w:val="de-DE"/>
        </w:rPr>
        <w:t>Die informelle Arbeitsgruppe erörterte diese Entwicklungen ebenso wie das Verhältnis und Zusammenwirken der Vorschriften der Vereinten Nationen, der Europäischen Union und der ZKR.</w:t>
      </w:r>
    </w:p>
    <w:p w14:paraId="4435BEC4" w14:textId="77777777" w:rsidR="003131E2" w:rsidRPr="002E1C82" w:rsidRDefault="003131E2" w:rsidP="00354221">
      <w:pPr>
        <w:pStyle w:val="HCh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8944AC" w:rsidRPr="00CC2F6A">
        <w:rPr>
          <w:lang w:val="de-DE"/>
        </w:rPr>
        <w:t>Beziehung</w:t>
      </w:r>
      <w:r w:rsidR="00BA6982" w:rsidRPr="00CC2F6A">
        <w:rPr>
          <w:lang w:val="de-DE"/>
        </w:rPr>
        <w:t xml:space="preserve"> zwischen LNG als </w:t>
      </w:r>
      <w:r w:rsidR="0095200A" w:rsidRPr="00CC2F6A">
        <w:rPr>
          <w:lang w:val="de-DE"/>
        </w:rPr>
        <w:t>Antriebsb</w:t>
      </w:r>
      <w:r w:rsidR="00C80838" w:rsidRPr="00CC2F6A">
        <w:rPr>
          <w:lang w:val="de-DE"/>
        </w:rPr>
        <w:t>renn</w:t>
      </w:r>
      <w:r w:rsidR="00BA6982" w:rsidRPr="00CC2F6A">
        <w:rPr>
          <w:lang w:val="de-DE"/>
        </w:rPr>
        <w:t>stoff</w:t>
      </w:r>
      <w:r w:rsidR="00C80838" w:rsidRPr="002E1C82">
        <w:rPr>
          <w:lang w:val="de-DE"/>
        </w:rPr>
        <w:t xml:space="preserve"> </w:t>
      </w:r>
      <w:r w:rsidR="00BA6982" w:rsidRPr="002E1C82">
        <w:rPr>
          <w:lang w:val="de-DE"/>
        </w:rPr>
        <w:t>und a</w:t>
      </w:r>
      <w:r w:rsidR="008944AC" w:rsidRPr="002E1C82">
        <w:rPr>
          <w:lang w:val="de-DE"/>
        </w:rPr>
        <w:t>uf</w:t>
      </w:r>
      <w:r w:rsidR="00BA6982" w:rsidRPr="002E1C82">
        <w:rPr>
          <w:lang w:val="de-DE"/>
        </w:rPr>
        <w:t xml:space="preserve"> Binnenschiffen beförderten G</w:t>
      </w:r>
      <w:r w:rsidR="00EA1775" w:rsidRPr="002E1C82">
        <w:rPr>
          <w:lang w:val="de-DE"/>
        </w:rPr>
        <w:t>efahrg</w:t>
      </w:r>
      <w:r w:rsidR="00BA6982" w:rsidRPr="002E1C82">
        <w:rPr>
          <w:lang w:val="de-DE"/>
        </w:rPr>
        <w:t>ütern</w:t>
      </w:r>
    </w:p>
    <w:p w14:paraId="5CE44748" w14:textId="77777777" w:rsidR="003131E2" w:rsidRPr="002E1C82" w:rsidRDefault="003131E2" w:rsidP="00354221">
      <w:pPr>
        <w:pStyle w:val="SingleTxtG"/>
        <w:rPr>
          <w:lang w:val="de-DE"/>
        </w:rPr>
      </w:pPr>
      <w:r w:rsidRPr="002E1C82">
        <w:rPr>
          <w:lang w:val="de-DE"/>
        </w:rPr>
        <w:t>7.</w:t>
      </w:r>
      <w:r w:rsidRPr="002E1C82">
        <w:rPr>
          <w:lang w:val="de-DE"/>
        </w:rPr>
        <w:tab/>
      </w:r>
      <w:r w:rsidR="00EA1775" w:rsidRPr="002E1C82">
        <w:rPr>
          <w:lang w:val="de-DE"/>
        </w:rPr>
        <w:t xml:space="preserve">Wie im Bericht der ersten Sitzung angekündigt, diskutierte die informelle Arbeitsgruppe über mögliche Wechselwirkungen zwischen </w:t>
      </w:r>
      <w:r w:rsidR="00EA1775" w:rsidRPr="00CC2F6A">
        <w:rPr>
          <w:lang w:val="de-DE"/>
        </w:rPr>
        <w:t>LNG (als Brennstoff) und anderen auf Binnenschiffen beförderten Gefahrgüte</w:t>
      </w:r>
      <w:r w:rsidR="00FF57D4" w:rsidRPr="00CC2F6A">
        <w:rPr>
          <w:lang w:val="de-DE"/>
        </w:rPr>
        <w:t>rn.</w:t>
      </w:r>
      <w:r w:rsidRPr="00CC2F6A">
        <w:rPr>
          <w:lang w:val="de-DE"/>
        </w:rPr>
        <w:t xml:space="preserve"> </w:t>
      </w:r>
      <w:r w:rsidR="007F5954" w:rsidRPr="00CC2F6A">
        <w:rPr>
          <w:lang w:val="de-DE"/>
        </w:rPr>
        <w:t>Der V</w:t>
      </w:r>
      <w:r w:rsidR="007F5954" w:rsidRPr="002E1C82">
        <w:rPr>
          <w:lang w:val="de-DE"/>
        </w:rPr>
        <w:t>ertreter von Lloyds Register hatte im Vorfeld der Sitzung eine</w:t>
      </w:r>
      <w:r w:rsidR="004F0D61" w:rsidRPr="002E1C82">
        <w:rPr>
          <w:lang w:val="de-DE"/>
        </w:rPr>
        <w:t>n</w:t>
      </w:r>
      <w:r w:rsidR="007F5954" w:rsidRPr="002E1C82">
        <w:rPr>
          <w:lang w:val="de-DE"/>
        </w:rPr>
        <w:t xml:space="preserve"> kurze</w:t>
      </w:r>
      <w:r w:rsidR="004F0D61" w:rsidRPr="002E1C82">
        <w:rPr>
          <w:lang w:val="de-DE"/>
        </w:rPr>
        <w:t>n</w:t>
      </w:r>
      <w:r w:rsidR="007F5954" w:rsidRPr="002E1C82">
        <w:rPr>
          <w:lang w:val="de-DE"/>
        </w:rPr>
        <w:t xml:space="preserve"> </w:t>
      </w:r>
      <w:r w:rsidR="004F0D61" w:rsidRPr="002E1C82">
        <w:rPr>
          <w:lang w:val="de-DE"/>
        </w:rPr>
        <w:t xml:space="preserve">Vermerk über den </w:t>
      </w:r>
      <w:r w:rsidR="004F0D61" w:rsidRPr="002E1C82">
        <w:rPr>
          <w:color w:val="000000"/>
          <w:lang w:val="de-DE"/>
        </w:rPr>
        <w:t xml:space="preserve">Chemical Data Guide for Bulk Shipment by Water, eine von der US-Küstenwache durchgeführte und veröffentlichte Studie, </w:t>
      </w:r>
      <w:r w:rsidR="004F0D61" w:rsidRPr="002E1C82">
        <w:rPr>
          <w:lang w:val="de-DE"/>
        </w:rPr>
        <w:t>erstellt.</w:t>
      </w:r>
      <w:r w:rsidRPr="002E1C82">
        <w:rPr>
          <w:lang w:val="de-DE"/>
        </w:rPr>
        <w:t xml:space="preserve"> </w:t>
      </w:r>
      <w:r w:rsidR="00312305" w:rsidRPr="002E1C82">
        <w:rPr>
          <w:lang w:val="de-DE"/>
        </w:rPr>
        <w:t xml:space="preserve">Die informelle Arbeitsgruppe nahm die Schlussfolgerungen der Studie, wonach </w:t>
      </w:r>
      <w:r w:rsidR="00466F3B" w:rsidRPr="002E1C82">
        <w:rPr>
          <w:lang w:val="de-DE"/>
        </w:rPr>
        <w:t xml:space="preserve">es </w:t>
      </w:r>
      <w:r w:rsidR="00312305" w:rsidRPr="002E1C82">
        <w:rPr>
          <w:lang w:val="de-DE"/>
        </w:rPr>
        <w:t xml:space="preserve">zwischen LNG und anderen gefährlichen Stoffen keine </w:t>
      </w:r>
      <w:r w:rsidR="009862D8">
        <w:rPr>
          <w:lang w:val="de-DE"/>
        </w:rPr>
        <w:t>potentiellen</w:t>
      </w:r>
      <w:r w:rsidR="00466F3B" w:rsidRPr="002E1C82">
        <w:rPr>
          <w:lang w:val="de-DE"/>
        </w:rPr>
        <w:t xml:space="preserve"> </w:t>
      </w:r>
      <w:r w:rsidR="00312305" w:rsidRPr="002E1C82">
        <w:rPr>
          <w:lang w:val="de-DE"/>
        </w:rPr>
        <w:t xml:space="preserve">Wechselwirkungen </w:t>
      </w:r>
      <w:r w:rsidR="00466F3B" w:rsidRPr="002E1C82">
        <w:rPr>
          <w:lang w:val="de-DE"/>
        </w:rPr>
        <w:t>gibt</w:t>
      </w:r>
      <w:r w:rsidR="00312305" w:rsidRPr="002E1C82">
        <w:rPr>
          <w:lang w:val="de-DE"/>
        </w:rPr>
        <w:t>, zur Kenntnis.</w:t>
      </w:r>
    </w:p>
    <w:p w14:paraId="3C8F8C71" w14:textId="77777777" w:rsidR="003131E2" w:rsidRPr="002E1C82" w:rsidRDefault="003131E2" w:rsidP="008239A5">
      <w:pPr>
        <w:pStyle w:val="SingleTxtG"/>
        <w:rPr>
          <w:lang w:val="de-DE"/>
        </w:rPr>
      </w:pPr>
      <w:r w:rsidRPr="002E1C82">
        <w:rPr>
          <w:lang w:val="de-DE"/>
        </w:rPr>
        <w:t>8.</w:t>
      </w:r>
      <w:r w:rsidRPr="002E1C82">
        <w:rPr>
          <w:lang w:val="de-DE"/>
        </w:rPr>
        <w:tab/>
      </w:r>
      <w:r w:rsidR="00733D46" w:rsidRPr="00CC2F6A">
        <w:rPr>
          <w:lang w:val="de-DE"/>
        </w:rPr>
        <w:t>Des Weiteren untersuchte die informelle Arbeitsgruppe die Frage, wie ein LNG-Brennstofftank</w:t>
      </w:r>
      <w:r w:rsidR="00733D46" w:rsidRPr="002E1C82">
        <w:rPr>
          <w:lang w:val="de-DE"/>
        </w:rPr>
        <w:t xml:space="preserve"> </w:t>
      </w:r>
      <w:r w:rsidR="00672476" w:rsidRPr="002E1C82">
        <w:rPr>
          <w:lang w:val="de-DE"/>
        </w:rPr>
        <w:t>auf einem</w:t>
      </w:r>
      <w:r w:rsidR="00733D46" w:rsidRPr="002E1C82">
        <w:rPr>
          <w:lang w:val="de-DE"/>
        </w:rPr>
        <w:t xml:space="preserve"> Binnenschiff </w:t>
      </w:r>
      <w:r w:rsidR="00354221" w:rsidRPr="002E1C82">
        <w:rPr>
          <w:lang w:val="de-DE"/>
        </w:rPr>
        <w:t>bei</w:t>
      </w:r>
      <w:r w:rsidR="00733D46" w:rsidRPr="002E1C82">
        <w:rPr>
          <w:lang w:val="de-DE"/>
        </w:rPr>
        <w:t xml:space="preserve"> </w:t>
      </w:r>
      <w:r w:rsidR="00672476" w:rsidRPr="002E1C82">
        <w:rPr>
          <w:lang w:val="de-DE"/>
        </w:rPr>
        <w:t>ein</w:t>
      </w:r>
      <w:r w:rsidR="006A6D62" w:rsidRPr="002E1C82">
        <w:rPr>
          <w:lang w:val="de-DE"/>
        </w:rPr>
        <w:t>e</w:t>
      </w:r>
      <w:r w:rsidR="00354221" w:rsidRPr="002E1C82">
        <w:rPr>
          <w:lang w:val="de-DE"/>
        </w:rPr>
        <w:t>m</w:t>
      </w:r>
      <w:r w:rsidR="00672476" w:rsidRPr="002E1C82">
        <w:rPr>
          <w:lang w:val="de-DE"/>
        </w:rPr>
        <w:t xml:space="preserve"> </w:t>
      </w:r>
      <w:r w:rsidR="006A6D62" w:rsidRPr="002E1C82">
        <w:rPr>
          <w:lang w:val="de-DE"/>
        </w:rPr>
        <w:t>Brand</w:t>
      </w:r>
      <w:r w:rsidR="00672476" w:rsidRPr="002E1C82">
        <w:rPr>
          <w:lang w:val="de-DE"/>
        </w:rPr>
        <w:t xml:space="preserve"> an Bord reagieren würde.</w:t>
      </w:r>
      <w:r w:rsidRPr="002E1C82">
        <w:rPr>
          <w:lang w:val="de-DE"/>
        </w:rPr>
        <w:t xml:space="preserve"> </w:t>
      </w:r>
      <w:r w:rsidR="00672498" w:rsidRPr="002E1C82">
        <w:rPr>
          <w:lang w:val="de-DE"/>
        </w:rPr>
        <w:t>D</w:t>
      </w:r>
      <w:r w:rsidR="00D44C08" w:rsidRPr="002E1C82">
        <w:rPr>
          <w:lang w:val="de-DE"/>
        </w:rPr>
        <w:t>i</w:t>
      </w:r>
      <w:r w:rsidR="00672498" w:rsidRPr="002E1C82">
        <w:rPr>
          <w:lang w:val="de-DE"/>
        </w:rPr>
        <w:t xml:space="preserve">e Vertreter der ZKR und </w:t>
      </w:r>
      <w:r w:rsidR="00D44C08" w:rsidRPr="002E1C82">
        <w:rPr>
          <w:lang w:val="de-DE"/>
        </w:rPr>
        <w:t>von Lloyds Register</w:t>
      </w:r>
      <w:r w:rsidR="00C64FD4" w:rsidRPr="002E1C82">
        <w:rPr>
          <w:lang w:val="de-DE"/>
        </w:rPr>
        <w:t xml:space="preserve"> informierten die Arbeitsgruppe über die besonderen technischen Anforderungen an LNG-Brennstofftanks auf Binnenschiffen.</w:t>
      </w:r>
      <w:r w:rsidRPr="002E1C82">
        <w:rPr>
          <w:lang w:val="de-DE"/>
        </w:rPr>
        <w:t xml:space="preserve"> </w:t>
      </w:r>
      <w:r w:rsidR="00EB12B7" w:rsidRPr="002E1C82">
        <w:rPr>
          <w:lang w:val="de-DE"/>
        </w:rPr>
        <w:t>Die betreffenden Bau- und Sicherheitsvorschriften sind in Kapitel 2.1 der Anlage 8 des ES-TRIN zu finden.</w:t>
      </w:r>
      <w:r w:rsidRPr="002E1C82">
        <w:rPr>
          <w:lang w:val="de-DE"/>
        </w:rPr>
        <w:t xml:space="preserve"> </w:t>
      </w:r>
      <w:r w:rsidR="00F72388" w:rsidRPr="002E1C82">
        <w:rPr>
          <w:lang w:val="de-DE"/>
        </w:rPr>
        <w:t>Artikel 2.1.4 enthält spezielle Normen, die von den Brennstofftanks erfüll</w:t>
      </w:r>
      <w:r w:rsidR="002F1972" w:rsidRPr="002E1C82">
        <w:rPr>
          <w:lang w:val="de-DE"/>
        </w:rPr>
        <w:t>t werd</w:t>
      </w:r>
      <w:r w:rsidR="00F72388" w:rsidRPr="002E1C82">
        <w:rPr>
          <w:lang w:val="de-DE"/>
        </w:rPr>
        <w:t xml:space="preserve">en </w:t>
      </w:r>
      <w:r w:rsidR="002F1972" w:rsidRPr="002E1C82">
        <w:rPr>
          <w:lang w:val="de-DE"/>
        </w:rPr>
        <w:t>müssen</w:t>
      </w:r>
      <w:r w:rsidR="00F72388" w:rsidRPr="002E1C82">
        <w:rPr>
          <w:lang w:val="de-DE"/>
        </w:rPr>
        <w:t>.</w:t>
      </w:r>
      <w:r w:rsidRPr="002E1C82">
        <w:rPr>
          <w:lang w:val="de-DE"/>
        </w:rPr>
        <w:t xml:space="preserve"> </w:t>
      </w:r>
      <w:r w:rsidR="009231F7" w:rsidRPr="002E1C82">
        <w:rPr>
          <w:lang w:val="de-DE"/>
        </w:rPr>
        <w:t xml:space="preserve">Der Vertreter der ZKR wies die Arbeitsgruppe auf das gleichwertige </w:t>
      </w:r>
      <w:r w:rsidR="009231F7" w:rsidRPr="00CC2F6A">
        <w:rPr>
          <w:lang w:val="de-DE"/>
        </w:rPr>
        <w:t xml:space="preserve">Sicherheitsniveau zwischen LNG-Brennstofftanks und </w:t>
      </w:r>
      <w:r w:rsidR="001677CA" w:rsidRPr="00CC2F6A">
        <w:rPr>
          <w:lang w:val="de-DE"/>
        </w:rPr>
        <w:t xml:space="preserve">normalen Brennstofftanks </w:t>
      </w:r>
      <w:r w:rsidR="009231F7" w:rsidRPr="00CC2F6A">
        <w:rPr>
          <w:lang w:val="de-DE"/>
        </w:rPr>
        <w:t>auf Binnenschiffen hin.</w:t>
      </w:r>
      <w:r w:rsidRPr="00CC2F6A">
        <w:rPr>
          <w:lang w:val="de-DE"/>
        </w:rPr>
        <w:t xml:space="preserve"> </w:t>
      </w:r>
      <w:r w:rsidR="00E96F0E" w:rsidRPr="00CC2F6A">
        <w:rPr>
          <w:lang w:val="de-DE"/>
        </w:rPr>
        <w:t>Der Vertreter erklärte ferner, dass im Rahmen des LNG-Masterplan</w:t>
      </w:r>
      <w:r w:rsidR="0042029E" w:rsidRPr="00CC2F6A">
        <w:rPr>
          <w:lang w:val="de-DE"/>
        </w:rPr>
        <w:t>s</w:t>
      </w:r>
      <w:r w:rsidR="00E96F0E" w:rsidRPr="00CC2F6A">
        <w:rPr>
          <w:lang w:val="de-DE"/>
        </w:rPr>
        <w:t xml:space="preserve"> mehrere </w:t>
      </w:r>
      <w:r w:rsidR="00AC555F" w:rsidRPr="00CC2F6A">
        <w:rPr>
          <w:lang w:val="de-DE"/>
        </w:rPr>
        <w:t xml:space="preserve">Richtlinien und Best Practices </w:t>
      </w:r>
      <w:r w:rsidR="00B94B7A" w:rsidRPr="00CC2F6A">
        <w:rPr>
          <w:lang w:val="de-DE"/>
        </w:rPr>
        <w:t xml:space="preserve">veröffentlicht worden seien, wie </w:t>
      </w:r>
      <w:r w:rsidR="00AC555F" w:rsidRPr="00CC2F6A">
        <w:rPr>
          <w:lang w:val="de-DE"/>
        </w:rPr>
        <w:t>Brände auf Binnenschiffen</w:t>
      </w:r>
      <w:r w:rsidR="008E4C86" w:rsidRPr="00CC2F6A">
        <w:rPr>
          <w:lang w:val="de-DE"/>
        </w:rPr>
        <w:t>,</w:t>
      </w:r>
      <w:r w:rsidR="00172271" w:rsidRPr="00CC2F6A">
        <w:rPr>
          <w:lang w:val="de-DE"/>
        </w:rPr>
        <w:t xml:space="preserve"> die LNG als Brennstoff </w:t>
      </w:r>
      <w:r w:rsidR="008239A5" w:rsidRPr="00CC2F6A">
        <w:rPr>
          <w:lang w:val="de-DE"/>
        </w:rPr>
        <w:t xml:space="preserve">für ihren Antrieb </w:t>
      </w:r>
      <w:r w:rsidR="00172271" w:rsidRPr="00CC2F6A">
        <w:rPr>
          <w:lang w:val="de-DE"/>
        </w:rPr>
        <w:t>nutzen,</w:t>
      </w:r>
      <w:r w:rsidR="00B94B7A" w:rsidRPr="00CC2F6A">
        <w:rPr>
          <w:lang w:val="de-DE"/>
        </w:rPr>
        <w:t xml:space="preserve"> verhütet und </w:t>
      </w:r>
      <w:r w:rsidR="00172271" w:rsidRPr="00CC2F6A">
        <w:rPr>
          <w:lang w:val="de-DE"/>
        </w:rPr>
        <w:t xml:space="preserve">bekämpft werden </w:t>
      </w:r>
      <w:r w:rsidR="00CD034F" w:rsidRPr="00CC2F6A">
        <w:rPr>
          <w:lang w:val="de-DE"/>
        </w:rPr>
        <w:t>können</w:t>
      </w:r>
      <w:r w:rsidR="00AC555F" w:rsidRPr="00CC2F6A">
        <w:rPr>
          <w:lang w:val="de-DE"/>
        </w:rPr>
        <w:t>.</w:t>
      </w:r>
    </w:p>
    <w:p w14:paraId="6A0BAB7B" w14:textId="77777777" w:rsidR="007E0A46" w:rsidRDefault="007E0A46">
      <w:pPr>
        <w:suppressAutoHyphens w:val="0"/>
        <w:spacing w:after="200" w:line="276" w:lineRule="auto"/>
        <w:rPr>
          <w:rFonts w:eastAsia="SimSun"/>
          <w:lang w:val="de-DE" w:eastAsia="zh-CN"/>
        </w:rPr>
      </w:pPr>
      <w:r>
        <w:rPr>
          <w:lang w:val="de-DE"/>
        </w:rPr>
        <w:br w:type="page"/>
      </w:r>
    </w:p>
    <w:p w14:paraId="5CBE851E" w14:textId="77777777" w:rsidR="003131E2" w:rsidRPr="002E1C82" w:rsidRDefault="003131E2" w:rsidP="008A49B5">
      <w:pPr>
        <w:pStyle w:val="SingleTxtG"/>
        <w:rPr>
          <w:lang w:val="de-DE"/>
        </w:rPr>
      </w:pPr>
      <w:r w:rsidRPr="002E1C82">
        <w:rPr>
          <w:lang w:val="de-DE"/>
        </w:rPr>
        <w:lastRenderedPageBreak/>
        <w:t>9.</w:t>
      </w:r>
      <w:r w:rsidRPr="002E1C82">
        <w:rPr>
          <w:lang w:val="de-DE"/>
        </w:rPr>
        <w:tab/>
      </w:r>
      <w:r w:rsidR="008E4C86" w:rsidRPr="003F5889">
        <w:rPr>
          <w:lang w:val="de-DE"/>
        </w:rPr>
        <w:t>Einige Artikel in Anlage 8 des ES-TRIN, insbeso</w:t>
      </w:r>
      <w:r w:rsidR="008A49B5" w:rsidRPr="003F5889">
        <w:rPr>
          <w:lang w:val="de-DE"/>
        </w:rPr>
        <w:t>ndere die Artikel 1.3.1, 1.3.2 u</w:t>
      </w:r>
      <w:r w:rsidR="008E4C86" w:rsidRPr="003F5889">
        <w:rPr>
          <w:lang w:val="de-DE"/>
        </w:rPr>
        <w:t xml:space="preserve">nd 2.1.1, wurden genauer in Augenschein genommen. Es wurde festgestellt, dass der Ladungsbereich nicht wie in 2.1.1. der Anlage 8 des ES-TRIN als </w:t>
      </w:r>
      <w:r w:rsidR="001B7F88" w:rsidRPr="003F5889">
        <w:rPr>
          <w:lang w:val="de-DE"/>
        </w:rPr>
        <w:t>Bereich mit hoher Brandgefahr bezeichnet</w:t>
      </w:r>
      <w:r w:rsidR="008E4C86" w:rsidRPr="003F5889">
        <w:rPr>
          <w:lang w:val="de-DE"/>
        </w:rPr>
        <w:t xml:space="preserve"> werden sollte.</w:t>
      </w:r>
      <w:r w:rsidRPr="003F5889">
        <w:rPr>
          <w:lang w:val="de-DE"/>
        </w:rPr>
        <w:t xml:space="preserve"> </w:t>
      </w:r>
      <w:r w:rsidR="001B7F88" w:rsidRPr="003F5889">
        <w:rPr>
          <w:lang w:val="de-DE"/>
        </w:rPr>
        <w:t>Die Arbeitsgruppe stellte befriedigt fest, dass die Artikel 1.3.1 und 1.3.2 vorsehen, dass für jedes neue LNG-Konzept auf Binnenschiffen</w:t>
      </w:r>
      <w:r w:rsidR="001B7F88" w:rsidRPr="002E1C82">
        <w:rPr>
          <w:lang w:val="de-DE"/>
        </w:rPr>
        <w:t xml:space="preserve"> eine umfassende Risikobewertung durchzuführen ist, </w:t>
      </w:r>
      <w:r w:rsidR="00542248" w:rsidRPr="002E1C82">
        <w:rPr>
          <w:lang w:val="de-DE"/>
        </w:rPr>
        <w:t>in die</w:t>
      </w:r>
      <w:r w:rsidR="001B7F88" w:rsidRPr="002E1C82">
        <w:rPr>
          <w:lang w:val="de-DE"/>
        </w:rPr>
        <w:t xml:space="preserve"> zumindest Funktionsverlust, Schaden an den Komponenten, Feuer, Explosion, Überflutung des Tankraums, Sinken des Fahrzeugs </w:t>
      </w:r>
      <w:r w:rsidR="00542248" w:rsidRPr="002E1C82">
        <w:rPr>
          <w:lang w:val="de-DE"/>
        </w:rPr>
        <w:t>und elektrische Überspannung einfließen müssen.</w:t>
      </w:r>
    </w:p>
    <w:p w14:paraId="1405BE45" w14:textId="77777777" w:rsidR="003131E2" w:rsidRPr="002E1C82" w:rsidRDefault="003131E2" w:rsidP="00B97001">
      <w:pPr>
        <w:pStyle w:val="SingleTxtG"/>
        <w:rPr>
          <w:lang w:val="de-DE"/>
        </w:rPr>
      </w:pPr>
      <w:r w:rsidRPr="002E1C82">
        <w:rPr>
          <w:lang w:val="de-DE"/>
        </w:rPr>
        <w:t>10.</w:t>
      </w:r>
      <w:r w:rsidRPr="002E1C82">
        <w:rPr>
          <w:lang w:val="de-DE"/>
        </w:rPr>
        <w:tab/>
      </w:r>
      <w:r w:rsidR="008A49B5" w:rsidRPr="002E1C82">
        <w:rPr>
          <w:lang w:val="de-DE"/>
        </w:rPr>
        <w:t>Angesichts</w:t>
      </w:r>
      <w:r w:rsidR="00D0622E" w:rsidRPr="002E1C82">
        <w:rPr>
          <w:lang w:val="de-DE"/>
        </w:rPr>
        <w:t xml:space="preserve"> </w:t>
      </w:r>
      <w:r w:rsidR="00FD2441" w:rsidRPr="002E1C82">
        <w:rPr>
          <w:lang w:val="de-DE"/>
        </w:rPr>
        <w:t xml:space="preserve">des im ES-TRIN festgelegten Sicherheitsniveaus, der Studie der US-Küstenwache und dem </w:t>
      </w:r>
      <w:r w:rsidR="0023263F" w:rsidRPr="002E1C82">
        <w:rPr>
          <w:lang w:val="de-DE"/>
        </w:rPr>
        <w:t>Bestreben</w:t>
      </w:r>
      <w:r w:rsidR="00FD2441" w:rsidRPr="002E1C82">
        <w:rPr>
          <w:lang w:val="de-DE"/>
        </w:rPr>
        <w:t xml:space="preserve"> der Arbeitsgruppe</w:t>
      </w:r>
      <w:r w:rsidR="0023263F" w:rsidRPr="002E1C82">
        <w:rPr>
          <w:lang w:val="de-DE"/>
        </w:rPr>
        <w:t xml:space="preserve"> nach einer Harmonisierung</w:t>
      </w:r>
      <w:r w:rsidR="00FD2441" w:rsidRPr="002E1C82">
        <w:rPr>
          <w:lang w:val="de-DE"/>
        </w:rPr>
        <w:t xml:space="preserve"> de</w:t>
      </w:r>
      <w:r w:rsidR="0023263F" w:rsidRPr="002E1C82">
        <w:rPr>
          <w:lang w:val="de-DE"/>
        </w:rPr>
        <w:t>r</w:t>
      </w:r>
      <w:r w:rsidR="00FD2441" w:rsidRPr="002E1C82">
        <w:rPr>
          <w:lang w:val="de-DE"/>
        </w:rPr>
        <w:t xml:space="preserve"> internationalen Binnenschifffahrtsvorschriften</w:t>
      </w:r>
      <w:r w:rsidR="00026F92" w:rsidRPr="002E1C82">
        <w:rPr>
          <w:lang w:val="de-DE"/>
        </w:rPr>
        <w:t xml:space="preserve"> </w:t>
      </w:r>
      <w:r w:rsidR="00726677" w:rsidRPr="002E1C82">
        <w:rPr>
          <w:lang w:val="de-DE"/>
        </w:rPr>
        <w:t xml:space="preserve">begrüßte die Arbeitsgruppe </w:t>
      </w:r>
      <w:r w:rsidR="00026F92" w:rsidRPr="002E1C82">
        <w:rPr>
          <w:lang w:val="de-DE"/>
        </w:rPr>
        <w:t xml:space="preserve">erneut die </w:t>
      </w:r>
      <w:r w:rsidR="00026F92" w:rsidRPr="00E22607">
        <w:rPr>
          <w:lang w:val="de-DE"/>
        </w:rPr>
        <w:t>Entscheidung des ADN-Sicherheitsausschusses,</w:t>
      </w:r>
      <w:r w:rsidR="00FD2441" w:rsidRPr="00E22607">
        <w:rPr>
          <w:lang w:val="de-DE"/>
        </w:rPr>
        <w:t xml:space="preserve"> </w:t>
      </w:r>
      <w:r w:rsidR="008F0294" w:rsidRPr="00E22607">
        <w:rPr>
          <w:lang w:val="de-DE"/>
        </w:rPr>
        <w:t>für die Nutzung von LNG als Antriebsbrennstoff</w:t>
      </w:r>
      <w:r w:rsidR="008F0294" w:rsidRPr="002E1C82">
        <w:rPr>
          <w:lang w:val="de-DE"/>
        </w:rPr>
        <w:t xml:space="preserve"> </w:t>
      </w:r>
      <w:r w:rsidR="00026F92" w:rsidRPr="002E1C82">
        <w:rPr>
          <w:lang w:val="de-DE"/>
        </w:rPr>
        <w:t>in die dem ADN beigefügte Verordnung einen dynamischen Verweis auf den ES-TRIN aufzunehmen.</w:t>
      </w:r>
      <w:r w:rsidRPr="002E1C82">
        <w:rPr>
          <w:lang w:val="de-DE"/>
        </w:rPr>
        <w:t xml:space="preserve"> </w:t>
      </w:r>
      <w:r w:rsidR="00026F92" w:rsidRPr="002E1C82">
        <w:rPr>
          <w:lang w:val="de-DE"/>
        </w:rPr>
        <w:t xml:space="preserve">Die Arbeitsgruppe </w:t>
      </w:r>
      <w:r w:rsidR="009D38D1" w:rsidRPr="002E1C82">
        <w:rPr>
          <w:lang w:val="de-DE"/>
        </w:rPr>
        <w:t>vereinbarte,</w:t>
      </w:r>
      <w:r w:rsidR="00026F92" w:rsidRPr="002E1C82">
        <w:rPr>
          <w:lang w:val="de-DE"/>
        </w:rPr>
        <w:t xml:space="preserve"> die Entwicklungen im </w:t>
      </w:r>
      <w:r w:rsidR="009D38D1" w:rsidRPr="002E1C82">
        <w:rPr>
          <w:lang w:val="de-DE"/>
        </w:rPr>
        <w:t xml:space="preserve">Rahmen des </w:t>
      </w:r>
      <w:r w:rsidR="00026F92" w:rsidRPr="002E1C82">
        <w:rPr>
          <w:lang w:val="de-DE"/>
        </w:rPr>
        <w:t xml:space="preserve">ES-TRIN weiterhin mit großem Interesse </w:t>
      </w:r>
      <w:r w:rsidR="009D38D1" w:rsidRPr="002E1C82">
        <w:rPr>
          <w:lang w:val="de-DE"/>
        </w:rPr>
        <w:t xml:space="preserve">zu </w:t>
      </w:r>
      <w:r w:rsidR="00026F92" w:rsidRPr="002E1C82">
        <w:rPr>
          <w:lang w:val="de-DE"/>
        </w:rPr>
        <w:t>verfolgen</w:t>
      </w:r>
      <w:r w:rsidR="00B97001" w:rsidRPr="002E1C82">
        <w:rPr>
          <w:lang w:val="de-DE"/>
        </w:rPr>
        <w:t>,</w:t>
      </w:r>
      <w:r w:rsidR="00026F92" w:rsidRPr="002E1C82">
        <w:rPr>
          <w:lang w:val="de-DE"/>
        </w:rPr>
        <w:t xml:space="preserve"> und </w:t>
      </w:r>
      <w:r w:rsidR="00B243C2">
        <w:rPr>
          <w:lang w:val="de-DE"/>
        </w:rPr>
        <w:t>lud</w:t>
      </w:r>
      <w:r w:rsidR="00026F92" w:rsidRPr="002E1C82">
        <w:rPr>
          <w:lang w:val="de-DE"/>
        </w:rPr>
        <w:t xml:space="preserve"> den CESNI </w:t>
      </w:r>
      <w:r w:rsidR="00B97001" w:rsidRPr="002E1C82">
        <w:rPr>
          <w:lang w:val="de-DE"/>
        </w:rPr>
        <w:t>ein</w:t>
      </w:r>
      <w:r w:rsidR="00026F92" w:rsidRPr="002E1C82">
        <w:rPr>
          <w:lang w:val="de-DE"/>
        </w:rPr>
        <w:t>, weiterhin klare und eindeutige Standards festzulegen.</w:t>
      </w:r>
    </w:p>
    <w:p w14:paraId="3B6125E6" w14:textId="77777777" w:rsidR="003131E2" w:rsidRPr="002E1C82" w:rsidRDefault="003131E2" w:rsidP="00BF600F">
      <w:pPr>
        <w:pStyle w:val="HChG"/>
        <w:spacing w:before="240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B97001" w:rsidRPr="002E1C82">
        <w:rPr>
          <w:lang w:val="de-DE"/>
        </w:rPr>
        <w:t>Änderungsentwürfe zu der dem ADN beigefügten Verordnung</w:t>
      </w:r>
    </w:p>
    <w:p w14:paraId="18F7B150" w14:textId="77777777" w:rsidR="003131E2" w:rsidRPr="002E1C82" w:rsidRDefault="003131E2" w:rsidP="00B97001">
      <w:pPr>
        <w:pStyle w:val="SingleTxtG"/>
        <w:rPr>
          <w:lang w:val="de-DE"/>
        </w:rPr>
      </w:pPr>
      <w:r w:rsidRPr="002E1C82">
        <w:rPr>
          <w:lang w:val="de-DE"/>
        </w:rPr>
        <w:t>11.</w:t>
      </w:r>
      <w:r w:rsidRPr="002E1C82">
        <w:rPr>
          <w:lang w:val="de-DE"/>
        </w:rPr>
        <w:tab/>
      </w:r>
      <w:r w:rsidR="00C15923" w:rsidRPr="002E1C82">
        <w:rPr>
          <w:lang w:val="de-DE"/>
        </w:rPr>
        <w:t>Die informelle Arbeitsgruppe setzte ihre Arbeit an den Entwürfen für Änderungen der Kapi</w:t>
      </w:r>
      <w:r w:rsidR="00E76C16" w:rsidRPr="002E1C82">
        <w:rPr>
          <w:lang w:val="de-DE"/>
        </w:rPr>
        <w:t>tel</w:t>
      </w:r>
      <w:r w:rsidR="00C15923" w:rsidRPr="002E1C82">
        <w:rPr>
          <w:lang w:val="de-DE"/>
        </w:rPr>
        <w:t xml:space="preserve"> 7 und 9 der dem ADN beigefügten Verordnung fort.</w:t>
      </w:r>
      <w:r w:rsidRPr="002E1C82">
        <w:rPr>
          <w:lang w:val="de-DE"/>
        </w:rPr>
        <w:t xml:space="preserve"> </w:t>
      </w:r>
      <w:r w:rsidR="00E76C16" w:rsidRPr="002E1C82">
        <w:rPr>
          <w:lang w:val="de-DE"/>
        </w:rPr>
        <w:t xml:space="preserve">Es wurde beschlossen, bei dieser Gelegenheit auch die Vorschriften in den Kapiteln 7 und 9 (betreffend Brennstoffe </w:t>
      </w:r>
      <w:r w:rsidR="0032527C" w:rsidRPr="002E1C82">
        <w:rPr>
          <w:lang w:val="de-DE"/>
        </w:rPr>
        <w:t xml:space="preserve">mit einem Flammpunkt </w:t>
      </w:r>
      <w:r w:rsidR="00E76C16" w:rsidRPr="002E1C82">
        <w:rPr>
          <w:lang w:val="de-DE"/>
        </w:rPr>
        <w:t xml:space="preserve">von </w:t>
      </w:r>
      <w:r w:rsidR="0053381F" w:rsidRPr="002E1C82">
        <w:rPr>
          <w:lang w:val="de-DE"/>
        </w:rPr>
        <w:t>unter</w:t>
      </w:r>
      <w:r w:rsidR="00E76C16" w:rsidRPr="002E1C82">
        <w:rPr>
          <w:lang w:val="de-DE"/>
        </w:rPr>
        <w:t xml:space="preserve">, </w:t>
      </w:r>
      <w:r w:rsidR="0053381F" w:rsidRPr="002E1C82">
        <w:rPr>
          <w:lang w:val="de-DE"/>
        </w:rPr>
        <w:t>über</w:t>
      </w:r>
      <w:r w:rsidR="00E76C16" w:rsidRPr="002E1C82">
        <w:rPr>
          <w:lang w:val="de-DE"/>
        </w:rPr>
        <w:t xml:space="preserve"> oder genau 55 °C) anzugleichen.</w:t>
      </w:r>
      <w:r w:rsidRPr="002E1C82">
        <w:rPr>
          <w:lang w:val="de-DE"/>
        </w:rPr>
        <w:t xml:space="preserve"> </w:t>
      </w:r>
      <w:r w:rsidR="0053381F" w:rsidRPr="002E1C82">
        <w:rPr>
          <w:lang w:val="de-DE"/>
        </w:rPr>
        <w:t>Die informelle Arbeitsgruppe bittet den ADN-Sicherheitsausschuss um Prüfung folgender Änderungen</w:t>
      </w:r>
      <w:r w:rsidR="00E5381B" w:rsidRPr="002E1C82">
        <w:rPr>
          <w:lang w:val="de-DE"/>
        </w:rPr>
        <w:t xml:space="preserve"> (</w:t>
      </w:r>
      <w:r w:rsidR="00E5381B" w:rsidRPr="002E1C82">
        <w:rPr>
          <w:strike/>
          <w:lang w:val="de-DE"/>
        </w:rPr>
        <w:t>gestrichener Text ist durchgestrichen</w:t>
      </w:r>
      <w:r w:rsidR="00E5381B" w:rsidRPr="002E1C82">
        <w:rPr>
          <w:lang w:val="de-DE"/>
        </w:rPr>
        <w:t xml:space="preserve">, </w:t>
      </w:r>
      <w:r w:rsidR="00E5381B" w:rsidRPr="002E1C82">
        <w:rPr>
          <w:b/>
          <w:u w:val="single"/>
          <w:lang w:val="de-DE"/>
        </w:rPr>
        <w:t>neuer Text fettgedruckt und unterstrichen</w:t>
      </w:r>
      <w:r w:rsidR="00E5381B" w:rsidRPr="002E1C82">
        <w:rPr>
          <w:lang w:val="de-DE"/>
        </w:rPr>
        <w:t>)</w:t>
      </w:r>
      <w:r w:rsidR="0053381F" w:rsidRPr="002E1C82">
        <w:rPr>
          <w:lang w:val="de-DE"/>
        </w:rPr>
        <w:t>:</w:t>
      </w:r>
    </w:p>
    <w:p w14:paraId="715A0BD9" w14:textId="77777777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t>7.1.3.31</w:t>
      </w:r>
    </w:p>
    <w:p w14:paraId="2685701B" w14:textId="77777777" w:rsidR="003131E2" w:rsidRPr="002E1C82" w:rsidRDefault="0032527C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 xml:space="preserve">Es ist verboten, Motoren zu verwenden, die mit Kraftstoff mit einem Flammpunkt von </w:t>
      </w:r>
      <w:r w:rsidRPr="002E1C82">
        <w:rPr>
          <w:strike/>
          <w:lang w:val="de-DE"/>
        </w:rPr>
        <w:t>weniger als</w:t>
      </w:r>
      <w:r w:rsidRPr="002E1C82">
        <w:rPr>
          <w:lang w:val="de-DE"/>
        </w:rPr>
        <w:t xml:space="preserve"> 55 °C </w:t>
      </w:r>
      <w:r w:rsidR="004362FB" w:rsidRPr="002E1C82">
        <w:rPr>
          <w:b/>
          <w:u w:val="single"/>
          <w:lang w:val="de-DE"/>
        </w:rPr>
        <w:t>oder darunter</w:t>
      </w:r>
      <w:r w:rsidR="004362FB" w:rsidRPr="002E1C82">
        <w:rPr>
          <w:lang w:val="de-DE"/>
        </w:rPr>
        <w:t xml:space="preserve"> </w:t>
      </w:r>
      <w:r w:rsidRPr="002E1C82">
        <w:rPr>
          <w:lang w:val="de-DE"/>
        </w:rPr>
        <w:t>betrieb</w:t>
      </w:r>
      <w:r w:rsidR="006A792E" w:rsidRPr="002E1C82">
        <w:rPr>
          <w:lang w:val="de-DE"/>
        </w:rPr>
        <w:t>en werden (z. B. Benzinmotoren)</w:t>
      </w:r>
      <w:r w:rsidRPr="002E1C82">
        <w:rPr>
          <w:lang w:val="de-DE"/>
        </w:rPr>
        <w:t>.</w:t>
      </w:r>
      <w:r w:rsidR="003131E2" w:rsidRPr="002E1C82">
        <w:rPr>
          <w:lang w:val="de-DE"/>
        </w:rPr>
        <w:t xml:space="preserve"> </w:t>
      </w:r>
      <w:r w:rsidR="004362FB" w:rsidRPr="002E1C82">
        <w:rPr>
          <w:lang w:val="de-DE"/>
        </w:rPr>
        <w:t xml:space="preserve">Diese </w:t>
      </w:r>
      <w:r w:rsidR="002F4084" w:rsidRPr="002E1C82">
        <w:rPr>
          <w:lang w:val="de-DE"/>
        </w:rPr>
        <w:t>Vorschrift gilt nicht für</w:t>
      </w:r>
    </w:p>
    <w:p w14:paraId="682A816A" w14:textId="77777777" w:rsidR="003131E2" w:rsidRPr="002E1C82" w:rsidRDefault="003131E2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 xml:space="preserve">- </w:t>
      </w:r>
      <w:r w:rsidR="002F4084" w:rsidRPr="002E1C82">
        <w:rPr>
          <w:lang w:val="de-DE"/>
        </w:rPr>
        <w:t>benzinbetriebene Außenbordmotoren von Beibooten</w:t>
      </w:r>
      <w:r w:rsidR="002F4084" w:rsidRPr="002E1C82">
        <w:rPr>
          <w:b/>
          <w:u w:val="single"/>
          <w:lang w:val="de-DE"/>
        </w:rPr>
        <w:t>;</w:t>
      </w:r>
    </w:p>
    <w:p w14:paraId="41B3B5E5" w14:textId="04B68B07" w:rsidR="003131E2" w:rsidRPr="002E1C82" w:rsidRDefault="003131E2" w:rsidP="00B97001">
      <w:pPr>
        <w:pStyle w:val="SingleTxtG"/>
        <w:rPr>
          <w:lang w:val="de-DE"/>
        </w:rPr>
      </w:pPr>
      <w:r w:rsidRPr="002E1C82">
        <w:rPr>
          <w:lang w:val="de-DE"/>
        </w:rPr>
        <w:t xml:space="preserve">- </w:t>
      </w:r>
      <w:r w:rsidR="002F4084" w:rsidRPr="002E1C82">
        <w:rPr>
          <w:b/>
          <w:u w:val="single"/>
          <w:lang w:val="de-DE"/>
        </w:rPr>
        <w:t>Antriebs- und Hilfssysteme, die den Anforderungen des Kapitels 30 und der A</w:t>
      </w:r>
      <w:r w:rsidR="00BE4FDB" w:rsidRPr="002E1C82">
        <w:rPr>
          <w:b/>
          <w:u w:val="single"/>
          <w:lang w:val="de-DE"/>
        </w:rPr>
        <w:t>n</w:t>
      </w:r>
      <w:r w:rsidR="002F4084" w:rsidRPr="002E1C82">
        <w:rPr>
          <w:b/>
          <w:u w:val="single"/>
          <w:lang w:val="de-DE"/>
        </w:rPr>
        <w:t>lage</w:t>
      </w:r>
      <w:r w:rsidR="00F457CC">
        <w:rPr>
          <w:b/>
          <w:u w:val="single"/>
          <w:lang w:val="de-DE"/>
        </w:rPr>
        <w:t> </w:t>
      </w:r>
      <w:r w:rsidR="002F4084" w:rsidRPr="002E1C82">
        <w:rPr>
          <w:b/>
          <w:u w:val="single"/>
          <w:lang w:val="de-DE"/>
        </w:rPr>
        <w:t>8 des Europäischen Standards</w:t>
      </w:r>
      <w:r w:rsidR="00C24DB5" w:rsidRPr="002E1C82">
        <w:rPr>
          <w:b/>
          <w:u w:val="single"/>
          <w:lang w:val="de-DE"/>
        </w:rPr>
        <w:t xml:space="preserve"> der technischen Vorschriften für Binnenschiffe</w:t>
      </w:r>
      <w:r w:rsidR="002F4084" w:rsidRPr="002E1C82">
        <w:rPr>
          <w:b/>
          <w:u w:val="single"/>
          <w:lang w:val="de-DE"/>
        </w:rPr>
        <w:t xml:space="preserve"> </w:t>
      </w:r>
      <w:r w:rsidR="00CF0982" w:rsidRPr="002E1C82">
        <w:rPr>
          <w:b/>
          <w:u w:val="single"/>
          <w:lang w:val="de-DE"/>
        </w:rPr>
        <w:t xml:space="preserve">in der jeweils geltenden Fassung </w:t>
      </w:r>
      <w:r w:rsidR="002F4084" w:rsidRPr="002E1C82">
        <w:rPr>
          <w:b/>
          <w:u w:val="single"/>
          <w:lang w:val="de-DE"/>
        </w:rPr>
        <w:t>entsprechen</w:t>
      </w:r>
      <w:r w:rsidR="00B66D85" w:rsidRPr="002E1C82">
        <w:rPr>
          <w:b/>
          <w:u w:val="single"/>
          <w:lang w:val="de-DE"/>
        </w:rPr>
        <w:t>.</w:t>
      </w:r>
    </w:p>
    <w:p w14:paraId="2655EBBC" w14:textId="77777777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t>7.2.3.31.1</w:t>
      </w:r>
    </w:p>
    <w:p w14:paraId="49414118" w14:textId="77777777" w:rsidR="003131E2" w:rsidRPr="002E1C82" w:rsidRDefault="00816DF2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 xml:space="preserve">Es ist verboten, Motoren zu verwenden, die mit Kraftstoff mit einem Flammpunkt von </w:t>
      </w:r>
      <w:r w:rsidRPr="002E1C82">
        <w:rPr>
          <w:strike/>
          <w:lang w:val="de-DE"/>
        </w:rPr>
        <w:t>weniger als</w:t>
      </w:r>
      <w:r w:rsidRPr="002E1C82">
        <w:rPr>
          <w:lang w:val="de-DE"/>
        </w:rPr>
        <w:t xml:space="preserve"> 55 °C </w:t>
      </w:r>
      <w:r w:rsidRPr="002E1C82">
        <w:rPr>
          <w:b/>
          <w:u w:val="single"/>
          <w:lang w:val="de-DE"/>
        </w:rPr>
        <w:t>oder darunter</w:t>
      </w:r>
      <w:r w:rsidRPr="002E1C82">
        <w:rPr>
          <w:lang w:val="de-DE"/>
        </w:rPr>
        <w:t xml:space="preserve"> betrieben werden (z. B. Benzinmotoren).</w:t>
      </w:r>
      <w:r w:rsidR="003131E2" w:rsidRPr="002E1C82">
        <w:rPr>
          <w:lang w:val="de-DE"/>
        </w:rPr>
        <w:t xml:space="preserve"> </w:t>
      </w:r>
      <w:r w:rsidRPr="002E1C82">
        <w:rPr>
          <w:lang w:val="de-DE"/>
        </w:rPr>
        <w:t>Diese Vorschrift gilt nicht für</w:t>
      </w:r>
    </w:p>
    <w:p w14:paraId="676B1F97" w14:textId="77777777" w:rsidR="003131E2" w:rsidRPr="002E1C82" w:rsidRDefault="003131E2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 xml:space="preserve">- </w:t>
      </w:r>
      <w:r w:rsidR="00816DF2" w:rsidRPr="002E1C82">
        <w:rPr>
          <w:lang w:val="de-DE"/>
        </w:rPr>
        <w:t>benzinbetriebene Außenbordmotoren von Beibooten</w:t>
      </w:r>
      <w:r w:rsidR="00816DF2" w:rsidRPr="002E1C82">
        <w:rPr>
          <w:b/>
          <w:u w:val="single"/>
          <w:lang w:val="de-DE"/>
        </w:rPr>
        <w:t>;</w:t>
      </w:r>
    </w:p>
    <w:p w14:paraId="13A7D6F3" w14:textId="2550A212" w:rsidR="003131E2" w:rsidRPr="002E1C82" w:rsidRDefault="003131E2" w:rsidP="00B97001">
      <w:pPr>
        <w:pStyle w:val="SingleTxtG"/>
        <w:rPr>
          <w:lang w:val="de-DE"/>
        </w:rPr>
      </w:pPr>
      <w:r w:rsidRPr="002E1C82">
        <w:rPr>
          <w:lang w:val="de-DE"/>
        </w:rPr>
        <w:t xml:space="preserve">- </w:t>
      </w:r>
      <w:r w:rsidR="00816DF2" w:rsidRPr="002E1C82">
        <w:rPr>
          <w:b/>
          <w:u w:val="single"/>
          <w:lang w:val="de-DE"/>
        </w:rPr>
        <w:t>Antriebs- und Hilfssysteme, die den Anforderungen des Kapitels 30 und der Anlage</w:t>
      </w:r>
      <w:r w:rsidR="00F457CC">
        <w:rPr>
          <w:b/>
          <w:u w:val="single"/>
          <w:lang w:val="de-DE"/>
        </w:rPr>
        <w:t> </w:t>
      </w:r>
      <w:r w:rsidR="00816DF2" w:rsidRPr="002E1C82">
        <w:rPr>
          <w:b/>
          <w:u w:val="single"/>
          <w:lang w:val="de-DE"/>
        </w:rPr>
        <w:t>8 des Europäischen Standards der technischen Vorschriften für Binnenschiffe</w:t>
      </w:r>
      <w:r w:rsidR="00BE6FF3" w:rsidRPr="002E1C82">
        <w:rPr>
          <w:b/>
          <w:u w:val="single"/>
          <w:lang w:val="de-DE"/>
        </w:rPr>
        <w:t xml:space="preserve"> (ES-TRIN)</w:t>
      </w:r>
      <w:r w:rsidR="00816DF2" w:rsidRPr="002E1C82">
        <w:rPr>
          <w:b/>
          <w:u w:val="single"/>
          <w:lang w:val="de-DE"/>
        </w:rPr>
        <w:t xml:space="preserve"> in der jeweils geltenden Fassung entsprechen.</w:t>
      </w:r>
    </w:p>
    <w:p w14:paraId="28EDDBC1" w14:textId="77777777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t>9.1.0.31.1</w:t>
      </w:r>
    </w:p>
    <w:p w14:paraId="48144CC9" w14:textId="77777777" w:rsidR="003131E2" w:rsidRPr="002E1C82" w:rsidRDefault="00816DF2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 xml:space="preserve">Es dürfen nur Verbrennungsmotoren eingebaut sein, die mit Kraftstoff betrieben werden, der </w:t>
      </w:r>
      <w:r w:rsidR="00601AE4" w:rsidRPr="002E1C82">
        <w:rPr>
          <w:lang w:val="de-DE"/>
        </w:rPr>
        <w:t>einen Flammpunkt von mehr als 55 ºC hat.</w:t>
      </w:r>
      <w:r w:rsidR="003131E2" w:rsidRPr="002E1C82">
        <w:rPr>
          <w:lang w:val="de-DE"/>
        </w:rPr>
        <w:t xml:space="preserve"> </w:t>
      </w:r>
      <w:r w:rsidR="00601AE4" w:rsidRPr="002E1C82">
        <w:rPr>
          <w:b/>
          <w:u w:val="single"/>
          <w:lang w:val="de-DE"/>
        </w:rPr>
        <w:t xml:space="preserve">Diese Vorschrift gilt nicht für Verbrennungsmotoren, die </w:t>
      </w:r>
      <w:r w:rsidR="00323AB8" w:rsidRPr="002E1C82">
        <w:rPr>
          <w:b/>
          <w:u w:val="single"/>
          <w:lang w:val="de-DE"/>
        </w:rPr>
        <w:t>Bestandteil von Antriebs- und Hilfssysteme</w:t>
      </w:r>
      <w:r w:rsidR="00517409" w:rsidRPr="002E1C82">
        <w:rPr>
          <w:b/>
          <w:u w:val="single"/>
          <w:lang w:val="de-DE"/>
        </w:rPr>
        <w:t>n sind</w:t>
      </w:r>
      <w:r w:rsidR="00323AB8" w:rsidRPr="002E1C82">
        <w:rPr>
          <w:b/>
          <w:u w:val="single"/>
          <w:lang w:val="de-DE"/>
        </w:rPr>
        <w:t>, die den Anforderungen des Kapitels 30 und der Anlage 8 des Europäischen Standards der technischen Vorschriften für Binnenschiffe</w:t>
      </w:r>
      <w:r w:rsidR="00BE6FF3" w:rsidRPr="002E1C82">
        <w:rPr>
          <w:b/>
          <w:u w:val="single"/>
          <w:lang w:val="de-DE"/>
        </w:rPr>
        <w:t xml:space="preserve"> (ES-TRIN)</w:t>
      </w:r>
      <w:r w:rsidR="00323AB8" w:rsidRPr="002E1C82">
        <w:rPr>
          <w:b/>
          <w:u w:val="single"/>
          <w:lang w:val="de-DE"/>
        </w:rPr>
        <w:t xml:space="preserve"> in der jeweils geltenden Fassung entsprechen.</w:t>
      </w:r>
    </w:p>
    <w:p w14:paraId="4DD29469" w14:textId="77777777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lastRenderedPageBreak/>
        <w:t>9.3.1.31.1</w:t>
      </w:r>
    </w:p>
    <w:p w14:paraId="22944E5F" w14:textId="77777777" w:rsidR="003131E2" w:rsidRPr="002E1C82" w:rsidRDefault="00F6775B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>Es dürfen nur Verbrennungsmotoren eingebaut sein, die mit Kraftstoff betrieben werden, der einen Flammpunkt von mehr als 55 ºC hat.</w:t>
      </w:r>
      <w:r w:rsidR="003131E2" w:rsidRPr="002E1C82">
        <w:rPr>
          <w:lang w:val="de-DE"/>
        </w:rPr>
        <w:t xml:space="preserve"> </w:t>
      </w:r>
      <w:r w:rsidRPr="002E1C82">
        <w:rPr>
          <w:b/>
          <w:u w:val="single"/>
          <w:lang w:val="de-DE"/>
        </w:rPr>
        <w:t>Diese Vorschrift gilt nicht für Verbrennungsmotoren, die Bestandteil von Antriebs- und Hilfssystemen sind, die den Anforderungen des Kapitels 30 und der Anlage 8 des Europäischen Standards der technischen Vorschriften für Binnenschiffe (ES-TRIN) in der jeweils geltenden Fassung entsprechen.</w:t>
      </w:r>
    </w:p>
    <w:p w14:paraId="2E8F5E44" w14:textId="77777777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t>9.3.2.31.1</w:t>
      </w:r>
    </w:p>
    <w:p w14:paraId="4D2022AE" w14:textId="77777777" w:rsidR="003131E2" w:rsidRPr="002E1C82" w:rsidRDefault="00F6775B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>Es dürfen nur Verbrennungsmotoren eingebaut sein, die mit Kraftstoff betrieben werden, der einen Flammpunkt von mehr als 55 ºC hat.</w:t>
      </w:r>
      <w:r w:rsidR="003131E2" w:rsidRPr="002E1C82">
        <w:rPr>
          <w:lang w:val="de-DE"/>
        </w:rPr>
        <w:t xml:space="preserve"> </w:t>
      </w:r>
      <w:r w:rsidRPr="002E1C82">
        <w:rPr>
          <w:b/>
          <w:u w:val="single"/>
          <w:lang w:val="de-DE"/>
        </w:rPr>
        <w:t>Diese Vorschrift gilt nicht für Verbrennungsmotoren, die Bestandteil von Antriebs- und Hilfssystemen sind, die den Anforderungen des Kapitels 30 und der Anlage 8 des Europäischen Standards der technischen Vorschriften für Binnenschiffe (ES-TRIN) in der jeweils geltenden Fassung entsprechen.</w:t>
      </w:r>
    </w:p>
    <w:p w14:paraId="64DF4E17" w14:textId="21664A48" w:rsidR="003131E2" w:rsidRPr="002E1C82" w:rsidRDefault="003131E2" w:rsidP="003131E2">
      <w:pPr>
        <w:pStyle w:val="SingleTxtG"/>
        <w:rPr>
          <w:i/>
          <w:lang w:val="de-DE"/>
        </w:rPr>
      </w:pPr>
      <w:r w:rsidRPr="002E1C82">
        <w:rPr>
          <w:i/>
          <w:lang w:val="de-DE"/>
        </w:rPr>
        <w:t>9.3.3.31.1</w:t>
      </w:r>
    </w:p>
    <w:p w14:paraId="65C3C33C" w14:textId="77777777" w:rsidR="003131E2" w:rsidRPr="002E1C82" w:rsidRDefault="00F6775B" w:rsidP="00B97001">
      <w:pPr>
        <w:pStyle w:val="SingleTxtG"/>
        <w:rPr>
          <w:b/>
          <w:u w:val="single"/>
          <w:lang w:val="de-DE"/>
        </w:rPr>
      </w:pPr>
      <w:r w:rsidRPr="002E1C82">
        <w:rPr>
          <w:lang w:val="de-DE"/>
        </w:rPr>
        <w:t>Es dürfen nur Verbrennungsmotoren eingebaut sein, die mit Kraftstoff betrieben werden, der einen Flammpunkt von mehr als 55 ºC hat.</w:t>
      </w:r>
      <w:r w:rsidR="003131E2" w:rsidRPr="002E1C82">
        <w:rPr>
          <w:lang w:val="de-DE"/>
        </w:rPr>
        <w:t xml:space="preserve"> </w:t>
      </w:r>
      <w:r w:rsidRPr="002E1C82">
        <w:rPr>
          <w:b/>
          <w:u w:val="single"/>
          <w:lang w:val="de-DE"/>
        </w:rPr>
        <w:t>Diese Vorschrift gilt nicht für Verbrennungsmotoren, die Bestandteil von Antriebs- und Hilfssystemen sind, die den Anforderungen des Kapitels 30 und der Anlage 8 des Europäischen Standards der technischen Vorschriften für Binnenschiffe (ES-TRIN) in der jeweils geltenden Fassung entsprechen.</w:t>
      </w:r>
    </w:p>
    <w:p w14:paraId="2225D0CE" w14:textId="77777777" w:rsidR="003131E2" w:rsidRPr="002E1C82" w:rsidRDefault="003131E2" w:rsidP="00B97001">
      <w:pPr>
        <w:pStyle w:val="HCh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F6775B" w:rsidRPr="002E1C82">
        <w:rPr>
          <w:lang w:val="de-DE"/>
        </w:rPr>
        <w:t>Übersetzung des Kapitels 30 und der Anlage 8 des ES-TRIN in die Arbeitssprachen</w:t>
      </w:r>
    </w:p>
    <w:p w14:paraId="1FC839EB" w14:textId="77777777" w:rsidR="003131E2" w:rsidRPr="002E1C82" w:rsidRDefault="003131E2" w:rsidP="00B97001">
      <w:pPr>
        <w:pStyle w:val="SingleTxtG"/>
        <w:rPr>
          <w:lang w:val="de-DE"/>
        </w:rPr>
      </w:pPr>
      <w:r w:rsidRPr="002E1C82">
        <w:rPr>
          <w:lang w:val="de-DE"/>
        </w:rPr>
        <w:t>12.</w:t>
      </w:r>
      <w:r w:rsidRPr="002E1C82">
        <w:rPr>
          <w:lang w:val="de-DE"/>
        </w:rPr>
        <w:tab/>
      </w:r>
      <w:r w:rsidR="00B97001" w:rsidRPr="002E1C82">
        <w:rPr>
          <w:lang w:val="de-DE"/>
        </w:rPr>
        <w:t>Die informelle Arbeitsgruppe äußerte für die Bitte des ADN-Sicherheitsausschusses, Kapitel 30 und Anlage 8 des ES-TRIN in den Arbeitssprachen des ADN-Sicherheitsausschusses zur Verfügung zu stellen, ihre nachdrückliche Unterstützung.</w:t>
      </w:r>
      <w:r w:rsidRPr="002E1C82">
        <w:rPr>
          <w:lang w:val="de-DE"/>
        </w:rPr>
        <w:t xml:space="preserve"> </w:t>
      </w:r>
      <w:r w:rsidR="00475832" w:rsidRPr="002E1C82">
        <w:rPr>
          <w:lang w:val="de-DE"/>
        </w:rPr>
        <w:t xml:space="preserve">Nach einem Meinungsaustausch mit dem Sekretariat des ADN-Sicherheitsausschusses </w:t>
      </w:r>
      <w:r w:rsidR="002E5D07" w:rsidRPr="002E1C82">
        <w:rPr>
          <w:lang w:val="de-DE"/>
        </w:rPr>
        <w:t xml:space="preserve">wurde der Arbeitsgruppe mitgeteilt, dass die Übersetzung der entsprechenden Teile des ES-TRIN im Rahmen der </w:t>
      </w:r>
      <w:r w:rsidR="00DC35D2" w:rsidRPr="002E1C82">
        <w:rPr>
          <w:lang w:val="de-DE"/>
        </w:rPr>
        <w:t xml:space="preserve">laufenden Arbeiten der </w:t>
      </w:r>
      <w:r w:rsidR="002E5D07" w:rsidRPr="002E1C82">
        <w:rPr>
          <w:lang w:val="de-DE"/>
        </w:rPr>
        <w:t>Arbeitsgruppe Binnenschifffahrt (SC.3)</w:t>
      </w:r>
      <w:r w:rsidR="00DC35D2" w:rsidRPr="002E1C82">
        <w:rPr>
          <w:lang w:val="de-DE"/>
        </w:rPr>
        <w:t xml:space="preserve"> </w:t>
      </w:r>
      <w:r w:rsidR="002E5D07" w:rsidRPr="002E1C82">
        <w:rPr>
          <w:lang w:val="de-DE"/>
        </w:rPr>
        <w:t xml:space="preserve">zur Resolution </w:t>
      </w:r>
      <w:r w:rsidR="005600D2" w:rsidRPr="002E1C82">
        <w:rPr>
          <w:lang w:val="de-DE"/>
        </w:rPr>
        <w:t>Nr. 6</w:t>
      </w:r>
      <w:r w:rsidR="002E5D07" w:rsidRPr="002E1C82">
        <w:rPr>
          <w:lang w:val="de-DE"/>
        </w:rPr>
        <w:t xml:space="preserve">1 </w:t>
      </w:r>
      <w:r w:rsidR="00DC35D2" w:rsidRPr="002E1C82">
        <w:rPr>
          <w:lang w:val="de-DE"/>
        </w:rPr>
        <w:t>über</w:t>
      </w:r>
      <w:r w:rsidR="005600D2" w:rsidRPr="002E1C82">
        <w:rPr>
          <w:lang w:val="de-DE"/>
        </w:rPr>
        <w:t xml:space="preserve"> technische Vorschriften für Binnenschiffe </w:t>
      </w:r>
      <w:r w:rsidR="002E5D07" w:rsidRPr="002E1C82">
        <w:rPr>
          <w:lang w:val="de-DE"/>
        </w:rPr>
        <w:t>erfolgen werde.</w:t>
      </w:r>
    </w:p>
    <w:p w14:paraId="5F629FFF" w14:textId="77777777" w:rsidR="003131E2" w:rsidRPr="002E1C82" w:rsidRDefault="003131E2" w:rsidP="00B97001">
      <w:pPr>
        <w:pStyle w:val="HChG"/>
        <w:rPr>
          <w:lang w:val="de-DE"/>
        </w:rPr>
      </w:pPr>
      <w:r w:rsidRPr="002E1C82">
        <w:rPr>
          <w:lang w:val="de-DE"/>
        </w:rPr>
        <w:tab/>
      </w:r>
      <w:r w:rsidRPr="002E1C82">
        <w:rPr>
          <w:lang w:val="de-DE"/>
        </w:rPr>
        <w:tab/>
      </w:r>
      <w:r w:rsidR="00DC35D2" w:rsidRPr="002E1C82">
        <w:rPr>
          <w:lang w:val="de-DE"/>
        </w:rPr>
        <w:t>Schlussfolgerungen</w:t>
      </w:r>
    </w:p>
    <w:p w14:paraId="65A0D93E" w14:textId="77777777" w:rsidR="00D2078A" w:rsidRPr="002E1C82" w:rsidRDefault="003131E2" w:rsidP="00630759">
      <w:pPr>
        <w:pStyle w:val="SingleTxtG"/>
        <w:rPr>
          <w:lang w:val="de-DE"/>
        </w:rPr>
      </w:pPr>
      <w:r w:rsidRPr="002E1C82">
        <w:rPr>
          <w:lang w:val="de-DE"/>
        </w:rPr>
        <w:t>13.</w:t>
      </w:r>
      <w:r w:rsidRPr="002E1C82">
        <w:rPr>
          <w:lang w:val="de-DE"/>
        </w:rPr>
        <w:tab/>
      </w:r>
      <w:r w:rsidR="00DC35D2" w:rsidRPr="002E1C82">
        <w:rPr>
          <w:lang w:val="de-DE"/>
        </w:rPr>
        <w:t>Der ADN-Sicherheitsausschuss wird gebeten, die Vorschläge in Absatz 11 zu prüfen und die aus seiner Sicht notwendigen Maßnahmen zu ergreifen.</w:t>
      </w:r>
      <w:r w:rsidRPr="002E1C82">
        <w:rPr>
          <w:lang w:val="de-DE"/>
        </w:rPr>
        <w:t xml:space="preserve"> </w:t>
      </w:r>
      <w:r w:rsidR="00DC35D2" w:rsidRPr="002E1C82">
        <w:rPr>
          <w:lang w:val="de-DE"/>
        </w:rPr>
        <w:t xml:space="preserve">Nach Ansicht der Teilnehmer wurde die Arbeitsgruppe ihren Aufgaben gerecht und schloss ihre Arbeiten gemäß dem ursprünglichen Ziel und dem </w:t>
      </w:r>
      <w:r w:rsidR="00B97001" w:rsidRPr="002E1C82">
        <w:rPr>
          <w:lang w:val="de-DE"/>
        </w:rPr>
        <w:t xml:space="preserve">vereinbarten </w:t>
      </w:r>
      <w:r w:rsidR="00DC35D2" w:rsidRPr="002E1C82">
        <w:rPr>
          <w:lang w:val="de-DE"/>
        </w:rPr>
        <w:t>Aufgabenbereich ab.</w:t>
      </w:r>
      <w:r w:rsidRPr="002E1C82">
        <w:rPr>
          <w:lang w:val="de-DE"/>
        </w:rPr>
        <w:t xml:space="preserve"> </w:t>
      </w:r>
      <w:r w:rsidR="00DC35D2" w:rsidRPr="002E1C82">
        <w:rPr>
          <w:lang w:val="de-DE"/>
        </w:rPr>
        <w:t xml:space="preserve">Die Arbeitsgruppe empfiehlt den ADN-Mitgliedstaaten nachdrücklich, die Änderungsvorschläge anzunehmen und später ein multilaterales Abkommen </w:t>
      </w:r>
      <w:r w:rsidR="006E08FB" w:rsidRPr="002E1C82">
        <w:rPr>
          <w:lang w:val="de-DE"/>
        </w:rPr>
        <w:t xml:space="preserve">zu dieser Frage </w:t>
      </w:r>
      <w:r w:rsidR="00DC35D2" w:rsidRPr="002E1C82">
        <w:rPr>
          <w:lang w:val="de-DE"/>
        </w:rPr>
        <w:t>auszuarbeiten und zu unterzeichnen</w:t>
      </w:r>
      <w:r w:rsidR="006E08FB" w:rsidRPr="002E1C82">
        <w:rPr>
          <w:lang w:val="de-DE"/>
        </w:rPr>
        <w:t>,</w:t>
      </w:r>
      <w:r w:rsidRPr="002E1C82">
        <w:rPr>
          <w:lang w:val="de-DE"/>
        </w:rPr>
        <w:t xml:space="preserve"> </w:t>
      </w:r>
      <w:r w:rsidR="006E08FB" w:rsidRPr="002E1C82">
        <w:rPr>
          <w:lang w:val="de-DE"/>
        </w:rPr>
        <w:t xml:space="preserve">um eine rasche Umsetzung der neuen ADN-Vorschriften </w:t>
      </w:r>
      <w:r w:rsidR="00D851E0" w:rsidRPr="002E1C82">
        <w:rPr>
          <w:lang w:val="de-DE"/>
        </w:rPr>
        <w:t>sicherzustellen</w:t>
      </w:r>
      <w:r w:rsidRPr="002E1C82">
        <w:rPr>
          <w:lang w:val="de-DE"/>
        </w:rPr>
        <w:t xml:space="preserve"> </w:t>
      </w:r>
      <w:r w:rsidR="00F51526" w:rsidRPr="002E1C82">
        <w:rPr>
          <w:lang w:val="de-DE"/>
        </w:rPr>
        <w:t xml:space="preserve">und die Rechtmäßigkeit des Betriebs von </w:t>
      </w:r>
      <w:r w:rsidR="006E08FB" w:rsidRPr="002E1C82">
        <w:rPr>
          <w:lang w:val="de-DE"/>
        </w:rPr>
        <w:t xml:space="preserve">Binnenschiffen, die gefährliche Güter befördern </w:t>
      </w:r>
      <w:r w:rsidR="0058371A" w:rsidRPr="002E1C82">
        <w:rPr>
          <w:lang w:val="de-DE"/>
        </w:rPr>
        <w:t xml:space="preserve">und LNG </w:t>
      </w:r>
      <w:r w:rsidR="0058371A" w:rsidRPr="009B0E95">
        <w:rPr>
          <w:lang w:val="de-DE"/>
        </w:rPr>
        <w:t>als Brennstoff</w:t>
      </w:r>
      <w:r w:rsidR="001C6CEA" w:rsidRPr="009B0E95">
        <w:rPr>
          <w:lang w:val="de-DE"/>
        </w:rPr>
        <w:t xml:space="preserve"> für</w:t>
      </w:r>
      <w:r w:rsidR="001C6CEA" w:rsidRPr="002E1C82">
        <w:rPr>
          <w:lang w:val="de-DE"/>
        </w:rPr>
        <w:t xml:space="preserve"> ihren Antrieb </w:t>
      </w:r>
      <w:r w:rsidR="0058371A" w:rsidRPr="002E1C82">
        <w:rPr>
          <w:lang w:val="de-DE"/>
        </w:rPr>
        <w:t>nutzen</w:t>
      </w:r>
      <w:r w:rsidR="001C6CEA" w:rsidRPr="002E1C82">
        <w:rPr>
          <w:lang w:val="de-DE"/>
        </w:rPr>
        <w:t>,</w:t>
      </w:r>
      <w:r w:rsidR="0058371A" w:rsidRPr="002E1C82">
        <w:rPr>
          <w:lang w:val="de-DE"/>
        </w:rPr>
        <w:t xml:space="preserve"> </w:t>
      </w:r>
      <w:r w:rsidR="00D851E0" w:rsidRPr="002E1C82">
        <w:rPr>
          <w:lang w:val="de-DE"/>
        </w:rPr>
        <w:t>zu gewährleisten</w:t>
      </w:r>
      <w:r w:rsidR="000E478F" w:rsidRPr="002E1C82">
        <w:rPr>
          <w:lang w:val="de-DE"/>
        </w:rPr>
        <w:t>, da die gewährte Abweichung in den meisten Fällen am 30. Juni 2017 ausläuft</w:t>
      </w:r>
      <w:r w:rsidR="00D851E0" w:rsidRPr="002E1C82">
        <w:rPr>
          <w:lang w:val="de-DE"/>
        </w:rPr>
        <w:t>.</w:t>
      </w:r>
    </w:p>
    <w:p w14:paraId="66BB1708" w14:textId="77777777" w:rsidR="00A81985" w:rsidRPr="00552DC3" w:rsidRDefault="00552DC3" w:rsidP="00D2078A">
      <w:pPr>
        <w:spacing w:before="120"/>
        <w:jc w:val="center"/>
        <w:rPr>
          <w:lang w:val="de-DE"/>
        </w:rPr>
      </w:pPr>
      <w:r w:rsidRPr="00552DC3">
        <w:rPr>
          <w:lang w:val="de-DE"/>
        </w:rPr>
        <w:t>***</w:t>
      </w:r>
    </w:p>
    <w:sectPr w:rsidR="00A81985" w:rsidRPr="00552DC3" w:rsidSect="00BF60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164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66F5" w14:textId="77777777" w:rsidR="00533089" w:rsidRPr="00FB1744" w:rsidRDefault="00533089" w:rsidP="00FB1744">
      <w:pPr>
        <w:pStyle w:val="Footer"/>
      </w:pPr>
    </w:p>
  </w:endnote>
  <w:endnote w:type="continuationSeparator" w:id="0">
    <w:p w14:paraId="7F9AC7DB" w14:textId="77777777" w:rsidR="00533089" w:rsidRPr="00FB1744" w:rsidRDefault="00533089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749F" w14:textId="77777777" w:rsidR="00D800A0" w:rsidRPr="00D800A0" w:rsidRDefault="00D800A0" w:rsidP="00D800A0">
    <w:pPr>
      <w:spacing w:line="240" w:lineRule="auto"/>
      <w:jc w:val="right"/>
      <w:rPr>
        <w:lang w:val="fr-FR"/>
      </w:rPr>
    </w:pPr>
    <w:r w:rsidRPr="00256813">
      <w:rPr>
        <w:rFonts w:ascii="Arial" w:hAnsi="Arial"/>
        <w:noProof/>
        <w:sz w:val="12"/>
        <w:szCs w:val="24"/>
        <w:lang w:val="fr-FR" w:eastAsia="fr-FR"/>
      </w:rPr>
      <w:t>mm_ba</w:t>
    </w:r>
    <w:r>
      <w:rPr>
        <w:rFonts w:ascii="Arial" w:hAnsi="Arial"/>
        <w:noProof/>
        <w:sz w:val="12"/>
        <w:szCs w:val="24"/>
        <w:lang w:val="fr-FR" w:eastAsia="fr-FR"/>
      </w:rPr>
      <w:t>/adn_wp15_ac2_2017_17</w:t>
    </w:r>
    <w:r w:rsidRPr="00256813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81CD" w14:textId="77777777" w:rsidR="00D800A0" w:rsidRPr="00D800A0" w:rsidRDefault="00D800A0" w:rsidP="00D800A0">
    <w:pPr>
      <w:spacing w:line="240" w:lineRule="auto"/>
      <w:jc w:val="right"/>
      <w:rPr>
        <w:lang w:val="fr-FR"/>
      </w:rPr>
    </w:pPr>
    <w:r w:rsidRPr="00256813">
      <w:rPr>
        <w:rFonts w:ascii="Arial" w:hAnsi="Arial"/>
        <w:noProof/>
        <w:sz w:val="12"/>
        <w:szCs w:val="24"/>
        <w:lang w:val="fr-FR" w:eastAsia="fr-FR"/>
      </w:rPr>
      <w:t>mm_ba</w:t>
    </w:r>
    <w:r>
      <w:rPr>
        <w:rFonts w:ascii="Arial" w:hAnsi="Arial"/>
        <w:noProof/>
        <w:sz w:val="12"/>
        <w:szCs w:val="24"/>
        <w:lang w:val="fr-FR" w:eastAsia="fr-FR"/>
      </w:rPr>
      <w:t>/adn_wp15_ac2_2017_17</w:t>
    </w:r>
    <w:r w:rsidRPr="00256813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5E0B" w14:textId="77777777" w:rsidR="00601AE4" w:rsidRPr="00D2078A" w:rsidRDefault="00601AE4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D63F" w14:textId="77777777" w:rsidR="00533089" w:rsidRPr="00FB1744" w:rsidRDefault="0053308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65F623E" w14:textId="77777777" w:rsidR="00533089" w:rsidRPr="00FB1744" w:rsidRDefault="00533089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2448490" w14:textId="77777777" w:rsidR="00601AE4" w:rsidRPr="00C10383" w:rsidRDefault="00601AE4" w:rsidP="00213CD9">
      <w:pPr>
        <w:pStyle w:val="FootnoteText"/>
        <w:rPr>
          <w:lang w:val="de-DE"/>
        </w:rPr>
      </w:pPr>
      <w:r>
        <w:tab/>
      </w:r>
      <w:r w:rsidRPr="00552DC3">
        <w:rPr>
          <w:rStyle w:val="FootnoteReference"/>
          <w:lang w:val="de-DE"/>
        </w:rPr>
        <w:t>*</w:t>
      </w:r>
      <w:r w:rsidRPr="00552DC3">
        <w:rPr>
          <w:lang w:val="de-DE"/>
        </w:rPr>
        <w:t xml:space="preserve"> </w:t>
      </w:r>
      <w:r w:rsidRPr="00552DC3">
        <w:rPr>
          <w:lang w:val="de-DE"/>
        </w:rPr>
        <w:tab/>
      </w:r>
      <w:r w:rsidRPr="00C10383">
        <w:rPr>
          <w:lang w:val="de-DE"/>
        </w:rPr>
        <w:t>Von der UN-ECE in Englisch, Französisch und Russisch unter dem Aktenzeichen CCNR- ECE/TRANS/WP.15/AC.2/2017/17 verteilt.</w:t>
      </w:r>
    </w:p>
  </w:footnote>
  <w:footnote w:id="2">
    <w:p w14:paraId="499E8C69" w14:textId="77777777" w:rsidR="00601AE4" w:rsidRPr="00C10383" w:rsidRDefault="00601AE4" w:rsidP="00213CD9">
      <w:pPr>
        <w:pStyle w:val="FootnoteText"/>
        <w:rPr>
          <w:lang w:val="de-DE"/>
        </w:rPr>
      </w:pPr>
      <w:r w:rsidRPr="00C10383">
        <w:rPr>
          <w:lang w:val="de-DE"/>
        </w:rPr>
        <w:tab/>
      </w:r>
      <w:r w:rsidRPr="00C10383">
        <w:rPr>
          <w:rStyle w:val="FootnoteReference"/>
          <w:lang w:val="de-DE"/>
        </w:rPr>
        <w:t>**</w:t>
      </w:r>
      <w:r w:rsidRPr="00C10383">
        <w:rPr>
          <w:lang w:val="de-DE"/>
        </w:rPr>
        <w:t xml:space="preserve"> </w:t>
      </w:r>
      <w:r w:rsidRPr="00C10383">
        <w:rPr>
          <w:lang w:val="de-DE"/>
        </w:rPr>
        <w:tab/>
      </w:r>
      <w:r w:rsidR="00140E8A" w:rsidRPr="00C10383">
        <w:rPr>
          <w:lang w:val="de-DE"/>
        </w:rPr>
        <w:t>Gemäß</w:t>
      </w:r>
      <w:r w:rsidRPr="00C10383">
        <w:rPr>
          <w:lang w:val="de-DE"/>
        </w:rPr>
        <w:t xml:space="preserve">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46F0" w14:textId="77777777" w:rsidR="00D800A0" w:rsidRPr="003E5A1F" w:rsidRDefault="00D800A0" w:rsidP="00D800A0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 w:rsidRPr="003E5A1F">
      <w:rPr>
        <w:rFonts w:ascii="Arial" w:hAnsi="Arial"/>
        <w:b w:val="0"/>
        <w:sz w:val="16"/>
        <w:szCs w:val="16"/>
      </w:rPr>
      <w:t>CCNR-ZKR/ADN/WP.15/AC.2/</w:t>
    </w:r>
    <w:r>
      <w:rPr>
        <w:rFonts w:ascii="Arial" w:hAnsi="Arial"/>
        <w:b w:val="0"/>
        <w:sz w:val="16"/>
        <w:szCs w:val="16"/>
      </w:rPr>
      <w:t>2017/17</w:t>
    </w:r>
  </w:p>
  <w:p w14:paraId="76223176" w14:textId="17F2E133" w:rsidR="00601AE4" w:rsidRPr="00D800A0" w:rsidRDefault="00D800A0" w:rsidP="00D800A0">
    <w:pPr>
      <w:pStyle w:val="Header"/>
      <w:pBdr>
        <w:bottom w:val="none" w:sz="0" w:space="0" w:color="auto"/>
      </w:pBdr>
    </w:pPr>
    <w:r w:rsidRPr="00D800A0">
      <w:rPr>
        <w:rFonts w:ascii="Arial" w:hAnsi="Arial"/>
        <w:b w:val="0"/>
        <w:sz w:val="16"/>
        <w:szCs w:val="16"/>
      </w:rPr>
      <w:t xml:space="preserve">Seite </w:t>
    </w:r>
    <w:r w:rsidRPr="00D800A0">
      <w:rPr>
        <w:rFonts w:ascii="Arial" w:hAnsi="Arial"/>
        <w:b w:val="0"/>
        <w:sz w:val="16"/>
        <w:szCs w:val="16"/>
      </w:rPr>
      <w:fldChar w:fldCharType="begin"/>
    </w:r>
    <w:r w:rsidRPr="00D800A0">
      <w:rPr>
        <w:rFonts w:ascii="Arial" w:hAnsi="Arial"/>
        <w:b w:val="0"/>
        <w:sz w:val="16"/>
        <w:szCs w:val="16"/>
      </w:rPr>
      <w:instrText xml:space="preserve"> PAGE  \* MERGEFORMAT </w:instrText>
    </w:r>
    <w:r w:rsidRPr="00D800A0">
      <w:rPr>
        <w:rFonts w:ascii="Arial" w:hAnsi="Arial"/>
        <w:b w:val="0"/>
        <w:sz w:val="16"/>
        <w:szCs w:val="16"/>
      </w:rPr>
      <w:fldChar w:fldCharType="separate"/>
    </w:r>
    <w:r w:rsidR="004C749F">
      <w:rPr>
        <w:rFonts w:ascii="Arial" w:hAnsi="Arial"/>
        <w:b w:val="0"/>
        <w:noProof/>
        <w:sz w:val="16"/>
        <w:szCs w:val="16"/>
      </w:rPr>
      <w:t>2</w:t>
    </w:r>
    <w:r w:rsidRPr="00D800A0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563D" w14:textId="77777777" w:rsidR="00D800A0" w:rsidRPr="003E5A1F" w:rsidRDefault="00D800A0" w:rsidP="00D800A0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 w:rsidRPr="003E5A1F">
      <w:rPr>
        <w:rFonts w:ascii="Arial" w:hAnsi="Arial"/>
        <w:b w:val="0"/>
        <w:sz w:val="16"/>
        <w:szCs w:val="16"/>
      </w:rPr>
      <w:t>CCNR-ZKR/ADN/WP.15/AC.2/</w:t>
    </w:r>
    <w:r>
      <w:rPr>
        <w:rFonts w:ascii="Arial" w:hAnsi="Arial"/>
        <w:b w:val="0"/>
        <w:sz w:val="16"/>
        <w:szCs w:val="16"/>
      </w:rPr>
      <w:t>2017/17</w:t>
    </w:r>
  </w:p>
  <w:p w14:paraId="57E919E8" w14:textId="4F708F39" w:rsidR="00601AE4" w:rsidRPr="00D800A0" w:rsidRDefault="00D800A0" w:rsidP="00D800A0">
    <w:pPr>
      <w:pStyle w:val="Header"/>
      <w:pBdr>
        <w:bottom w:val="none" w:sz="0" w:space="0" w:color="auto"/>
      </w:pBdr>
    </w:pPr>
    <w:r w:rsidRPr="00D800A0">
      <w:rPr>
        <w:rFonts w:ascii="Arial" w:hAnsi="Arial"/>
        <w:b w:val="0"/>
        <w:sz w:val="16"/>
        <w:szCs w:val="16"/>
      </w:rPr>
      <w:t xml:space="preserve">Seite </w:t>
    </w:r>
    <w:r w:rsidRPr="00D800A0">
      <w:rPr>
        <w:rFonts w:ascii="Arial" w:hAnsi="Arial"/>
        <w:b w:val="0"/>
        <w:sz w:val="16"/>
        <w:szCs w:val="16"/>
      </w:rPr>
      <w:fldChar w:fldCharType="begin"/>
    </w:r>
    <w:r w:rsidRPr="00D800A0">
      <w:rPr>
        <w:rFonts w:ascii="Arial" w:hAnsi="Arial"/>
        <w:b w:val="0"/>
        <w:sz w:val="16"/>
        <w:szCs w:val="16"/>
      </w:rPr>
      <w:instrText xml:space="preserve"> PAGE  \* MERGEFORMAT </w:instrText>
    </w:r>
    <w:r w:rsidRPr="00D800A0">
      <w:rPr>
        <w:rFonts w:ascii="Arial" w:hAnsi="Arial"/>
        <w:b w:val="0"/>
        <w:sz w:val="16"/>
        <w:szCs w:val="16"/>
      </w:rPr>
      <w:fldChar w:fldCharType="separate"/>
    </w:r>
    <w:r w:rsidR="004C749F">
      <w:rPr>
        <w:rFonts w:ascii="Arial" w:hAnsi="Arial"/>
        <w:b w:val="0"/>
        <w:noProof/>
        <w:sz w:val="16"/>
        <w:szCs w:val="16"/>
      </w:rPr>
      <w:t>3</w:t>
    </w:r>
    <w:r w:rsidRPr="00D800A0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0"/>
    <w:rsid w:val="00003F44"/>
    <w:rsid w:val="00021744"/>
    <w:rsid w:val="00026F92"/>
    <w:rsid w:val="00046E92"/>
    <w:rsid w:val="000B0064"/>
    <w:rsid w:val="000B4F2F"/>
    <w:rsid w:val="000B6EAE"/>
    <w:rsid w:val="000C1458"/>
    <w:rsid w:val="000E478F"/>
    <w:rsid w:val="000F32E8"/>
    <w:rsid w:val="0010080D"/>
    <w:rsid w:val="001170DC"/>
    <w:rsid w:val="00140E8A"/>
    <w:rsid w:val="00154E59"/>
    <w:rsid w:val="00165E5B"/>
    <w:rsid w:val="001677CA"/>
    <w:rsid w:val="00172271"/>
    <w:rsid w:val="001A12F3"/>
    <w:rsid w:val="001B7F88"/>
    <w:rsid w:val="001C6CEA"/>
    <w:rsid w:val="00204EB5"/>
    <w:rsid w:val="00213CD9"/>
    <w:rsid w:val="0023263F"/>
    <w:rsid w:val="00247E2C"/>
    <w:rsid w:val="0026467E"/>
    <w:rsid w:val="002D6C53"/>
    <w:rsid w:val="002E1C82"/>
    <w:rsid w:val="002E5D07"/>
    <w:rsid w:val="002F1972"/>
    <w:rsid w:val="002F4084"/>
    <w:rsid w:val="002F5595"/>
    <w:rsid w:val="00312305"/>
    <w:rsid w:val="003131E2"/>
    <w:rsid w:val="00323AB8"/>
    <w:rsid w:val="0032527C"/>
    <w:rsid w:val="00334F6A"/>
    <w:rsid w:val="00342AC8"/>
    <w:rsid w:val="00354221"/>
    <w:rsid w:val="003B4550"/>
    <w:rsid w:val="003C440B"/>
    <w:rsid w:val="003D27C9"/>
    <w:rsid w:val="003D6BCC"/>
    <w:rsid w:val="003F5889"/>
    <w:rsid w:val="0042029E"/>
    <w:rsid w:val="004362FB"/>
    <w:rsid w:val="00461253"/>
    <w:rsid w:val="00466F3B"/>
    <w:rsid w:val="00475832"/>
    <w:rsid w:val="004C749F"/>
    <w:rsid w:val="004F0D61"/>
    <w:rsid w:val="005042C2"/>
    <w:rsid w:val="00517409"/>
    <w:rsid w:val="00533089"/>
    <w:rsid w:val="0053381F"/>
    <w:rsid w:val="00542248"/>
    <w:rsid w:val="00552DC3"/>
    <w:rsid w:val="005600D2"/>
    <w:rsid w:val="0058371A"/>
    <w:rsid w:val="00595889"/>
    <w:rsid w:val="005D605F"/>
    <w:rsid w:val="005F3F8A"/>
    <w:rsid w:val="005F4DAD"/>
    <w:rsid w:val="00601AE4"/>
    <w:rsid w:val="00621674"/>
    <w:rsid w:val="00630759"/>
    <w:rsid w:val="00631881"/>
    <w:rsid w:val="00645E12"/>
    <w:rsid w:val="00651190"/>
    <w:rsid w:val="00671529"/>
    <w:rsid w:val="00672476"/>
    <w:rsid w:val="00672498"/>
    <w:rsid w:val="006769E9"/>
    <w:rsid w:val="00681081"/>
    <w:rsid w:val="006918DE"/>
    <w:rsid w:val="006A6D62"/>
    <w:rsid w:val="006A792E"/>
    <w:rsid w:val="006C7543"/>
    <w:rsid w:val="006E08FB"/>
    <w:rsid w:val="00717266"/>
    <w:rsid w:val="00726677"/>
    <w:rsid w:val="007268F9"/>
    <w:rsid w:val="00733D46"/>
    <w:rsid w:val="007C52B0"/>
    <w:rsid w:val="007E0A46"/>
    <w:rsid w:val="007F5954"/>
    <w:rsid w:val="00801AD8"/>
    <w:rsid w:val="00806372"/>
    <w:rsid w:val="008163CE"/>
    <w:rsid w:val="00816DF2"/>
    <w:rsid w:val="008239A5"/>
    <w:rsid w:val="00825639"/>
    <w:rsid w:val="008322CD"/>
    <w:rsid w:val="008747B5"/>
    <w:rsid w:val="00886781"/>
    <w:rsid w:val="008944AC"/>
    <w:rsid w:val="008A49B5"/>
    <w:rsid w:val="008E4C86"/>
    <w:rsid w:val="008E5B74"/>
    <w:rsid w:val="008F0294"/>
    <w:rsid w:val="009231F7"/>
    <w:rsid w:val="00924595"/>
    <w:rsid w:val="009411B4"/>
    <w:rsid w:val="0094270F"/>
    <w:rsid w:val="0095200A"/>
    <w:rsid w:val="009862D8"/>
    <w:rsid w:val="00991F75"/>
    <w:rsid w:val="009B0E95"/>
    <w:rsid w:val="009C53C8"/>
    <w:rsid w:val="009D0139"/>
    <w:rsid w:val="009D38D1"/>
    <w:rsid w:val="009F25B5"/>
    <w:rsid w:val="009F5CDC"/>
    <w:rsid w:val="00A15BF0"/>
    <w:rsid w:val="00A72179"/>
    <w:rsid w:val="00A775CF"/>
    <w:rsid w:val="00A81985"/>
    <w:rsid w:val="00A83531"/>
    <w:rsid w:val="00AB3C7E"/>
    <w:rsid w:val="00AB554A"/>
    <w:rsid w:val="00AC3D6A"/>
    <w:rsid w:val="00AC555F"/>
    <w:rsid w:val="00AC5DFB"/>
    <w:rsid w:val="00AD083D"/>
    <w:rsid w:val="00AD1EE7"/>
    <w:rsid w:val="00AE4C38"/>
    <w:rsid w:val="00B06045"/>
    <w:rsid w:val="00B243C2"/>
    <w:rsid w:val="00B46C97"/>
    <w:rsid w:val="00B64A2E"/>
    <w:rsid w:val="00B66D85"/>
    <w:rsid w:val="00B704F1"/>
    <w:rsid w:val="00B94B7A"/>
    <w:rsid w:val="00B97001"/>
    <w:rsid w:val="00BA6982"/>
    <w:rsid w:val="00BC2598"/>
    <w:rsid w:val="00BE4FDB"/>
    <w:rsid w:val="00BE6FF3"/>
    <w:rsid w:val="00BF600F"/>
    <w:rsid w:val="00C0141B"/>
    <w:rsid w:val="00C04418"/>
    <w:rsid w:val="00C10383"/>
    <w:rsid w:val="00C11001"/>
    <w:rsid w:val="00C125CF"/>
    <w:rsid w:val="00C15923"/>
    <w:rsid w:val="00C24DB5"/>
    <w:rsid w:val="00C32FBF"/>
    <w:rsid w:val="00C35A27"/>
    <w:rsid w:val="00C575A8"/>
    <w:rsid w:val="00C57AFC"/>
    <w:rsid w:val="00C64FD4"/>
    <w:rsid w:val="00C80838"/>
    <w:rsid w:val="00CB2513"/>
    <w:rsid w:val="00CC2F6A"/>
    <w:rsid w:val="00CD034F"/>
    <w:rsid w:val="00CE62E0"/>
    <w:rsid w:val="00CF0982"/>
    <w:rsid w:val="00D04710"/>
    <w:rsid w:val="00D0622E"/>
    <w:rsid w:val="00D2078A"/>
    <w:rsid w:val="00D44C08"/>
    <w:rsid w:val="00D52FBD"/>
    <w:rsid w:val="00D5462E"/>
    <w:rsid w:val="00D7454B"/>
    <w:rsid w:val="00D800A0"/>
    <w:rsid w:val="00D851E0"/>
    <w:rsid w:val="00D96D7F"/>
    <w:rsid w:val="00DC35D2"/>
    <w:rsid w:val="00DE6117"/>
    <w:rsid w:val="00DF24D8"/>
    <w:rsid w:val="00DF5C0D"/>
    <w:rsid w:val="00E02C2B"/>
    <w:rsid w:val="00E22607"/>
    <w:rsid w:val="00E5381B"/>
    <w:rsid w:val="00E70B18"/>
    <w:rsid w:val="00E76C16"/>
    <w:rsid w:val="00E96F0E"/>
    <w:rsid w:val="00EA1775"/>
    <w:rsid w:val="00EB12B7"/>
    <w:rsid w:val="00EC6207"/>
    <w:rsid w:val="00ED6C48"/>
    <w:rsid w:val="00F11637"/>
    <w:rsid w:val="00F457CC"/>
    <w:rsid w:val="00F51526"/>
    <w:rsid w:val="00F65F5D"/>
    <w:rsid w:val="00F6775B"/>
    <w:rsid w:val="00F72388"/>
    <w:rsid w:val="00F86A3A"/>
    <w:rsid w:val="00FA14C7"/>
    <w:rsid w:val="00FB1744"/>
    <w:rsid w:val="00FD2441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7FBA9C"/>
  <w15:docId w15:val="{8302FC8D-1CDA-40F5-8DCF-2588B40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4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C440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0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9750-F102-4115-83BC-0967473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1608944</vt:lpstr>
      <vt:lpstr>1608944</vt:lpstr>
      <vt:lpstr>1608944</vt:lpstr>
    </vt:vector>
  </TitlesOfParts>
  <Company>DCM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Lucille</cp:lastModifiedBy>
  <cp:revision>2</cp:revision>
  <cp:lastPrinted>2016-12-02T07:28:00Z</cp:lastPrinted>
  <dcterms:created xsi:type="dcterms:W3CDTF">2016-12-02T08:55:00Z</dcterms:created>
  <dcterms:modified xsi:type="dcterms:W3CDTF">2016-12-02T08:55:00Z</dcterms:modified>
</cp:coreProperties>
</file>