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F541FF">
              <w:fldChar w:fldCharType="begin"/>
            </w:r>
            <w:r w:rsidR="00F541FF">
              <w:instrText xml:space="preserve"> FILLIN  "Введите символ после ЕCE/"  \* MERGEFORMAT </w:instrText>
            </w:r>
            <w:r w:rsidR="00F541FF">
              <w:fldChar w:fldCharType="separate"/>
            </w:r>
            <w:r w:rsidR="00217A06">
              <w:t>TRANS/WP.15/AC.2/2017/13</w:t>
            </w:r>
            <w:r w:rsidR="00F541FF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F541FF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F541FF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217A06">
              <w:t>9 November 2016</w:t>
            </w:r>
            <w:r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result w:val="1"/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F541FF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96763D">
      <w:pPr>
        <w:spacing w:before="8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21757" w:rsidRPr="00221757" w:rsidRDefault="00221757" w:rsidP="0096763D">
      <w:pPr>
        <w:spacing w:before="80" w:line="240" w:lineRule="auto"/>
        <w:rPr>
          <w:sz w:val="28"/>
          <w:szCs w:val="28"/>
        </w:rPr>
      </w:pPr>
      <w:r w:rsidRPr="00221757">
        <w:rPr>
          <w:sz w:val="28"/>
          <w:szCs w:val="28"/>
        </w:rPr>
        <w:t>Комитет по внутреннему транспорту</w:t>
      </w:r>
    </w:p>
    <w:p w:rsidR="00221757" w:rsidRPr="00221757" w:rsidRDefault="00221757" w:rsidP="0096763D">
      <w:pPr>
        <w:spacing w:before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Рабочая группа по перевозкам</w:t>
      </w:r>
      <w:r w:rsidRPr="00221757">
        <w:rPr>
          <w:b/>
          <w:sz w:val="24"/>
          <w:szCs w:val="24"/>
        </w:rPr>
        <w:br/>
        <w:t>опасных грузов</w:t>
      </w:r>
    </w:p>
    <w:p w:rsidR="00221757" w:rsidRPr="00221757" w:rsidRDefault="00221757" w:rsidP="0096763D">
      <w:pPr>
        <w:spacing w:before="80" w:line="228" w:lineRule="auto"/>
        <w:rPr>
          <w:b/>
        </w:rPr>
      </w:pPr>
      <w:r w:rsidRPr="00221757">
        <w:rPr>
          <w:b/>
        </w:rPr>
        <w:t>Совместное с</w:t>
      </w:r>
      <w:r>
        <w:rPr>
          <w:b/>
        </w:rPr>
        <w:t>овещание экспертов по Правилам,</w:t>
      </w:r>
      <w:r w:rsidRPr="00221757">
        <w:rPr>
          <w:b/>
        </w:rPr>
        <w:br/>
        <w:t>прилаг</w:t>
      </w:r>
      <w:r>
        <w:rPr>
          <w:b/>
        </w:rPr>
        <w:t>аемым к Европейскому соглашению</w:t>
      </w:r>
      <w:r w:rsidRPr="00221757">
        <w:rPr>
          <w:b/>
        </w:rPr>
        <w:br/>
        <w:t>о междуна</w:t>
      </w:r>
      <w:r>
        <w:rPr>
          <w:b/>
        </w:rPr>
        <w:t>родной перевозке опасных грузов</w:t>
      </w:r>
      <w:r w:rsidRPr="00221757">
        <w:rPr>
          <w:b/>
        </w:rPr>
        <w:br/>
        <w:t>по внутренним водным путям (ВОПОГ</w:t>
      </w:r>
      <w:r>
        <w:rPr>
          <w:b/>
        </w:rPr>
        <w:t>)</w:t>
      </w:r>
      <w:r w:rsidRPr="00221757">
        <w:rPr>
          <w:b/>
        </w:rPr>
        <w:br/>
        <w:t>(Комитет по вопросам безопасности ВОПОГ)</w:t>
      </w:r>
    </w:p>
    <w:p w:rsidR="00221757" w:rsidRPr="00221757" w:rsidRDefault="00221757" w:rsidP="0096763D">
      <w:pPr>
        <w:spacing w:before="80" w:line="228" w:lineRule="auto"/>
        <w:rPr>
          <w:b/>
        </w:rPr>
      </w:pPr>
      <w:r w:rsidRPr="00221757">
        <w:rPr>
          <w:b/>
        </w:rPr>
        <w:t>Тридцатая сессия</w:t>
      </w:r>
    </w:p>
    <w:p w:rsidR="00221757" w:rsidRPr="00D25A4E" w:rsidRDefault="00221757" w:rsidP="0096763D">
      <w:pPr>
        <w:spacing w:line="228" w:lineRule="auto"/>
      </w:pPr>
      <w:r w:rsidRPr="00D25A4E">
        <w:t>Женева, 23–27 января 2017 года</w:t>
      </w:r>
    </w:p>
    <w:p w:rsidR="00221757" w:rsidRPr="00D25A4E" w:rsidRDefault="00221757" w:rsidP="0096763D">
      <w:pPr>
        <w:spacing w:line="228" w:lineRule="auto"/>
      </w:pPr>
      <w:r w:rsidRPr="00D25A4E">
        <w:t>Пункт 4 c) предварительной повестки дня</w:t>
      </w:r>
    </w:p>
    <w:p w:rsidR="00221757" w:rsidRPr="00221757" w:rsidRDefault="00221757" w:rsidP="0096763D">
      <w:pPr>
        <w:spacing w:line="228" w:lineRule="auto"/>
        <w:rPr>
          <w:b/>
        </w:rPr>
      </w:pPr>
      <w:r w:rsidRPr="00221757">
        <w:rPr>
          <w:b/>
        </w:rPr>
        <w:t>При</w:t>
      </w:r>
      <w:r>
        <w:rPr>
          <w:b/>
        </w:rPr>
        <w:t>менение Европейского соглашения</w:t>
      </w:r>
      <w:r w:rsidRPr="00221757">
        <w:rPr>
          <w:b/>
        </w:rPr>
        <w:br/>
        <w:t>о междуна</w:t>
      </w:r>
      <w:r>
        <w:rPr>
          <w:b/>
        </w:rPr>
        <w:t>родной перевозке опасных грузов</w:t>
      </w:r>
      <w:r w:rsidRPr="00221757">
        <w:rPr>
          <w:b/>
        </w:rPr>
        <w:br/>
        <w:t>по внутренним водным путям (ВОПОГ):</w:t>
      </w:r>
    </w:p>
    <w:p w:rsidR="00221757" w:rsidRPr="00221757" w:rsidRDefault="00221757" w:rsidP="0096763D">
      <w:pPr>
        <w:spacing w:line="228" w:lineRule="auto"/>
        <w:rPr>
          <w:b/>
        </w:rPr>
      </w:pPr>
      <w:r w:rsidRPr="00221757">
        <w:rPr>
          <w:b/>
        </w:rPr>
        <w:t>толкование Правил, прилагаемых к ВОПОГ</w:t>
      </w:r>
    </w:p>
    <w:p w:rsidR="00221757" w:rsidRPr="00221757" w:rsidRDefault="00221757" w:rsidP="00221757">
      <w:pPr>
        <w:pStyle w:val="HChGR"/>
      </w:pPr>
      <w:r w:rsidRPr="00221757">
        <w:tab/>
      </w:r>
      <w:r w:rsidRPr="00221757">
        <w:tab/>
        <w:t>Пункт 7.2.4</w:t>
      </w:r>
      <w:r>
        <w:t>.1.1 ВОПОГ – перевозка упаковок</w:t>
      </w:r>
      <w:r w:rsidRPr="00221757">
        <w:br/>
        <w:t>на борту танкеров</w:t>
      </w:r>
    </w:p>
    <w:p w:rsidR="00221757" w:rsidRPr="00221757" w:rsidRDefault="00221757" w:rsidP="00E72D95">
      <w:pPr>
        <w:pStyle w:val="H1GR"/>
        <w:spacing w:before="240"/>
        <w:rPr>
          <w:lang w:val="en-US"/>
        </w:rPr>
      </w:pPr>
      <w:r w:rsidRPr="00221757">
        <w:tab/>
      </w:r>
      <w:r w:rsidRPr="00221757">
        <w:tab/>
        <w:t>Передано правительством Германии</w:t>
      </w:r>
      <w:r w:rsidRPr="00D25A4E">
        <w:rPr>
          <w:b w:val="0"/>
          <w:position w:val="6"/>
          <w:sz w:val="18"/>
          <w:szCs w:val="18"/>
        </w:rPr>
        <w:footnoteReference w:customMarkFollows="1" w:id="1"/>
        <w:t>*</w:t>
      </w:r>
      <w:r w:rsidRPr="00D25A4E">
        <w:rPr>
          <w:b w:val="0"/>
          <w:position w:val="6"/>
          <w:sz w:val="18"/>
          <w:szCs w:val="18"/>
          <w:lang w:val="en-US"/>
        </w:rPr>
        <w:t xml:space="preserve"> </w:t>
      </w:r>
      <w:r w:rsidRPr="00D25A4E">
        <w:rPr>
          <w:b w:val="0"/>
          <w:position w:val="6"/>
          <w:sz w:val="18"/>
          <w:szCs w:val="18"/>
        </w:rPr>
        <w:footnoteReference w:customMarkFollows="1" w:id="2"/>
        <w:t>**</w:t>
      </w:r>
    </w:p>
    <w:tbl>
      <w:tblPr>
        <w:tblStyle w:val="TableGrid"/>
        <w:tblW w:w="0" w:type="auto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2861"/>
        <w:gridCol w:w="6787"/>
      </w:tblGrid>
      <w:tr w:rsidR="00221757" w:rsidRPr="00221757" w:rsidTr="005C12A6">
        <w:tc>
          <w:tcPr>
            <w:tcW w:w="9648" w:type="dxa"/>
            <w:gridSpan w:val="2"/>
            <w:tcBorders>
              <w:bottom w:val="nil"/>
            </w:tcBorders>
            <w:shd w:val="clear" w:color="auto" w:fill="auto"/>
          </w:tcPr>
          <w:p w:rsidR="00221757" w:rsidRPr="00221757" w:rsidRDefault="00221757" w:rsidP="00221757">
            <w:pPr>
              <w:suppressAutoHyphens/>
              <w:spacing w:before="240" w:after="120"/>
              <w:ind w:left="255"/>
              <w:rPr>
                <w:rFonts w:eastAsiaTheme="minorHAnsi" w:cstheme="minorBidi"/>
                <w:i/>
                <w:sz w:val="24"/>
                <w:szCs w:val="22"/>
              </w:rPr>
            </w:pPr>
            <w:r w:rsidRPr="00221757">
              <w:rPr>
                <w:rFonts w:eastAsiaTheme="minorHAnsi" w:cstheme="minorBidi"/>
                <w:i/>
                <w:sz w:val="24"/>
                <w:szCs w:val="22"/>
              </w:rPr>
              <w:t>Резюме</w:t>
            </w:r>
          </w:p>
        </w:tc>
      </w:tr>
      <w:tr w:rsidR="00221757" w:rsidRPr="00221757" w:rsidTr="00D25A4E">
        <w:tc>
          <w:tcPr>
            <w:tcW w:w="28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1757" w:rsidRPr="00D25A4E" w:rsidRDefault="00221757" w:rsidP="00E34CF8">
            <w:pPr>
              <w:suppressAutoHyphens/>
              <w:spacing w:after="120"/>
              <w:ind w:left="255"/>
              <w:rPr>
                <w:b/>
              </w:rPr>
            </w:pPr>
            <w:r w:rsidRPr="00D25A4E">
              <w:rPr>
                <w:rFonts w:eastAsiaTheme="minorHAnsi" w:cstheme="minorBidi"/>
                <w:b/>
              </w:rPr>
              <w:t>Существо предложения: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C12A6" w:rsidRDefault="00221757" w:rsidP="0096763D">
            <w:pPr>
              <w:pStyle w:val="SingleTxtGR"/>
              <w:spacing w:after="0"/>
              <w:ind w:left="0"/>
            </w:pPr>
            <w:r w:rsidRPr="005C12A6">
              <w:t>В соответствии с пунктом 7.2.4.1.1 ВОПОГ и связанным с ним подразделом 7.2.4.14 ВОПОГ на танкерах также разрешается перевозка конкретных упаковок, а именно: емкостей для остаточных продуктов и сосудов для отстоев.</w:t>
            </w:r>
          </w:p>
          <w:p w:rsidR="00221757" w:rsidRPr="00221757" w:rsidRDefault="005C12A6" w:rsidP="00D25A4E">
            <w:pPr>
              <w:pStyle w:val="SingleTxtGR"/>
              <w:ind w:left="0"/>
            </w:pPr>
            <w:r w:rsidRPr="005C12A6">
              <w:t>Возможно, в этом случае нет достаточной ясности относительного того, что при перевозке танкером на такие упаковки также распространяются требования, действующие в отношении перевозки упаковок на сухогрузных судах.</w:t>
            </w:r>
          </w:p>
        </w:tc>
      </w:tr>
      <w:tr w:rsidR="00221757" w:rsidRPr="00221757" w:rsidTr="00D25A4E">
        <w:tc>
          <w:tcPr>
            <w:tcW w:w="28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1757" w:rsidRPr="00D25A4E" w:rsidRDefault="005C12A6" w:rsidP="0096763D">
            <w:pPr>
              <w:suppressAutoHyphens/>
              <w:ind w:left="255"/>
              <w:rPr>
                <w:rFonts w:eastAsiaTheme="minorHAnsi" w:cstheme="minorBidi"/>
              </w:rPr>
            </w:pPr>
            <w:r w:rsidRPr="00D25A4E">
              <w:rPr>
                <w:rFonts w:eastAsiaTheme="minorHAnsi" w:cstheme="minorBidi"/>
                <w:b/>
              </w:rPr>
              <w:lastRenderedPageBreak/>
              <w:t>Предлагаемое решение: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21757" w:rsidRPr="00D25A4E" w:rsidRDefault="005C12A6" w:rsidP="006F5B83">
            <w:pPr>
              <w:pStyle w:val="SingleTxtGR"/>
              <w:spacing w:after="0"/>
              <w:ind w:left="0"/>
              <w:jc w:val="left"/>
            </w:pPr>
            <w:r w:rsidRPr="00D25A4E">
              <w:t>Обсуждение в Комитете по вопросам безопасности ВОПОГ</w:t>
            </w:r>
          </w:p>
        </w:tc>
      </w:tr>
      <w:tr w:rsidR="005C12A6" w:rsidRPr="00221757" w:rsidTr="00D25A4E">
        <w:tc>
          <w:tcPr>
            <w:tcW w:w="28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12A6" w:rsidRPr="00221757" w:rsidRDefault="005C12A6" w:rsidP="005C12A6">
            <w:pPr>
              <w:spacing w:after="120"/>
              <w:rPr>
                <w:rFonts w:eastAsiaTheme="minorHAnsi" w:cstheme="minorBidi"/>
                <w:szCs w:val="22"/>
              </w:rPr>
            </w:pPr>
          </w:p>
        </w:tc>
        <w:tc>
          <w:tcPr>
            <w:tcW w:w="67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C12A6" w:rsidRPr="00D25A4E" w:rsidRDefault="005C12A6" w:rsidP="006F5B83">
            <w:pPr>
              <w:pStyle w:val="SingleTxtGR"/>
              <w:ind w:left="0"/>
            </w:pPr>
            <w:r w:rsidRPr="00D25A4E">
              <w:t>Включение соответствующего толкования в доклад о работе совещания</w:t>
            </w:r>
          </w:p>
        </w:tc>
      </w:tr>
      <w:tr w:rsidR="005C12A6" w:rsidRPr="006D6CC1" w:rsidTr="00D25A4E">
        <w:tc>
          <w:tcPr>
            <w:tcW w:w="286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12A6" w:rsidRPr="00D25A4E" w:rsidRDefault="005C12A6" w:rsidP="005C12A6">
            <w:pPr>
              <w:suppressAutoHyphens/>
              <w:spacing w:after="120"/>
              <w:ind w:left="255"/>
              <w:rPr>
                <w:rFonts w:eastAsiaTheme="minorHAnsi" w:cstheme="minorBidi"/>
              </w:rPr>
            </w:pPr>
            <w:r w:rsidRPr="00D25A4E">
              <w:rPr>
                <w:rFonts w:eastAsiaTheme="minorHAnsi" w:cstheme="minorBidi"/>
                <w:b/>
              </w:rPr>
              <w:t>Справочные документы:</w:t>
            </w:r>
          </w:p>
        </w:tc>
        <w:tc>
          <w:tcPr>
            <w:tcW w:w="678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C12A6" w:rsidRPr="006D6CC1" w:rsidRDefault="005C12A6" w:rsidP="00D25A4E">
            <w:pPr>
              <w:pStyle w:val="SingleTxtGR"/>
              <w:ind w:left="0"/>
              <w:rPr>
                <w:lang w:val="en-US"/>
              </w:rPr>
            </w:pPr>
            <w:r w:rsidRPr="006D6CC1">
              <w:rPr>
                <w:lang w:val="en-US"/>
              </w:rPr>
              <w:t>ECE/TRANS/WP.15/AC.2/2016/30</w:t>
            </w:r>
            <w:r w:rsidRPr="006D6CC1">
              <w:rPr>
                <w:lang w:val="en-US"/>
              </w:rPr>
              <w:br/>
              <w:t>ECE/TRANS/WP.15/AC.2/2016/34</w:t>
            </w:r>
            <w:r w:rsidRPr="006D6CC1">
              <w:rPr>
                <w:lang w:val="en-US"/>
              </w:rPr>
              <w:br/>
              <w:t xml:space="preserve">ECE/TRANS/WP.15/AC.2/60, </w:t>
            </w:r>
            <w:r w:rsidRPr="00D25A4E">
              <w:t>пункт</w:t>
            </w:r>
            <w:r w:rsidRPr="006D6CC1">
              <w:rPr>
                <w:lang w:val="en-US"/>
              </w:rPr>
              <w:t xml:space="preserve"> 13</w:t>
            </w:r>
          </w:p>
        </w:tc>
      </w:tr>
      <w:tr w:rsidR="005C12A6" w:rsidRPr="006D6CC1" w:rsidTr="005C12A6">
        <w:tc>
          <w:tcPr>
            <w:tcW w:w="96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C12A6" w:rsidRPr="005C12A6" w:rsidRDefault="005C12A6" w:rsidP="00221757">
            <w:pPr>
              <w:rPr>
                <w:rFonts w:eastAsiaTheme="minorHAnsi" w:cstheme="minorBidi"/>
                <w:szCs w:val="22"/>
                <w:lang w:val="en-US"/>
              </w:rPr>
            </w:pPr>
          </w:p>
        </w:tc>
      </w:tr>
    </w:tbl>
    <w:p w:rsidR="005C12A6" w:rsidRPr="005C12A6" w:rsidRDefault="005C12A6" w:rsidP="005C12A6">
      <w:pPr>
        <w:pStyle w:val="HChGR"/>
      </w:pPr>
      <w:r w:rsidRPr="00D25A4E">
        <w:rPr>
          <w:lang w:val="en-US"/>
        </w:rPr>
        <w:tab/>
      </w:r>
      <w:r w:rsidRPr="005C12A6">
        <w:t>I.</w:t>
      </w:r>
      <w:r w:rsidRPr="005C12A6">
        <w:tab/>
        <w:t>Введение</w:t>
      </w:r>
    </w:p>
    <w:p w:rsidR="005C12A6" w:rsidRPr="005C12A6" w:rsidRDefault="005C12A6" w:rsidP="005C12A6">
      <w:pPr>
        <w:pStyle w:val="SingleTxtGR"/>
      </w:pPr>
      <w:r w:rsidRPr="005C12A6">
        <w:t>1.</w:t>
      </w:r>
      <w:r w:rsidRPr="005C12A6">
        <w:tab/>
        <w:t>Вопрос толкования, о котором идет речь в резюме, был предложен делегацией Германии для обсуждения в Комитете по вопросам безопасности на его двадцать девятой сессии. Комитет по вопросам безопасности выразил мнение о том, что этот вопрос сложный и для его решения необходимо провести более обстоятельное обсуждение в ходе тридцатой сессии.</w:t>
      </w:r>
    </w:p>
    <w:p w:rsidR="005C12A6" w:rsidRPr="005C12A6" w:rsidRDefault="005C12A6" w:rsidP="005C12A6">
      <w:pPr>
        <w:pStyle w:val="SingleTxtGR"/>
      </w:pPr>
      <w:r w:rsidRPr="005C12A6">
        <w:t>2.</w:t>
      </w:r>
      <w:r w:rsidRPr="005C12A6">
        <w:tab/>
        <w:t>На той же сессии Комитет по вопроса</w:t>
      </w:r>
      <w:r w:rsidR="00D25A4E">
        <w:t>м безопасности принял решение –</w:t>
      </w:r>
      <w:r w:rsidR="00D25A4E">
        <w:br/>
      </w:r>
      <w:r w:rsidRPr="005C12A6">
        <w:t>в связи с реорганизацией системы защиты про</w:t>
      </w:r>
      <w:r w:rsidR="00D25A4E">
        <w:t>тив взрывов на основе документа </w:t>
      </w:r>
      <w:r w:rsidRPr="005C12A6">
        <w:t>ECE/TRANS/WP.15/AC.2/2016/30 – внести при подготовке публикации ВОПОГ 2019 года следующие изменения в подраздел 7.2.4.1 и в определения емкостей для остаточных продуктов и сосудов для отстоев в разделе 1.2.1:</w:t>
      </w:r>
    </w:p>
    <w:p w:rsidR="005C12A6" w:rsidRPr="005C12A6" w:rsidRDefault="005C12A6" w:rsidP="005C12A6">
      <w:pPr>
        <w:pStyle w:val="SingleTxtGR"/>
        <w:ind w:left="1701"/>
      </w:pPr>
      <w:r>
        <w:t>«</w:t>
      </w:r>
      <w:r w:rsidRPr="005C12A6">
        <w:t>Перевозка упаковок в пределах грузового пространства запрещается. Это запрещение не распространяется на:</w:t>
      </w:r>
    </w:p>
    <w:p w:rsidR="005C12A6" w:rsidRPr="005C12A6" w:rsidRDefault="005C12A6" w:rsidP="005C12A6">
      <w:pPr>
        <w:pStyle w:val="Bullet1GR"/>
      </w:pPr>
      <w:r w:rsidRPr="005C12A6">
        <w:t xml:space="preserve">остаточный груз, мытьевую воду, остатки груза и отстои, содержащиеся не более чем в шести утвержденных емкостях для остаточных продуктов и сосудах для отстоев </w:t>
      </w:r>
      <w:r w:rsidRPr="005C12A6">
        <w:rPr>
          <w:u w:val="single"/>
        </w:rPr>
        <w:t>общей вместимостью 12 м</w:t>
      </w:r>
      <w:r w:rsidRPr="00D25A4E">
        <w:t>³</w:t>
      </w:r>
      <w:r w:rsidRPr="005C12A6">
        <w:t> </w:t>
      </w:r>
      <w:r w:rsidRPr="00D25A4E">
        <w:rPr>
          <w:strike/>
        </w:rPr>
        <w:t>максимальной вместимостью 2 м³ каждый. Эти емкости для остаточных продуктов должны удовлетворять требованиям международных правил, применимых к соответствующему веществу</w:t>
      </w:r>
      <w:r w:rsidRPr="005C12A6">
        <w:t>. Емкости для остаточных продуктов и сосуды для отстоев должны быть размещены в грузовом пространстве безопасным образом</w:t>
      </w:r>
      <w:r w:rsidRPr="005C12A6">
        <w:rPr>
          <w:u w:val="single"/>
        </w:rPr>
        <w:t>, отстоять от бортов на расстоянии, равном по меньшей мере четверти ширины судна</w:t>
      </w:r>
      <w:r w:rsidRPr="005C12A6">
        <w:t xml:space="preserve">, и удовлетворять </w:t>
      </w:r>
      <w:r w:rsidRPr="00D25A4E">
        <w:rPr>
          <w:strike/>
        </w:rPr>
        <w:t>применимым к ним</w:t>
      </w:r>
      <w:r w:rsidRPr="005C12A6">
        <w:t xml:space="preserve"> требованиям пункта 9.3.2.26.</w:t>
      </w:r>
      <w:r w:rsidRPr="005C12A6">
        <w:rPr>
          <w:u w:val="single"/>
        </w:rPr>
        <w:t>3</w:t>
      </w:r>
      <w:r w:rsidRPr="005C12A6">
        <w:t>4 или 9.3.3.26.</w:t>
      </w:r>
      <w:r w:rsidRPr="005C12A6">
        <w:rPr>
          <w:u w:val="single"/>
        </w:rPr>
        <w:t>3</w:t>
      </w:r>
      <w:r w:rsidRPr="005C12A6">
        <w:t>4;</w:t>
      </w:r>
    </w:p>
    <w:p w:rsidR="005C12A6" w:rsidRPr="005C12A6" w:rsidRDefault="005C12A6" w:rsidP="005C12A6">
      <w:pPr>
        <w:pStyle w:val="Bullet1GR"/>
      </w:pPr>
      <w:r w:rsidRPr="005C12A6">
        <w:t>пробы груза (из расчета не более 30) веществ, допущенных к перевозке танкером, в количестве не более 500 мл на один сосуд. Сосуды должны удовлетворять требованиям в отношении упаковки, указанным в части 4 ДОПОГ, и размещаться на борту в строго определенном месте в пределах грузового пространства таким образом, чтобы в обычных условиях перевозки они не могли разбиться или получить прокол и чтобы их содержимое не могло разлиться в трюмном помещении. Хрупкие сосуды должны быть обложены над</w:t>
      </w:r>
      <w:r w:rsidR="00D25A4E">
        <w:t>лежащим прокладочным материалом»</w:t>
      </w:r>
      <w:r w:rsidRPr="005C12A6">
        <w:t>.</w:t>
      </w:r>
    </w:p>
    <w:p w:rsidR="005C12A6" w:rsidRPr="005C12A6" w:rsidRDefault="005C12A6" w:rsidP="00D25A4E">
      <w:pPr>
        <w:pStyle w:val="Bullet1GR"/>
        <w:numPr>
          <w:ilvl w:val="0"/>
          <w:numId w:val="0"/>
        </w:numPr>
        <w:ind w:left="1531"/>
        <w:rPr>
          <w:b/>
          <w:bCs/>
          <w:i/>
          <w:iCs/>
        </w:rPr>
      </w:pPr>
      <w:r w:rsidRPr="005C12A6">
        <w:t>«</w:t>
      </w:r>
      <w:r w:rsidR="006D6CC1" w:rsidRPr="006F5B83">
        <w:rPr>
          <w:b/>
        </w:rPr>
        <w:t>ʺ</w:t>
      </w:r>
      <w:r w:rsidRPr="00313AD8">
        <w:rPr>
          <w:b/>
          <w:i/>
        </w:rPr>
        <w:t>Емкость для остаточных продуктов</w:t>
      </w:r>
      <w:r w:rsidR="006D6CC1">
        <w:rPr>
          <w:b/>
        </w:rPr>
        <w:t>ʺ</w:t>
      </w:r>
      <w:r w:rsidRPr="005C12A6">
        <w:t xml:space="preserve"> означает </w:t>
      </w:r>
      <w:r w:rsidRPr="00D25A4E">
        <w:rPr>
          <w:strike/>
        </w:rPr>
        <w:t>цистерну</w:t>
      </w:r>
      <w:r w:rsidRPr="005C12A6">
        <w:t xml:space="preserve">, контейнер средней грузоподъемности для массовых грузов (КСГМГ) или контейнер-цистерну либо переносную цистерну, предназначенные для приема остаточного груза, мытьевой воды, остатков груза или отстоев, которые поддаются откачке; </w:t>
      </w:r>
      <w:r w:rsidRPr="005C12A6">
        <w:rPr>
          <w:u w:val="single"/>
        </w:rPr>
        <w:t>эти емкости должны быть утверждены согласно ДОПОГ, МПОГ или МКМПОГ и разрешены к использованию для соответствующих веществ. Максимальная допустимая вместимость контейнера средней грузоподъемности для массовых грузов составляет 3 м³, а контейнера-цистерны и переносной цистерны – 12 м</w:t>
      </w:r>
      <w:r w:rsidRPr="00D25A4E">
        <w:t>³</w:t>
      </w:r>
      <w:r w:rsidRPr="005C12A6">
        <w:t>».</w:t>
      </w:r>
    </w:p>
    <w:p w:rsidR="005C12A6" w:rsidRPr="005C12A6" w:rsidRDefault="005C12A6" w:rsidP="00D25A4E">
      <w:pPr>
        <w:pStyle w:val="Bullet1GR"/>
        <w:numPr>
          <w:ilvl w:val="0"/>
          <w:numId w:val="0"/>
        </w:numPr>
        <w:ind w:left="1531"/>
      </w:pPr>
      <w:r w:rsidRPr="005C12A6">
        <w:lastRenderedPageBreak/>
        <w:t>«</w:t>
      </w:r>
      <w:r w:rsidR="006D6CC1" w:rsidRPr="006D6CC1">
        <w:rPr>
          <w:b/>
        </w:rPr>
        <w:t>ʺ</w:t>
      </w:r>
      <w:r w:rsidRPr="00313AD8">
        <w:rPr>
          <w:b/>
          <w:i/>
        </w:rPr>
        <w:t>Сосуд для отстоев</w:t>
      </w:r>
      <w:r w:rsidR="006D6CC1" w:rsidRPr="006D6CC1">
        <w:rPr>
          <w:b/>
        </w:rPr>
        <w:t>ʺ</w:t>
      </w:r>
      <w:r w:rsidRPr="005C12A6">
        <w:t xml:space="preserve"> означает </w:t>
      </w:r>
      <w:r w:rsidRPr="00D25A4E">
        <w:rPr>
          <w:strike/>
        </w:rPr>
        <w:t>стальной барабан</w:t>
      </w:r>
      <w:r w:rsidRPr="00C5379D">
        <w:rPr>
          <w:strike/>
        </w:rPr>
        <w:t>,</w:t>
      </w:r>
      <w:r w:rsidRPr="005C12A6">
        <w:t xml:space="preserve"> </w:t>
      </w:r>
      <w:r w:rsidRPr="00D25A4E">
        <w:rPr>
          <w:u w:val="single"/>
        </w:rPr>
        <w:t>огнестойкую стальную емкость, которая должна закрываться крышками и</w:t>
      </w:r>
      <w:r w:rsidRPr="005C12A6">
        <w:t xml:space="preserve"> предназначена для приема отстоев, которые не поддаются откачке. </w:t>
      </w:r>
      <w:r w:rsidRPr="00D25A4E">
        <w:rPr>
          <w:u w:val="single"/>
        </w:rPr>
        <w:t>Эти сосуды должны быть утверждены согласно ДОПОГ, МПОГ или МКМПОГ и разрешены к использованию для соответствующих веществ. Максимальная допустимая вместимость составляет 450 л. Они должны легко поддаваться обработке и иметь</w:t>
      </w:r>
      <w:r w:rsidR="00C5379D">
        <w:rPr>
          <w:u w:val="single"/>
        </w:rPr>
        <w:t xml:space="preserve"> маркировку "SLOP" (высота букв</w:t>
      </w:r>
      <w:r w:rsidRPr="00D25A4E">
        <w:rPr>
          <w:u w:val="single"/>
        </w:rPr>
        <w:t xml:space="preserve"> 0,10 м</w:t>
      </w:r>
      <w:r w:rsidRPr="005C12A6">
        <w:t>)».</w:t>
      </w:r>
    </w:p>
    <w:p w:rsidR="005C12A6" w:rsidRPr="005C12A6" w:rsidRDefault="005C12A6" w:rsidP="005C12A6">
      <w:pPr>
        <w:pStyle w:val="SingleTxtGR"/>
      </w:pPr>
      <w:r w:rsidRPr="005C12A6">
        <w:t>3.</w:t>
      </w:r>
      <w:r w:rsidRPr="005C12A6">
        <w:tab/>
        <w:t>Германия хотела бы вновь представить предложенный ею вопрос толкования для его обсуждения на основе настоящего документа с учетом приведенных поправок.</w:t>
      </w:r>
    </w:p>
    <w:p w:rsidR="005C12A6" w:rsidRPr="005C12A6" w:rsidRDefault="005C12A6" w:rsidP="005C12A6">
      <w:pPr>
        <w:pStyle w:val="HChGR"/>
      </w:pPr>
      <w:r w:rsidRPr="005C12A6">
        <w:tab/>
        <w:t>II.</w:t>
      </w:r>
      <w:r w:rsidRPr="005C12A6">
        <w:tab/>
        <w:t>Вопрос толкования</w:t>
      </w:r>
    </w:p>
    <w:p w:rsidR="005C12A6" w:rsidRPr="005C12A6" w:rsidRDefault="005C12A6" w:rsidP="005C12A6">
      <w:pPr>
        <w:pStyle w:val="SingleTxtGR"/>
      </w:pPr>
      <w:r w:rsidRPr="005C12A6">
        <w:t>4.</w:t>
      </w:r>
      <w:r w:rsidRPr="005C12A6">
        <w:tab/>
        <w:t>Пункт 7.2.4.1.1 ВОПОГ допускает перевозку на борту танкеров конкретных упаковок, содержащих опасные грузы.</w:t>
      </w:r>
    </w:p>
    <w:p w:rsidR="005C12A6" w:rsidRPr="005C12A6" w:rsidRDefault="005C12A6" w:rsidP="005C12A6">
      <w:pPr>
        <w:pStyle w:val="SingleTxtGR"/>
      </w:pPr>
      <w:r w:rsidRPr="005C12A6">
        <w:t>5.</w:t>
      </w:r>
      <w:r w:rsidRPr="005C12A6">
        <w:tab/>
        <w:t>Кожухи этих упаковок должны быть, согласно определениям, утверждены в качестве тары в соответствии с ДОПОГ, МПОГ или МКМПОГ и разрешены к использованию для перевозимого в этих упаковках вещества.</w:t>
      </w:r>
    </w:p>
    <w:p w:rsidR="005C12A6" w:rsidRPr="005C12A6" w:rsidRDefault="005C12A6" w:rsidP="005C12A6">
      <w:pPr>
        <w:pStyle w:val="SingleTxtGR"/>
      </w:pPr>
      <w:r w:rsidRPr="005C12A6">
        <w:t>6.</w:t>
      </w:r>
      <w:r w:rsidRPr="005C12A6">
        <w:tab/>
        <w:t xml:space="preserve">Для правильного толкования этих требований необходимо ответить на следующий вопрос: должна ли </w:t>
      </w:r>
      <w:r w:rsidR="00D25A4E">
        <w:t>перевозка указанных упаковок – «</w:t>
      </w:r>
      <w:r w:rsidRPr="005C12A6">
        <w:t>ем</w:t>
      </w:r>
      <w:r w:rsidR="00D25A4E">
        <w:t>костей для остаточных продуктов» и «сосудов для отстоев»</w:t>
      </w:r>
      <w:r w:rsidRPr="005C12A6">
        <w:t xml:space="preserve"> – в остальном осуществляться в соответствии с требованиями, действующими в отношении перевозки упаковок на сухогрузных судах (например, в том</w:t>
      </w:r>
      <w:r w:rsidR="00F92DFC">
        <w:t>,</w:t>
      </w:r>
      <w:r w:rsidRPr="005C12A6">
        <w:t xml:space="preserve"> что касается транспортного документа, маркировки емкостей, контейнеров-цистерн и переносных цистерн).</w:t>
      </w:r>
    </w:p>
    <w:p w:rsidR="005C12A6" w:rsidRPr="005C12A6" w:rsidRDefault="005C12A6" w:rsidP="005C12A6">
      <w:pPr>
        <w:pStyle w:val="SingleTxtGR"/>
      </w:pPr>
      <w:r w:rsidRPr="005C12A6">
        <w:t>7.</w:t>
      </w:r>
      <w:r w:rsidRPr="005C12A6">
        <w:tab/>
        <w:t>В таком случае к перевозке в контейнерах средней грузоподъемности для массовых грузов (КСГМГ) можно было бы</w:t>
      </w:r>
      <w:r w:rsidR="00F92DFC">
        <w:t xml:space="preserve"> применять положения подраздела </w:t>
      </w:r>
      <w:r w:rsidRPr="005C12A6">
        <w:t>1.1.3.6 ВОПОГ с изъятиями, связанными с перевозимыми на борту количествами. В частности, пункты: 1.1.3.6.2 a), b), c), e) ВОПОГ.</w:t>
      </w:r>
    </w:p>
    <w:p w:rsidR="005C12A6" w:rsidRPr="005C12A6" w:rsidRDefault="005C12A6" w:rsidP="005C12A6">
      <w:pPr>
        <w:pStyle w:val="SingleTxtGR"/>
      </w:pPr>
      <w:r w:rsidRPr="005C12A6">
        <w:t>8.</w:t>
      </w:r>
      <w:r w:rsidRPr="005C12A6">
        <w:tab/>
        <w:t>Пункт 1.1.3.6.2 d) в таком случае не применялся бы в силу того, что у танкеров нет трюмов. Емкости для остаточных продуктов размещаются на палубе. Здесь следует указать «в пределах грузового пространства».</w:t>
      </w:r>
    </w:p>
    <w:p w:rsidR="005C12A6" w:rsidRPr="005C12A6" w:rsidRDefault="005C12A6" w:rsidP="005C12A6">
      <w:pPr>
        <w:pStyle w:val="SingleTxtGR"/>
      </w:pPr>
      <w:r w:rsidRPr="005C12A6">
        <w:t>9.</w:t>
      </w:r>
      <w:r w:rsidRPr="005C12A6">
        <w:tab/>
        <w:t xml:space="preserve">В подразделах 1.1.4.1 и 1.1.4.2 ВОПОГ содержатся ссылки на требования ДОПОГ, МПОГ и МКМПОГ в отношении упаковок, в частности касающиеся маркировки на упаковках в соответствии с </w:t>
      </w:r>
      <w:r w:rsidR="00F92DFC">
        <w:t>главой 5 ВОПОГ. (Примечание:</w:t>
      </w:r>
      <w:r w:rsidR="00F92DFC">
        <w:br/>
      </w:r>
      <w:r w:rsidRPr="005C12A6">
        <w:t>в подпунктах a) и b) пункта 1.1.4.1 подтверждается распространение их действия на определения емкостей для остаточных продуктов и сосудов для отстоев).</w:t>
      </w:r>
    </w:p>
    <w:p w:rsidR="005C12A6" w:rsidRPr="005C12A6" w:rsidRDefault="005C12A6" w:rsidP="005C12A6">
      <w:pPr>
        <w:pStyle w:val="SingleTxtGR"/>
      </w:pPr>
      <w:r w:rsidRPr="005C12A6">
        <w:t>10.</w:t>
      </w:r>
      <w:r w:rsidRPr="005C12A6">
        <w:tab/>
        <w:t>В разделе 1.2.</w:t>
      </w:r>
      <w:r w:rsidR="00F92DFC">
        <w:t>1 ВОПОГ содержится определение «упаковки»</w:t>
      </w:r>
      <w:r w:rsidRPr="005C12A6">
        <w:t>.</w:t>
      </w:r>
    </w:p>
    <w:p w:rsidR="005C12A6" w:rsidRPr="005C12A6" w:rsidRDefault="005C12A6" w:rsidP="005C12A6">
      <w:pPr>
        <w:pStyle w:val="SingleTxtGR"/>
      </w:pPr>
      <w:r w:rsidRPr="005C12A6">
        <w:t>11.</w:t>
      </w:r>
      <w:r w:rsidRPr="005C12A6">
        <w:tab/>
        <w:t>Разделом 1.4.3 ВОПОГ устанавливается ряд обязательств участников перевозки упаковок.</w:t>
      </w:r>
    </w:p>
    <w:p w:rsidR="005C12A6" w:rsidRPr="005C12A6" w:rsidRDefault="005C12A6" w:rsidP="005C12A6">
      <w:pPr>
        <w:pStyle w:val="SingleTxtGR"/>
      </w:pPr>
      <w:r w:rsidRPr="005C12A6">
        <w:t>12.</w:t>
      </w:r>
      <w:r w:rsidRPr="005C12A6">
        <w:tab/>
        <w:t>В разделе 5.4.1 ВОПОГ содержатся  требования к транспортным документам на упаковки.</w:t>
      </w:r>
    </w:p>
    <w:p w:rsidR="005C12A6" w:rsidRPr="005C12A6" w:rsidRDefault="005C12A6" w:rsidP="005C12A6">
      <w:pPr>
        <w:pStyle w:val="HChGR"/>
      </w:pPr>
      <w:r w:rsidRPr="005C12A6">
        <w:lastRenderedPageBreak/>
        <w:tab/>
        <w:t>III.</w:t>
      </w:r>
      <w:r w:rsidRPr="005C12A6">
        <w:tab/>
        <w:t>Позиция Германии</w:t>
      </w:r>
    </w:p>
    <w:p w:rsidR="005C12A6" w:rsidRPr="005C12A6" w:rsidRDefault="005C12A6" w:rsidP="005C12A6">
      <w:pPr>
        <w:pStyle w:val="SingleTxtGR"/>
      </w:pPr>
      <w:r w:rsidRPr="005C12A6">
        <w:t>13.</w:t>
      </w:r>
      <w:r w:rsidRPr="005C12A6">
        <w:tab/>
        <w:t>Емкости для остаточных продуктов.</w:t>
      </w:r>
      <w:r w:rsidRPr="005C12A6">
        <w:tab/>
        <w:t>Указание на рассматриваемые емкости для остаточных продуктов и сосуды для отстоев будет следовать за такой вступительной частью:</w:t>
      </w:r>
    </w:p>
    <w:p w:rsidR="005C12A6" w:rsidRPr="005C12A6" w:rsidRDefault="005C12A6" w:rsidP="00F92DFC">
      <w:pPr>
        <w:pStyle w:val="SingleTxtGR"/>
        <w:ind w:left="1701"/>
      </w:pPr>
      <w:r w:rsidRPr="005C12A6">
        <w:t>«</w:t>
      </w:r>
      <w:r w:rsidRPr="005C12A6">
        <w:rPr>
          <w:b/>
        </w:rPr>
        <w:t>7.2.4.1.1</w:t>
      </w:r>
      <w:r w:rsidRPr="005C12A6">
        <w:tab/>
        <w:t>Перевозка упаковок в пределах грузового пространства запрещается. Этот запрет не распространяется на:»</w:t>
      </w:r>
    </w:p>
    <w:p w:rsidR="005C12A6" w:rsidRPr="005C12A6" w:rsidRDefault="005C12A6" w:rsidP="005C12A6">
      <w:pPr>
        <w:pStyle w:val="SingleTxtGR"/>
      </w:pPr>
      <w:r w:rsidRPr="005C12A6">
        <w:t>Что касается упаковок, то их определение при</w:t>
      </w:r>
      <w:r w:rsidR="00C5379D">
        <w:t>водится в разделе 1.2.1 ВОПОГ.</w:t>
      </w:r>
      <w:r w:rsidRPr="005C12A6">
        <w:t xml:space="preserve"> Что касается перевозки упаковок, то в этом случае есть соответствующие положения, аналогичные тем, что действуют в отношении перевозки в цистернах.</w:t>
      </w:r>
    </w:p>
    <w:p w:rsidR="005C12A6" w:rsidRPr="005C12A6" w:rsidRDefault="005C12A6" w:rsidP="005C12A6">
      <w:pPr>
        <w:pStyle w:val="SingleTxtGR"/>
      </w:pPr>
      <w:r w:rsidRPr="005C12A6">
        <w:t>Не существует никаких явных причин, по которым опасные грузы, помещенные в емкости для остаточных продуктов и сосуды для отстоев, следует изъять из сферы действия главы 1.3 ВОПОГ.</w:t>
      </w:r>
    </w:p>
    <w:p w:rsidR="005C12A6" w:rsidRPr="005C12A6" w:rsidRDefault="005C12A6" w:rsidP="005C12A6">
      <w:pPr>
        <w:pStyle w:val="SingleTxtGR"/>
      </w:pPr>
      <w:r w:rsidRPr="005C12A6">
        <w:t>14.</w:t>
      </w:r>
      <w:r w:rsidRPr="005C12A6">
        <w:tab/>
        <w:t>Перевозку КСГМГ в качестве емкостей для остаточных продуктов и сосудов для отстоев можно в значительной мере изъять из сферы действия остальных положений ВОПОГ, по крайней мере подраздела 1.1.3.6 ВОПОГ. Требование, касающееся утверждения емкостей, продолжает действовать во всех случаях.</w:t>
      </w:r>
    </w:p>
    <w:p w:rsidR="005C12A6" w:rsidRPr="005C12A6" w:rsidRDefault="005C12A6" w:rsidP="005C12A6">
      <w:pPr>
        <w:pStyle w:val="SingleTxtGR"/>
      </w:pPr>
      <w:r w:rsidRPr="005C12A6">
        <w:t>Что касается контейнеров-цистерн, содержащих большой объем опасного груза (до 12 м³), то по соображениям безопасности имеет смысл распространить остальные положения, регламентирующие перевозку контейнеров-цистерн или переносных цистерн, на емкости для остат</w:t>
      </w:r>
      <w:r w:rsidR="00F92DFC">
        <w:t>очных продуктов в рамках пункта </w:t>
      </w:r>
      <w:r w:rsidRPr="005C12A6">
        <w:t>7.2.4.1.1 ВОПОГ.</w:t>
      </w:r>
    </w:p>
    <w:p w:rsidR="005C12A6" w:rsidRPr="005C12A6" w:rsidRDefault="005C12A6" w:rsidP="005C12A6">
      <w:pPr>
        <w:pStyle w:val="SingleTxtGR"/>
      </w:pPr>
      <w:r w:rsidRPr="005C12A6">
        <w:t>15.</w:t>
      </w:r>
      <w:r w:rsidRPr="005C12A6">
        <w:tab/>
        <w:t>Что касается перевозки остатков другого груза в емкости для остаточных продуктов и для перевозки отстоев, то в этом случае можно было бы обратиться к неофициальной рабочей группе по веществам с просьбой предложить номера ООН или номера веществ, которые можно было бы использовать более оптимальным образом.</w:t>
      </w:r>
    </w:p>
    <w:p w:rsidR="00A658DB" w:rsidRDefault="005C12A6" w:rsidP="005C12A6">
      <w:pPr>
        <w:pStyle w:val="SingleTxtGR"/>
      </w:pPr>
      <w:r w:rsidRPr="005C12A6">
        <w:t>16.</w:t>
      </w:r>
      <w:r w:rsidRPr="005C12A6">
        <w:tab/>
        <w:t>Комитет по вопросам безопасности мог бы предусмотреть обязательную увязку этого вопроса с рассмотрением требований, которые должны соблюдаться при перевозке остатков груза в цис</w:t>
      </w:r>
      <w:r w:rsidR="00F92DFC">
        <w:t>тернах для остаточных продуктов</w:t>
      </w:r>
      <w:r w:rsidR="00F92DFC">
        <w:br/>
      </w:r>
      <w:r w:rsidRPr="005C12A6">
        <w:t>(см. раз</w:t>
      </w:r>
      <w:r w:rsidR="00F92DFC">
        <w:t>дел 1.2.1, определение «</w:t>
      </w:r>
      <w:r w:rsidRPr="005C12A6">
        <w:t>цистерны для остаточны</w:t>
      </w:r>
      <w:r w:rsidR="00F92DFC">
        <w:t>х продуктов»</w:t>
      </w:r>
      <w:r w:rsidR="00C5379D">
        <w:t>, пункты</w:t>
      </w:r>
      <w:r w:rsidR="00C5379D">
        <w:rPr>
          <w:lang w:val="en-US"/>
        </w:rPr>
        <w:t> </w:t>
      </w:r>
      <w:r w:rsidR="00C5379D">
        <w:t xml:space="preserve">7.2.1.21.1, 7.2.2.0.1, </w:t>
      </w:r>
      <w:r w:rsidRPr="005C12A6">
        <w:t>7.2.4.14, 7.2.4.15.1, 9.3.x.26.1 и 5.4.1 ВОПОГ)</w:t>
      </w:r>
      <w:r w:rsidR="00F92DFC">
        <w:t>.</w:t>
      </w:r>
    </w:p>
    <w:p w:rsidR="005C12A6" w:rsidRPr="005C12A6" w:rsidRDefault="005C12A6" w:rsidP="005C12A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C12A6" w:rsidRPr="005C12A6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793" w:rsidRDefault="008D0793" w:rsidP="00B471C5">
      <w:r>
        <w:separator/>
      </w:r>
    </w:p>
  </w:endnote>
  <w:endnote w:type="continuationSeparator" w:id="0">
    <w:p w:rsidR="008D0793" w:rsidRDefault="008D079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541FF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34331C">
      <w:rPr>
        <w:lang w:val="en-US"/>
      </w:rPr>
      <w:t>19626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34331C">
      <w:rPr>
        <w:lang w:val="en-US"/>
      </w:rPr>
      <w:t>19626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541FF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34331C">
            <w:rPr>
              <w:lang w:val="en-US"/>
            </w:rPr>
            <w:t xml:space="preserve">19626 </w:t>
          </w:r>
          <w:r w:rsidRPr="001C3ABC">
            <w:rPr>
              <w:lang w:val="en-US"/>
            </w:rPr>
            <w:t xml:space="preserve"> (R)</w:t>
          </w:r>
          <w:r w:rsidR="0034331C">
            <w:rPr>
              <w:lang w:val="en-US"/>
            </w:rPr>
            <w:t xml:space="preserve">  241116  251116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34331C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WP.15/AC.2/2017/1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7/1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34331C" w:rsidRDefault="0034331C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3433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3433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433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433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3433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3433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433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3433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34331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793" w:rsidRPr="009141DC" w:rsidRDefault="008D079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8D0793" w:rsidRPr="00D1261C" w:rsidRDefault="008D079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21757" w:rsidRPr="00C61FA2" w:rsidRDefault="00221757" w:rsidP="00221757">
      <w:pPr>
        <w:pStyle w:val="FootnoteText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Распространено на немецком языке Центральной комиссией судоходства по Рейну</w:t>
      </w:r>
      <w:r w:rsidRPr="00221757">
        <w:rPr>
          <w:lang w:val="ru-RU"/>
        </w:rPr>
        <w:br/>
      </w:r>
      <w:r>
        <w:rPr>
          <w:lang w:val="ru-RU"/>
        </w:rPr>
        <w:t>в качестве документа CCNR/ZKR/ADN/WP.15/AC.2/2017/13.</w:t>
      </w:r>
    </w:p>
  </w:footnote>
  <w:footnote w:id="2">
    <w:p w:rsidR="00221757" w:rsidRPr="00C61FA2" w:rsidRDefault="00221757" w:rsidP="00221757">
      <w:pPr>
        <w:pStyle w:val="FootnoteText"/>
        <w:rPr>
          <w:lang w:val="ru-RU"/>
        </w:rPr>
      </w:pPr>
      <w:r>
        <w:rPr>
          <w:lang w:val="ru-RU"/>
        </w:rPr>
        <w:tab/>
        <w:t>**</w:t>
      </w:r>
      <w:r>
        <w:rPr>
          <w:lang w:val="ru-RU"/>
        </w:rPr>
        <w:tab/>
        <w:t>В соответствии с программой работы Комитета по внутреннему транспорту</w:t>
      </w:r>
      <w:r w:rsidRPr="00221757">
        <w:rPr>
          <w:lang w:val="ru-RU"/>
        </w:rPr>
        <w:br/>
      </w:r>
      <w:r w:rsidR="00D25A4E">
        <w:rPr>
          <w:lang w:val="ru-RU"/>
        </w:rPr>
        <w:t xml:space="preserve">на 2016–2017 годы </w:t>
      </w:r>
      <w:r w:rsidR="00313AD8">
        <w:rPr>
          <w:lang w:val="ru-RU"/>
        </w:rPr>
        <w:t>(ECE/TRANS/2016/28/Add.1 (9.3</w:t>
      </w:r>
      <w:r>
        <w:rPr>
          <w:lang w:val="ru-RU"/>
        </w:rPr>
        <w:t>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34331C" w:rsidRDefault="0034331C" w:rsidP="0034331C">
    <w:pPr>
      <w:pStyle w:val="Header"/>
    </w:pPr>
    <w:r w:rsidRPr="0034331C">
      <w:rPr>
        <w:lang w:val="en-US"/>
      </w:rPr>
      <w:t>ECE/TRANS/WP.15/AC.2/2017/13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34331C" w:rsidRDefault="0034331C" w:rsidP="0034331C">
    <w:pPr>
      <w:pStyle w:val="Header"/>
      <w:jc w:val="right"/>
    </w:pPr>
    <w:r w:rsidRPr="0034331C">
      <w:rPr>
        <w:lang w:val="en-US"/>
      </w:rPr>
      <w:t>ECE/TRANS/WP.15/AC.2/2017/13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93"/>
    <w:rsid w:val="000450D1"/>
    <w:rsid w:val="000B1FD5"/>
    <w:rsid w:val="000F2A4F"/>
    <w:rsid w:val="00203F84"/>
    <w:rsid w:val="00217A06"/>
    <w:rsid w:val="00221757"/>
    <w:rsid w:val="00275188"/>
    <w:rsid w:val="0028687D"/>
    <w:rsid w:val="002B091C"/>
    <w:rsid w:val="002B3D40"/>
    <w:rsid w:val="002D0CCB"/>
    <w:rsid w:val="00313AD8"/>
    <w:rsid w:val="0034331C"/>
    <w:rsid w:val="00345C79"/>
    <w:rsid w:val="00366A39"/>
    <w:rsid w:val="0048005C"/>
    <w:rsid w:val="004D639B"/>
    <w:rsid w:val="004E242B"/>
    <w:rsid w:val="00544379"/>
    <w:rsid w:val="00566944"/>
    <w:rsid w:val="005C12A6"/>
    <w:rsid w:val="005D56BF"/>
    <w:rsid w:val="0062027E"/>
    <w:rsid w:val="00643644"/>
    <w:rsid w:val="00665D8D"/>
    <w:rsid w:val="006A7A3B"/>
    <w:rsid w:val="006B6B57"/>
    <w:rsid w:val="006D6CC1"/>
    <w:rsid w:val="006F49F1"/>
    <w:rsid w:val="006F5B83"/>
    <w:rsid w:val="007005EE"/>
    <w:rsid w:val="00705394"/>
    <w:rsid w:val="00743F62"/>
    <w:rsid w:val="00760D3A"/>
    <w:rsid w:val="00773BA8"/>
    <w:rsid w:val="007762AB"/>
    <w:rsid w:val="007A1F42"/>
    <w:rsid w:val="007D76DD"/>
    <w:rsid w:val="008717E8"/>
    <w:rsid w:val="008D01AE"/>
    <w:rsid w:val="008D0793"/>
    <w:rsid w:val="008E0423"/>
    <w:rsid w:val="009141DC"/>
    <w:rsid w:val="00916514"/>
    <w:rsid w:val="009174A1"/>
    <w:rsid w:val="0096763D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5379D"/>
    <w:rsid w:val="00D1261C"/>
    <w:rsid w:val="00D25A4E"/>
    <w:rsid w:val="00D26030"/>
    <w:rsid w:val="00D75DCE"/>
    <w:rsid w:val="00DD35AC"/>
    <w:rsid w:val="00DD479F"/>
    <w:rsid w:val="00E15E48"/>
    <w:rsid w:val="00E34CF8"/>
    <w:rsid w:val="00E72D95"/>
    <w:rsid w:val="00EB0723"/>
    <w:rsid w:val="00EB2957"/>
    <w:rsid w:val="00EE6F37"/>
    <w:rsid w:val="00EF6BEE"/>
    <w:rsid w:val="00F1599F"/>
    <w:rsid w:val="00F17E1F"/>
    <w:rsid w:val="00F31EF2"/>
    <w:rsid w:val="00F541FF"/>
    <w:rsid w:val="00F9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D946D4CE-EB84-4596-8764-AFD4BF1A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uiPriority w:val="59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793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F294-5C00-4D32-BB8E-3FCDBFFC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Lucille</cp:lastModifiedBy>
  <cp:revision>2</cp:revision>
  <cp:lastPrinted>2016-11-25T14:36:00Z</cp:lastPrinted>
  <dcterms:created xsi:type="dcterms:W3CDTF">2016-11-29T16:46:00Z</dcterms:created>
  <dcterms:modified xsi:type="dcterms:W3CDTF">2016-11-29T16:46:00Z</dcterms:modified>
</cp:coreProperties>
</file>