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969E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969EB" w:rsidP="004969EB">
            <w:pPr>
              <w:jc w:val="right"/>
            </w:pPr>
            <w:r w:rsidRPr="004969EB">
              <w:rPr>
                <w:sz w:val="40"/>
              </w:rPr>
              <w:t>ECE</w:t>
            </w:r>
            <w:r>
              <w:t>/TRANS/WP.15/AC.2/2017/9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969EB" w:rsidP="00892A2F">
            <w:pPr>
              <w:spacing w:before="240"/>
            </w:pPr>
            <w:r>
              <w:t>Distr. générale</w:t>
            </w:r>
          </w:p>
          <w:p w:rsidR="004969EB" w:rsidRDefault="004969EB" w:rsidP="004969EB">
            <w:pPr>
              <w:spacing w:line="240" w:lineRule="exact"/>
            </w:pPr>
            <w:r>
              <w:t>11 novembre 2016</w:t>
            </w:r>
          </w:p>
          <w:p w:rsidR="004969EB" w:rsidRDefault="004969EB" w:rsidP="004969EB">
            <w:pPr>
              <w:spacing w:line="240" w:lineRule="exact"/>
            </w:pPr>
            <w:r>
              <w:t>Français</w:t>
            </w:r>
          </w:p>
          <w:p w:rsidR="004969EB" w:rsidRPr="00DB58B5" w:rsidRDefault="004969EB" w:rsidP="004969E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969EB" w:rsidRPr="009E01B8" w:rsidRDefault="004969EB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4969EB" w:rsidRPr="004812F5" w:rsidRDefault="004969EB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:rsidR="004969EB" w:rsidRPr="00234E40" w:rsidRDefault="004969EB" w:rsidP="00AF0CB5">
      <w:pPr>
        <w:spacing w:before="120"/>
        <w:rPr>
          <w:b/>
        </w:rPr>
      </w:pPr>
      <w:r>
        <w:rPr>
          <w:b/>
        </w:rPr>
        <w:t xml:space="preserve">Trentième </w:t>
      </w:r>
      <w:r w:rsidRPr="00234E40">
        <w:rPr>
          <w:b/>
        </w:rPr>
        <w:t>session</w:t>
      </w:r>
    </w:p>
    <w:p w:rsidR="00E82E04" w:rsidRPr="00E82E04" w:rsidRDefault="00E82E04" w:rsidP="00E82E04">
      <w:r w:rsidRPr="00E82E04">
        <w:t>Genève, 23-27 janvier 2017</w:t>
      </w:r>
    </w:p>
    <w:p w:rsidR="00E82E04" w:rsidRPr="00E82E04" w:rsidRDefault="00E82E04" w:rsidP="00E82E04">
      <w:r>
        <w:t>Point </w:t>
      </w:r>
      <w:r w:rsidRPr="00E82E04">
        <w:t>5 a) de l’ordre du jour provisoire</w:t>
      </w:r>
    </w:p>
    <w:p w:rsidR="00E82E04" w:rsidRPr="00E82E04" w:rsidRDefault="00E82E04" w:rsidP="00E82E04">
      <w:pPr>
        <w:rPr>
          <w:b/>
        </w:rPr>
      </w:pPr>
      <w:r w:rsidRPr="00E82E04">
        <w:rPr>
          <w:b/>
        </w:rPr>
        <w:t>Propositions d’a</w:t>
      </w:r>
      <w:r>
        <w:rPr>
          <w:b/>
        </w:rPr>
        <w:t>mendements aux Règlements annexé</w:t>
      </w:r>
      <w:r w:rsidRPr="00E82E04">
        <w:rPr>
          <w:b/>
        </w:rPr>
        <w:t>s à l’ADN :</w:t>
      </w:r>
    </w:p>
    <w:p w:rsidR="004969EB" w:rsidRDefault="00E82E04" w:rsidP="00E82E04">
      <w:r w:rsidRPr="00E82E04">
        <w:rPr>
          <w:b/>
        </w:rPr>
        <w:t>travaux de la Réunion commune RID/ADR/ADN</w:t>
      </w:r>
    </w:p>
    <w:p w:rsidR="00E82E04" w:rsidRPr="00E82E04" w:rsidRDefault="00E82E04" w:rsidP="00E82E04">
      <w:pPr>
        <w:pStyle w:val="HChG"/>
      </w:pPr>
      <w:r>
        <w:tab/>
      </w:r>
      <w:r>
        <w:tab/>
        <w:t>Disposition spéciale </w:t>
      </w:r>
      <w:r w:rsidRPr="00E82E04">
        <w:t xml:space="preserve">665 </w:t>
      </w:r>
      <w:r>
        <w:t>–</w:t>
      </w:r>
      <w:r w:rsidR="00DB7276">
        <w:t xml:space="preserve"> T</w:t>
      </w:r>
      <w:r w:rsidRPr="00E82E04">
        <w:t>ransport de charbon</w:t>
      </w:r>
    </w:p>
    <w:p w:rsidR="00E82E04" w:rsidRPr="00E82E04" w:rsidRDefault="00E82E04" w:rsidP="00E82E04">
      <w:pPr>
        <w:pStyle w:val="H1G"/>
      </w:pPr>
      <w:r w:rsidRPr="00E82E04">
        <w:tab/>
      </w:r>
      <w:r w:rsidRPr="00E82E04">
        <w:tab/>
        <w:t>Note du secrétariat</w:t>
      </w:r>
      <w:r w:rsidRPr="007F1609">
        <w:rPr>
          <w:rStyle w:val="FootnoteReference"/>
          <w:b w:val="0"/>
          <w:vertAlign w:val="baseline"/>
        </w:rPr>
        <w:footnoteReference w:customMarkFollows="1" w:id="2"/>
        <w:t>*</w:t>
      </w:r>
      <w:r w:rsidRPr="007F1609">
        <w:rPr>
          <w:b w:val="0"/>
          <w:position w:val="6"/>
          <w:sz w:val="20"/>
        </w:rPr>
        <w:t>,</w:t>
      </w:r>
      <w:r w:rsidRPr="00E82E04">
        <w:rPr>
          <w:vertAlign w:val="superscript"/>
        </w:rPr>
        <w:t xml:space="preserve"> </w:t>
      </w:r>
      <w:r w:rsidRPr="007F1609">
        <w:rPr>
          <w:rStyle w:val="FootnoteReference"/>
          <w:b w:val="0"/>
          <w:vertAlign w:val="baseline"/>
        </w:rPr>
        <w:footnoteReference w:customMarkFollows="1" w:id="3"/>
        <w:t>**</w:t>
      </w:r>
    </w:p>
    <w:p w:rsidR="00E82E04" w:rsidRPr="00E82E04" w:rsidRDefault="00E82E04" w:rsidP="00E82E04">
      <w:pPr>
        <w:pStyle w:val="SingleTxtG"/>
      </w:pPr>
      <w:r w:rsidRPr="00E82E04">
        <w:t>1.</w:t>
      </w:r>
      <w:r w:rsidRPr="00E82E04">
        <w:tab/>
        <w:t>Dans  l’ADN 2015, la dispos</w:t>
      </w:r>
      <w:r>
        <w:t>ition spéciale </w:t>
      </w:r>
      <w:r w:rsidRPr="00E82E04">
        <w:t>803 s’applique au transport du numéro ONU 1361 (CHARBON d’origine animale ou végétale) et se lit comme suit :</w:t>
      </w:r>
    </w:p>
    <w:p w:rsidR="00E82E04" w:rsidRPr="00E82E04" w:rsidRDefault="00E82E04" w:rsidP="00E82E04">
      <w:pPr>
        <w:pStyle w:val="SingleTxtG"/>
        <w:ind w:left="2268" w:hanging="567"/>
      </w:pPr>
      <w:r w:rsidRPr="00E82E04">
        <w:t>« 803</w:t>
      </w:r>
      <w:r w:rsidRPr="00E82E04">
        <w:tab/>
        <w:t>La houille, le coke et l’anthracite, lorsqu’ils sont transportés en vrac, ne sont pas soumis aux dispositions de l’ADN si :</w:t>
      </w:r>
    </w:p>
    <w:p w:rsidR="00E82E04" w:rsidRPr="00E82E04" w:rsidRDefault="00E82E04" w:rsidP="00E82E04">
      <w:pPr>
        <w:pStyle w:val="SingleTxtG"/>
        <w:ind w:left="2835" w:hanging="567"/>
      </w:pPr>
      <w:r w:rsidRPr="00E82E04">
        <w:t>a)</w:t>
      </w:r>
      <w:r w:rsidRPr="00E82E04">
        <w:tab/>
        <w:t>La température de la cargaison, déterminée selon une procédure appropriée, n’est pas supérieure à 60 °C, avant, pendant ou just</w:t>
      </w:r>
      <w:r w:rsidR="00436C66">
        <w:t>e après le chargement de la cal</w:t>
      </w:r>
      <w:r w:rsidRPr="00E82E04">
        <w:t>e ;</w:t>
      </w:r>
    </w:p>
    <w:p w:rsidR="00E82E04" w:rsidRPr="00E82E04" w:rsidRDefault="00E82E04" w:rsidP="00E82E04">
      <w:pPr>
        <w:pStyle w:val="SingleTxtG"/>
        <w:ind w:left="2835" w:hanging="567"/>
      </w:pPr>
      <w:r w:rsidRPr="00E82E04">
        <w:t>b)</w:t>
      </w:r>
      <w:r w:rsidRPr="00E82E04">
        <w:tab/>
        <w:t>En fonction de la température de la cargaison avant, pendant et juste après le chargeme</w:t>
      </w:r>
      <w:r w:rsidR="00436C66">
        <w:t>nt de la cal</w:t>
      </w:r>
      <w:r w:rsidRPr="00E82E04">
        <w:t>e, la durée estimée du transport sans surveillance de la température ne dépasse pas le nombre maximum de jours indiqués dans le tableau ci-après :</w:t>
      </w:r>
    </w:p>
    <w:tbl>
      <w:tblPr>
        <w:tblStyle w:val="TableGrid"/>
        <w:tblW w:w="6237" w:type="dxa"/>
        <w:tblInd w:w="1701" w:type="dxa"/>
        <w:tblLook w:val="04A0" w:firstRow="1" w:lastRow="0" w:firstColumn="1" w:lastColumn="0" w:noHBand="0" w:noVBand="1"/>
      </w:tblPr>
      <w:tblGrid>
        <w:gridCol w:w="3246"/>
        <w:gridCol w:w="2991"/>
      </w:tblGrid>
      <w:tr w:rsidR="00E82E04" w:rsidRPr="00E82E04" w:rsidTr="00E82E04">
        <w:tc>
          <w:tcPr>
            <w:tcW w:w="3312" w:type="dxa"/>
          </w:tcPr>
          <w:p w:rsidR="00E82E04" w:rsidRPr="00E82E04" w:rsidRDefault="00E82E04" w:rsidP="00E82E04">
            <w:pPr>
              <w:pStyle w:val="SingleTxtG"/>
              <w:keepNext/>
              <w:keepLines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E82E04">
              <w:rPr>
                <w:i/>
                <w:sz w:val="16"/>
                <w:szCs w:val="16"/>
              </w:rPr>
              <w:lastRenderedPageBreak/>
              <w:t xml:space="preserve">Température maximum </w:t>
            </w:r>
            <w:r>
              <w:rPr>
                <w:i/>
                <w:sz w:val="16"/>
                <w:szCs w:val="16"/>
              </w:rPr>
              <w:br/>
            </w:r>
            <w:r w:rsidRPr="00E82E04">
              <w:rPr>
                <w:i/>
                <w:sz w:val="16"/>
                <w:szCs w:val="16"/>
              </w:rPr>
              <w:t>au moment du chargement (° C)</w:t>
            </w:r>
          </w:p>
        </w:tc>
        <w:tc>
          <w:tcPr>
            <w:tcW w:w="3056" w:type="dxa"/>
          </w:tcPr>
          <w:p w:rsidR="00E82E04" w:rsidRPr="00E82E04" w:rsidRDefault="00E82E04" w:rsidP="00E82E04">
            <w:pPr>
              <w:pStyle w:val="SingleTxtG"/>
              <w:keepNext/>
              <w:keepLines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E82E04">
              <w:rPr>
                <w:i/>
                <w:sz w:val="16"/>
                <w:szCs w:val="16"/>
              </w:rPr>
              <w:t xml:space="preserve">Durée maximum </w:t>
            </w:r>
            <w:r>
              <w:rPr>
                <w:i/>
                <w:sz w:val="16"/>
                <w:szCs w:val="16"/>
              </w:rPr>
              <w:br/>
            </w:r>
            <w:r w:rsidRPr="00E82E04">
              <w:rPr>
                <w:i/>
                <w:sz w:val="16"/>
                <w:szCs w:val="16"/>
              </w:rPr>
              <w:t>du voyage (en jours)</w:t>
            </w:r>
          </w:p>
        </w:tc>
      </w:tr>
      <w:tr w:rsidR="00E82E04" w:rsidRPr="00E82E04" w:rsidTr="00E82E04">
        <w:tc>
          <w:tcPr>
            <w:tcW w:w="3312" w:type="dxa"/>
          </w:tcPr>
          <w:p w:rsidR="00E82E04" w:rsidRPr="00E82E04" w:rsidRDefault="00E82E04" w:rsidP="00E82E04">
            <w:pPr>
              <w:pStyle w:val="SingleTxtG"/>
              <w:keepNext/>
              <w:keepLines/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E82E04">
              <w:rPr>
                <w:sz w:val="18"/>
                <w:szCs w:val="18"/>
              </w:rPr>
              <w:t>60</w:t>
            </w:r>
          </w:p>
        </w:tc>
        <w:tc>
          <w:tcPr>
            <w:tcW w:w="3056" w:type="dxa"/>
          </w:tcPr>
          <w:p w:rsidR="00E82E04" w:rsidRPr="00E82E04" w:rsidRDefault="00E82E04" w:rsidP="00E82E04">
            <w:pPr>
              <w:pStyle w:val="SingleTxtG"/>
              <w:keepNext/>
              <w:keepLines/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E82E04">
              <w:rPr>
                <w:sz w:val="18"/>
                <w:szCs w:val="18"/>
              </w:rPr>
              <w:t>10</w:t>
            </w:r>
          </w:p>
        </w:tc>
      </w:tr>
      <w:tr w:rsidR="00E82E04" w:rsidRPr="00E82E04" w:rsidTr="00E82E04">
        <w:tc>
          <w:tcPr>
            <w:tcW w:w="3312" w:type="dxa"/>
          </w:tcPr>
          <w:p w:rsidR="00E82E04" w:rsidRPr="00E82E04" w:rsidRDefault="00E82E04" w:rsidP="00E82E04">
            <w:pPr>
              <w:pStyle w:val="SingleTxtG"/>
              <w:keepNext/>
              <w:keepLines/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E82E04">
              <w:rPr>
                <w:sz w:val="18"/>
                <w:szCs w:val="18"/>
              </w:rPr>
              <w:t>50</w:t>
            </w:r>
          </w:p>
        </w:tc>
        <w:tc>
          <w:tcPr>
            <w:tcW w:w="3056" w:type="dxa"/>
          </w:tcPr>
          <w:p w:rsidR="00E82E04" w:rsidRPr="00E82E04" w:rsidRDefault="00E82E04" w:rsidP="00E82E04">
            <w:pPr>
              <w:pStyle w:val="SingleTxtG"/>
              <w:keepNext/>
              <w:keepLines/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E82E04">
              <w:rPr>
                <w:sz w:val="18"/>
                <w:szCs w:val="18"/>
              </w:rPr>
              <w:t>18</w:t>
            </w:r>
          </w:p>
        </w:tc>
      </w:tr>
      <w:tr w:rsidR="00E82E04" w:rsidRPr="00E82E04" w:rsidTr="00E82E04">
        <w:tc>
          <w:tcPr>
            <w:tcW w:w="3312" w:type="dxa"/>
          </w:tcPr>
          <w:p w:rsidR="00E82E04" w:rsidRPr="00E82E04" w:rsidRDefault="00E82E04" w:rsidP="00E82E04">
            <w:pPr>
              <w:pStyle w:val="SingleTxtG"/>
              <w:keepNext/>
              <w:keepLines/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E82E04">
              <w:rPr>
                <w:sz w:val="18"/>
                <w:szCs w:val="18"/>
              </w:rPr>
              <w:t>40</w:t>
            </w:r>
          </w:p>
        </w:tc>
        <w:tc>
          <w:tcPr>
            <w:tcW w:w="3056" w:type="dxa"/>
          </w:tcPr>
          <w:p w:rsidR="00E82E04" w:rsidRPr="00E82E04" w:rsidRDefault="00E82E04" w:rsidP="00E82E04">
            <w:pPr>
              <w:pStyle w:val="SingleTxtG"/>
              <w:keepNext/>
              <w:keepLines/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E82E04">
              <w:rPr>
                <w:sz w:val="18"/>
                <w:szCs w:val="18"/>
              </w:rPr>
              <w:t>32</w:t>
            </w:r>
          </w:p>
        </w:tc>
      </w:tr>
      <w:tr w:rsidR="00E82E04" w:rsidRPr="00E82E04" w:rsidTr="00E82E04">
        <w:tc>
          <w:tcPr>
            <w:tcW w:w="3312" w:type="dxa"/>
          </w:tcPr>
          <w:p w:rsidR="00E82E04" w:rsidRPr="00E82E04" w:rsidRDefault="00E82E04" w:rsidP="00E82E04">
            <w:pPr>
              <w:pStyle w:val="SingleTxtG"/>
              <w:keepNext/>
              <w:keepLines/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E82E04">
              <w:rPr>
                <w:sz w:val="18"/>
                <w:szCs w:val="18"/>
              </w:rPr>
              <w:t>30</w:t>
            </w:r>
          </w:p>
        </w:tc>
        <w:tc>
          <w:tcPr>
            <w:tcW w:w="3056" w:type="dxa"/>
          </w:tcPr>
          <w:p w:rsidR="00E82E04" w:rsidRPr="00E82E04" w:rsidRDefault="00E82E04" w:rsidP="00E82E04">
            <w:pPr>
              <w:pStyle w:val="SingleTxtG"/>
              <w:keepNext/>
              <w:keepLines/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E82E04">
              <w:rPr>
                <w:sz w:val="18"/>
                <w:szCs w:val="18"/>
              </w:rPr>
              <w:t>57</w:t>
            </w:r>
          </w:p>
        </w:tc>
      </w:tr>
    </w:tbl>
    <w:p w:rsidR="00E82E04" w:rsidRPr="00E82E04" w:rsidRDefault="00E82E04" w:rsidP="00E82E04">
      <w:pPr>
        <w:pStyle w:val="SingleTxtG"/>
        <w:spacing w:before="240"/>
        <w:ind w:left="2835" w:hanging="567"/>
      </w:pPr>
      <w:r w:rsidRPr="00E82E04">
        <w:t>c)</w:t>
      </w:r>
      <w:r w:rsidRPr="00E82E04">
        <w:tab/>
        <w:t>Lorsque la durée effective du transport dépasse la du</w:t>
      </w:r>
      <w:r>
        <w:t xml:space="preserve">rée maximum </w:t>
      </w:r>
      <w:r w:rsidR="007A2D88">
        <w:t>de</w:t>
      </w:r>
      <w:r w:rsidR="00436C66">
        <w:t xml:space="preserve"> voyage </w:t>
      </w:r>
      <w:r>
        <w:t>indiquée à l’alinéa </w:t>
      </w:r>
      <w:r w:rsidRPr="00E82E04">
        <w:t>b)</w:t>
      </w:r>
      <w:r w:rsidRPr="00E82E04">
        <w:rPr>
          <w:i/>
        </w:rPr>
        <w:t xml:space="preserve"> </w:t>
      </w:r>
      <w:r w:rsidRPr="00E82E04">
        <w:t xml:space="preserve">ci-dessus, la surveillance de la température </w:t>
      </w:r>
      <w:r w:rsidR="00436C66">
        <w:t xml:space="preserve">doit être </w:t>
      </w:r>
      <w:r w:rsidRPr="00E82E04">
        <w:t xml:space="preserve">assurée à partir du premier jour </w:t>
      </w:r>
      <w:r w:rsidR="00436C66">
        <w:t>de dépassement</w:t>
      </w:r>
      <w:r w:rsidRPr="00E82E04">
        <w:t xml:space="preserve">. L’appareil de surveillance nécessaire doit se trouver à bord dès </w:t>
      </w:r>
      <w:r w:rsidR="00436C66">
        <w:t xml:space="preserve">que la durée du transport dépasse </w:t>
      </w:r>
      <w:r w:rsidRPr="00E82E04">
        <w:t>la durée maximum du voyage.</w:t>
      </w:r>
    </w:p>
    <w:p w:rsidR="00E82E04" w:rsidRPr="00E82E04" w:rsidRDefault="00E82E04" w:rsidP="00E82E04">
      <w:pPr>
        <w:pStyle w:val="SingleTxtG"/>
        <w:ind w:left="2835" w:hanging="567"/>
      </w:pPr>
      <w:r w:rsidRPr="00E82E04">
        <w:t>d)</w:t>
      </w:r>
      <w:r w:rsidRPr="00E82E04">
        <w:tab/>
        <w:t>Le conducteur reçoit, au moment du chargement et sous une forme vérifiable, des instructions sur la manière de procéder en cas d’échauffement significati</w:t>
      </w:r>
      <w:r>
        <w:t>f de la cargaison</w:t>
      </w:r>
      <w:r w:rsidRPr="00E82E04">
        <w:t> ».</w:t>
      </w:r>
    </w:p>
    <w:p w:rsidR="00E82E04" w:rsidRPr="00E82E04" w:rsidRDefault="00E82E04" w:rsidP="00E82E04">
      <w:pPr>
        <w:pStyle w:val="SingleTxtG"/>
      </w:pPr>
      <w:r w:rsidRPr="00E82E04">
        <w:t>2.</w:t>
      </w:r>
      <w:r w:rsidRPr="00E82E04">
        <w:tab/>
        <w:t xml:space="preserve">La question du transport de charbon en vrac dans des wagons ou des véhicules routiers a aussi été examinée par la Réunion commune RID/ADR/ADN, le Groupe de travail </w:t>
      </w:r>
      <w:r w:rsidR="00436C66">
        <w:t>des</w:t>
      </w:r>
      <w:r w:rsidRPr="00E82E04">
        <w:t xml:space="preserve"> transport</w:t>
      </w:r>
      <w:r w:rsidR="00436C66">
        <w:t>s</w:t>
      </w:r>
      <w:r w:rsidRPr="00E82E04">
        <w:t xml:space="preserve"> de marchandises dangereuses </w:t>
      </w:r>
      <w:r w:rsidR="00436C66">
        <w:t>et</w:t>
      </w:r>
      <w:r w:rsidRPr="00E82E04">
        <w:t xml:space="preserve"> le Comité d’experts du RID, discussions qui ont abouti à l’inclusion de la disposition spéciale 665 dans le RID 2015 et d’une disposition analogue dans l’ADR, qui entrera  en vigueur le 1</w:t>
      </w:r>
      <w:r w:rsidRPr="00E82E04">
        <w:rPr>
          <w:vertAlign w:val="superscript"/>
        </w:rPr>
        <w:t>er</w:t>
      </w:r>
      <w:r w:rsidRPr="00E82E04">
        <w:t> janvier 2017. Dans l’ADR, la disposition spéciale se lit comme suit :</w:t>
      </w:r>
    </w:p>
    <w:p w:rsidR="00E82E04" w:rsidRPr="00E82E04" w:rsidRDefault="00E82E04" w:rsidP="00E82E04">
      <w:pPr>
        <w:pStyle w:val="SingleTxtG"/>
        <w:ind w:left="2268" w:hanging="567"/>
      </w:pPr>
      <w:r w:rsidRPr="00E82E04">
        <w:t>« 665</w:t>
      </w:r>
      <w:r w:rsidRPr="00E82E04">
        <w:tab/>
        <w:t xml:space="preserve">La houille, le coke et l’anthracite </w:t>
      </w:r>
      <w:r w:rsidR="00436C66">
        <w:t xml:space="preserve">répondant aux </w:t>
      </w:r>
      <w:r w:rsidRPr="00E82E04">
        <w:t>critères</w:t>
      </w:r>
      <w:r>
        <w:t xml:space="preserve"> de classification de la classe 4.2, groupe d’emballage </w:t>
      </w:r>
      <w:r w:rsidRPr="00E82E04">
        <w:t>III, ne sont pas so</w:t>
      </w:r>
      <w:r>
        <w:t>umis aux prescriptions de l’ADN</w:t>
      </w:r>
      <w:r w:rsidRPr="00E82E04">
        <w:t> ».</w:t>
      </w:r>
    </w:p>
    <w:p w:rsidR="00E82E04" w:rsidRPr="00E82E04" w:rsidRDefault="00E82E04" w:rsidP="00E82E04">
      <w:pPr>
        <w:pStyle w:val="SingleTxtG"/>
        <w:keepNext/>
        <w:keepLines/>
      </w:pPr>
      <w:r w:rsidRPr="00E82E04">
        <w:t>Dans le RID, la disposition spéciale se lit comme suit :</w:t>
      </w:r>
    </w:p>
    <w:p w:rsidR="00E82E04" w:rsidRPr="00E82E04" w:rsidRDefault="00E82E04" w:rsidP="00E82E04">
      <w:pPr>
        <w:pStyle w:val="SingleTxtG"/>
        <w:ind w:left="2268" w:hanging="567"/>
      </w:pPr>
      <w:r w:rsidRPr="00E82E04">
        <w:t>« 665</w:t>
      </w:r>
      <w:r w:rsidRPr="00E82E04">
        <w:tab/>
        <w:t>La houille, le coke et l’anthracite transportés en vrac répondant aux critères</w:t>
      </w:r>
      <w:r>
        <w:t xml:space="preserve"> de classification de la classe 4.2, groupe d’emballage </w:t>
      </w:r>
      <w:r w:rsidRPr="00E82E04">
        <w:t>III, peuvent également être transportés en wagons ou conteneurs découverts, à condition :</w:t>
      </w:r>
    </w:p>
    <w:p w:rsidR="00E82E04" w:rsidRPr="00E82E04" w:rsidRDefault="00E82E04" w:rsidP="00E82E04">
      <w:pPr>
        <w:pStyle w:val="SingleTxtG"/>
        <w:ind w:left="2835" w:hanging="567"/>
      </w:pPr>
      <w:r w:rsidRPr="00E82E04">
        <w:t>a)</w:t>
      </w:r>
      <w:r w:rsidR="00436C66">
        <w:tab/>
        <w:t>Que le charbon soit transporté</w:t>
      </w:r>
      <w:r w:rsidRPr="00E82E04">
        <w:t xml:space="preserve"> dans le wagon ou conteneur directement après son extraction (sans mesure de température) ; ou</w:t>
      </w:r>
    </w:p>
    <w:p w:rsidR="00E82E04" w:rsidRPr="00E82E04" w:rsidRDefault="00E82E04" w:rsidP="00E82E04">
      <w:pPr>
        <w:pStyle w:val="SingleTxtG"/>
        <w:ind w:left="2835" w:hanging="567"/>
      </w:pPr>
      <w:r w:rsidRPr="00E82E04">
        <w:t>b)</w:t>
      </w:r>
      <w:r w:rsidRPr="00E82E04">
        <w:tab/>
        <w:t>Que la température du chargement pendant ou juste après le remplissage du wagon ou du conteneur ne dépasse pas 60 °C. Le</w:t>
      </w:r>
      <w:r w:rsidR="00436C66">
        <w:t> </w:t>
      </w:r>
      <w:r w:rsidRPr="00E82E04">
        <w:t xml:space="preserve">remplisseur doit veiller, via des méthodes de mesure appropriées, à ce que la température maximale admise du chargement ne soit pas dépassée pendant ou juste après le remplissage du wagon et du conteneur, et en apporter la preuve. </w:t>
      </w:r>
    </w:p>
    <w:p w:rsidR="00E82E04" w:rsidRPr="00E82E04" w:rsidRDefault="00E82E04" w:rsidP="00E82E04">
      <w:pPr>
        <w:pStyle w:val="SingleTxtG"/>
        <w:ind w:left="2268"/>
      </w:pPr>
      <w:r w:rsidRPr="00E82E04">
        <w:t>L’expéditeur doit veiller à ce que la mention suivante apparaisse dans le document accompagnant le transport (par exemple le connaissement, le manifeste de cargaison ou la lettre de voiture CMR/CIM) :</w:t>
      </w:r>
    </w:p>
    <w:p w:rsidR="00E82E04" w:rsidRPr="00E82E04" w:rsidRDefault="00E82E04" w:rsidP="00E82E04">
      <w:pPr>
        <w:pStyle w:val="SingleTxtG"/>
        <w:ind w:left="2835" w:hanging="567"/>
      </w:pPr>
      <w:r w:rsidRPr="00E82E04">
        <w:t>« TRANSPOR</w:t>
      </w:r>
      <w:r>
        <w:t>T SELON LA DISPOSITION SPÉCIALE </w:t>
      </w:r>
      <w:r w:rsidRPr="00E82E04">
        <w:t>665 DU RID ».</w:t>
      </w:r>
    </w:p>
    <w:p w:rsidR="00E82E04" w:rsidRPr="00E82E04" w:rsidRDefault="00E82E04" w:rsidP="00E82E04">
      <w:pPr>
        <w:pStyle w:val="SingleTxtG"/>
        <w:ind w:left="2268"/>
      </w:pPr>
      <w:r w:rsidRPr="00E82E04">
        <w:t>Les autres prescript</w:t>
      </w:r>
      <w:r>
        <w:t>ions du RID ne s’appliquent pas</w:t>
      </w:r>
      <w:r w:rsidRPr="00E82E04">
        <w:t> ».</w:t>
      </w:r>
    </w:p>
    <w:p w:rsidR="00E82E04" w:rsidRPr="00E82E04" w:rsidRDefault="00E82E04" w:rsidP="00E82E04">
      <w:pPr>
        <w:pStyle w:val="SingleTxtG"/>
      </w:pPr>
      <w:r w:rsidRPr="00E82E04">
        <w:t>3.</w:t>
      </w:r>
      <w:r w:rsidRPr="00E82E04">
        <w:tab/>
        <w:t xml:space="preserve">Le Comité de sécurité souhaitera sans doute retenir de ce qui précède que la réglementation du transport de charbon par la route diffère de celle du transport </w:t>
      </w:r>
      <w:r w:rsidR="00436C66">
        <w:t xml:space="preserve">de </w:t>
      </w:r>
      <w:r w:rsidRPr="00E82E04">
        <w:t xml:space="preserve">charbon par chemin de fer. Pour la route, le transport de charbon qui </w:t>
      </w:r>
      <w:r w:rsidR="00436C66">
        <w:t>répond</w:t>
      </w:r>
      <w:r w:rsidRPr="00E82E04">
        <w:t xml:space="preserve"> aux critères de la clas</w:t>
      </w:r>
      <w:r>
        <w:t>se 4.2, groupe d’emballage </w:t>
      </w:r>
      <w:r w:rsidRPr="00E82E04">
        <w:t>III, est exempté de toute prescription, quel que soit le type de transport (en colis, en vrac dans des conteneurs ou encore en vrac dans des véhicules).</w:t>
      </w:r>
    </w:p>
    <w:p w:rsidR="00E82E04" w:rsidRPr="00E82E04" w:rsidRDefault="00E82E04" w:rsidP="00E82E04">
      <w:pPr>
        <w:pStyle w:val="SingleTxtG"/>
      </w:pPr>
      <w:r w:rsidRPr="00E82E04">
        <w:lastRenderedPageBreak/>
        <w:t xml:space="preserve">Par chemin de fer, le transport de charbon </w:t>
      </w:r>
      <w:r w:rsidR="00436C66">
        <w:t>répondant</w:t>
      </w:r>
      <w:r w:rsidRPr="00E82E04">
        <w:t xml:space="preserve"> aux critères de la c</w:t>
      </w:r>
      <w:r>
        <w:t>lasse 4.2, groupe d’emballage </w:t>
      </w:r>
      <w:r w:rsidRPr="00E82E04">
        <w:t>III, est exempté uniquement pour le transport en vrac dans des wagons ou des conteneurs.</w:t>
      </w:r>
    </w:p>
    <w:p w:rsidR="00E82E04" w:rsidRPr="00E82E04" w:rsidRDefault="00E82E04" w:rsidP="00E82E04">
      <w:pPr>
        <w:pStyle w:val="SingleTxtG"/>
      </w:pPr>
      <w:r w:rsidRPr="00E82E04">
        <w:t>4.</w:t>
      </w:r>
      <w:r w:rsidRPr="00E82E04">
        <w:tab/>
        <w:t xml:space="preserve">En ce qui concerne l’ADN, la décision du Groupe de travail </w:t>
      </w:r>
      <w:r w:rsidR="00436C66">
        <w:t>des</w:t>
      </w:r>
      <w:r w:rsidRPr="00E82E04">
        <w:t xml:space="preserve"> transport</w:t>
      </w:r>
      <w:r w:rsidR="00436C66">
        <w:t>s</w:t>
      </w:r>
      <w:r w:rsidRPr="00E82E04">
        <w:t xml:space="preserve"> de marchandises dangereuses (WP.15) a été portée à l’attention du Comité de sécurité par le secrétariat dans un document rédigé aux fins d’harmonisation (ECE/TRANS/WP.15/AC.2/</w:t>
      </w:r>
      <w:r>
        <w:t xml:space="preserve"> </w:t>
      </w:r>
      <w:r w:rsidRPr="00E82E04">
        <w:t>2016/28).</w:t>
      </w:r>
    </w:p>
    <w:p w:rsidR="00E82E04" w:rsidRPr="00E82E04" w:rsidRDefault="00E82E04" w:rsidP="00E82E04">
      <w:pPr>
        <w:pStyle w:val="SingleTxtG"/>
      </w:pPr>
      <w:r w:rsidRPr="00E82E04">
        <w:t>Le Comité de sécurité a adopté la même disposition spéciale pour l’ADN, sauf que le secrétariat avait oublié qu’il existai</w:t>
      </w:r>
      <w:r>
        <w:t>t déjà une disposition spéciale </w:t>
      </w:r>
      <w:r w:rsidRPr="00E82E04">
        <w:t>803. On se retrouve donc avec une contradiction entre d’une part la disposition spéciale</w:t>
      </w:r>
      <w:r>
        <w:t> </w:t>
      </w:r>
      <w:r w:rsidRPr="00E82E04">
        <w:t xml:space="preserve">665, qui exempte de toute prescription le transport de charbon </w:t>
      </w:r>
      <w:r w:rsidR="00436C66">
        <w:t>répondant</w:t>
      </w:r>
      <w:r w:rsidRPr="00E82E04">
        <w:t xml:space="preserve"> aux critères de la classe</w:t>
      </w:r>
      <w:r>
        <w:t> </w:t>
      </w:r>
      <w:r w:rsidRPr="00E82E04">
        <w:t>4.2, groupe d’emballage III, et d’autre part la disposition spéciale</w:t>
      </w:r>
      <w:r>
        <w:t> </w:t>
      </w:r>
      <w:r w:rsidRPr="00E82E04">
        <w:t>803 qui définit les conditions du transport de charbon satisfaisant aux critères de la classe</w:t>
      </w:r>
      <w:r>
        <w:t> </w:t>
      </w:r>
      <w:r w:rsidRPr="00E82E04">
        <w:t>4.2, groupe d’emballage</w:t>
      </w:r>
      <w:r>
        <w:t> </w:t>
      </w:r>
      <w:r w:rsidRPr="00E82E04">
        <w:t>III, en</w:t>
      </w:r>
      <w:r>
        <w:t> </w:t>
      </w:r>
      <w:r w:rsidRPr="00E82E04">
        <w:t>vrac.</w:t>
      </w:r>
    </w:p>
    <w:p w:rsidR="00E82E04" w:rsidRPr="00E82E04" w:rsidRDefault="00E82E04" w:rsidP="00E82E04">
      <w:pPr>
        <w:pStyle w:val="SingleTxtG"/>
      </w:pPr>
      <w:r w:rsidRPr="00E82E04">
        <w:t>En outre, on ne s’est pas non plus rendu compte qu</w:t>
      </w:r>
      <w:r>
        <w:t>e la disposition spéciale </w:t>
      </w:r>
      <w:r w:rsidRPr="00E82E04">
        <w:t>665 du RID diffé</w:t>
      </w:r>
      <w:r>
        <w:t>rait de la disposition spéciale </w:t>
      </w:r>
      <w:r w:rsidRPr="00E82E04">
        <w:t>665 de l’ADR.</w:t>
      </w:r>
    </w:p>
    <w:p w:rsidR="00E82E04" w:rsidRPr="00E82E04" w:rsidRDefault="00E82E04" w:rsidP="00E82E04">
      <w:pPr>
        <w:pStyle w:val="SingleTxtG"/>
      </w:pPr>
      <w:r w:rsidRPr="00E82E04">
        <w:t>5.</w:t>
      </w:r>
      <w:r w:rsidRPr="00E82E04">
        <w:tab/>
        <w:t>À ce stade, le secrétariat estime qu’il faudrait modifier le texte de la disposition spéciale 665 de l’ADN afin de l’aligner sur la disposition spéciale 803, par exemple en ajoutant au début :</w:t>
      </w:r>
    </w:p>
    <w:p w:rsidR="00E82E04" w:rsidRPr="00E82E04" w:rsidRDefault="00436C66" w:rsidP="00E82E04">
      <w:pPr>
        <w:pStyle w:val="SingleTxtG"/>
      </w:pPr>
      <w:r>
        <w:tab/>
      </w:r>
      <w:r w:rsidR="00E82E04" w:rsidRPr="00E82E04">
        <w:t>« Excepté dans le cas du transport en vrac, … ».</w:t>
      </w:r>
    </w:p>
    <w:p w:rsidR="00F9573C" w:rsidRDefault="00E82E04" w:rsidP="00E82E04">
      <w:pPr>
        <w:pStyle w:val="SingleTxtG"/>
      </w:pPr>
      <w:r w:rsidRPr="00E82E04">
        <w:t>6</w:t>
      </w:r>
      <w:r w:rsidR="00436C66">
        <w:t>.</w:t>
      </w:r>
      <w:r w:rsidR="00436C66">
        <w:tab/>
        <w:t>Pour l’avenir (amendements en </w:t>
      </w:r>
      <w:r w:rsidRPr="00E82E04">
        <w:t xml:space="preserve">2019), le Comité de sécurité souhaitera peut-être se demander comment traiter le cas du charbon </w:t>
      </w:r>
      <w:r w:rsidR="00436C66">
        <w:t>répondant aux critères de la classe 4</w:t>
      </w:r>
      <w:r w:rsidRPr="00E82E04">
        <w:t>.2, gr</w:t>
      </w:r>
      <w:r w:rsidR="00436C66">
        <w:t>oupe d’emballage </w:t>
      </w:r>
      <w:r w:rsidRPr="00E82E04">
        <w:t>III, selon qu’il est chargé en colis dans des véhicules, des wagons ou des conteneurs ou selon qu’il est chargé en vrac dans des véhicules, des wagons ou des conteneurs.</w:t>
      </w:r>
    </w:p>
    <w:p w:rsidR="00E82E04" w:rsidRPr="00E82E04" w:rsidRDefault="00E82E04" w:rsidP="00E82E0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2E04" w:rsidRPr="00E82E04" w:rsidSect="004969E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CC" w:rsidRDefault="000D15CC" w:rsidP="00F95C08">
      <w:pPr>
        <w:spacing w:line="240" w:lineRule="auto"/>
      </w:pPr>
    </w:p>
  </w:endnote>
  <w:endnote w:type="continuationSeparator" w:id="0">
    <w:p w:rsidR="000D15CC" w:rsidRPr="00AC3823" w:rsidRDefault="000D15CC" w:rsidP="00AC3823">
      <w:pPr>
        <w:pStyle w:val="Footer"/>
      </w:pPr>
    </w:p>
  </w:endnote>
  <w:endnote w:type="continuationNotice" w:id="1">
    <w:p w:rsidR="000D15CC" w:rsidRDefault="000D15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EB" w:rsidRPr="004969EB" w:rsidRDefault="004969EB" w:rsidP="004969EB">
    <w:pPr>
      <w:pStyle w:val="Footer"/>
      <w:tabs>
        <w:tab w:val="right" w:pos="9638"/>
      </w:tabs>
    </w:pPr>
    <w:r w:rsidRPr="004969EB">
      <w:rPr>
        <w:b/>
        <w:sz w:val="18"/>
      </w:rPr>
      <w:fldChar w:fldCharType="begin"/>
    </w:r>
    <w:r w:rsidRPr="004969EB">
      <w:rPr>
        <w:b/>
        <w:sz w:val="18"/>
      </w:rPr>
      <w:instrText xml:space="preserve"> PAGE  \* MERGEFORMAT </w:instrText>
    </w:r>
    <w:r w:rsidRPr="004969EB">
      <w:rPr>
        <w:b/>
        <w:sz w:val="18"/>
      </w:rPr>
      <w:fldChar w:fldCharType="separate"/>
    </w:r>
    <w:r w:rsidR="0073128E">
      <w:rPr>
        <w:b/>
        <w:noProof/>
        <w:sz w:val="18"/>
      </w:rPr>
      <w:t>2</w:t>
    </w:r>
    <w:r w:rsidRPr="004969EB">
      <w:rPr>
        <w:b/>
        <w:sz w:val="18"/>
      </w:rPr>
      <w:fldChar w:fldCharType="end"/>
    </w:r>
    <w:r>
      <w:rPr>
        <w:b/>
        <w:sz w:val="18"/>
      </w:rPr>
      <w:tab/>
    </w:r>
    <w:r>
      <w:t>GE.16-19745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EB" w:rsidRPr="004969EB" w:rsidRDefault="004969EB" w:rsidP="004969EB">
    <w:pPr>
      <w:pStyle w:val="Footer"/>
      <w:tabs>
        <w:tab w:val="right" w:pos="9638"/>
      </w:tabs>
      <w:rPr>
        <w:b/>
        <w:sz w:val="18"/>
      </w:rPr>
    </w:pPr>
    <w:r>
      <w:t>GE.16-19745</w:t>
    </w:r>
    <w:r>
      <w:tab/>
    </w:r>
    <w:r w:rsidRPr="004969EB">
      <w:rPr>
        <w:b/>
        <w:sz w:val="18"/>
      </w:rPr>
      <w:fldChar w:fldCharType="begin"/>
    </w:r>
    <w:r w:rsidRPr="004969EB">
      <w:rPr>
        <w:b/>
        <w:sz w:val="18"/>
      </w:rPr>
      <w:instrText xml:space="preserve"> PAGE  \* MERGEFORMAT </w:instrText>
    </w:r>
    <w:r w:rsidRPr="004969EB">
      <w:rPr>
        <w:b/>
        <w:sz w:val="18"/>
      </w:rPr>
      <w:fldChar w:fldCharType="separate"/>
    </w:r>
    <w:r w:rsidR="0073128E">
      <w:rPr>
        <w:b/>
        <w:noProof/>
        <w:sz w:val="18"/>
      </w:rPr>
      <w:t>3</w:t>
    </w:r>
    <w:r w:rsidRPr="004969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4969EB" w:rsidRDefault="004969EB" w:rsidP="004969E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46A5DAE" wp14:editId="7F98941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16-19745  (F)</w:t>
    </w:r>
    <w:r w:rsidR="00E82E04">
      <w:rPr>
        <w:sz w:val="20"/>
      </w:rPr>
      <w:t xml:space="preserve">    211116    221116</w:t>
    </w:r>
    <w:r>
      <w:rPr>
        <w:sz w:val="20"/>
      </w:rPr>
      <w:br/>
    </w:r>
    <w:r w:rsidRPr="004969EB">
      <w:rPr>
        <w:rFonts w:ascii="C39T30Lfz" w:hAnsi="C39T30Lfz"/>
        <w:sz w:val="56"/>
      </w:rPr>
      <w:t></w:t>
    </w:r>
    <w:r w:rsidRPr="004969EB">
      <w:rPr>
        <w:rFonts w:ascii="C39T30Lfz" w:hAnsi="C39T30Lfz"/>
        <w:sz w:val="56"/>
      </w:rPr>
      <w:t></w:t>
    </w:r>
    <w:r w:rsidRPr="004969EB">
      <w:rPr>
        <w:rFonts w:ascii="C39T30Lfz" w:hAnsi="C39T30Lfz"/>
        <w:sz w:val="56"/>
      </w:rPr>
      <w:t></w:t>
    </w:r>
    <w:r w:rsidRPr="004969EB">
      <w:rPr>
        <w:rFonts w:ascii="C39T30Lfz" w:hAnsi="C39T30Lfz"/>
        <w:sz w:val="56"/>
      </w:rPr>
      <w:t></w:t>
    </w:r>
    <w:r w:rsidRPr="004969EB">
      <w:rPr>
        <w:rFonts w:ascii="C39T30Lfz" w:hAnsi="C39T30Lfz"/>
        <w:sz w:val="56"/>
      </w:rPr>
      <w:t></w:t>
    </w:r>
    <w:r w:rsidRPr="004969EB">
      <w:rPr>
        <w:rFonts w:ascii="C39T30Lfz" w:hAnsi="C39T30Lfz"/>
        <w:sz w:val="56"/>
      </w:rPr>
      <w:t></w:t>
    </w:r>
    <w:r w:rsidRPr="004969EB">
      <w:rPr>
        <w:rFonts w:ascii="C39T30Lfz" w:hAnsi="C39T30Lfz"/>
        <w:sz w:val="56"/>
      </w:rPr>
      <w:t></w:t>
    </w:r>
    <w:r w:rsidRPr="004969EB">
      <w:rPr>
        <w:rFonts w:ascii="C39T30Lfz" w:hAnsi="C39T30Lfz"/>
        <w:sz w:val="56"/>
      </w:rPr>
      <w:t></w:t>
    </w:r>
    <w:r w:rsidRPr="004969E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2/2017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7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CC" w:rsidRPr="00AC3823" w:rsidRDefault="000D15C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15CC" w:rsidRPr="00AC3823" w:rsidRDefault="000D15C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D15CC" w:rsidRPr="00AC3823" w:rsidRDefault="000D15CC">
      <w:pPr>
        <w:spacing w:line="240" w:lineRule="auto"/>
        <w:rPr>
          <w:sz w:val="2"/>
          <w:szCs w:val="2"/>
        </w:rPr>
      </w:pPr>
    </w:p>
  </w:footnote>
  <w:footnote w:id="2">
    <w:p w:rsidR="00E82E04" w:rsidRPr="00E7007F" w:rsidRDefault="00E82E04" w:rsidP="00E7007F">
      <w:pPr>
        <w:pStyle w:val="FootnoteText"/>
      </w:pPr>
      <w:r>
        <w:rPr>
          <w:rStyle w:val="FootnoteReference"/>
        </w:rPr>
        <w:tab/>
      </w:r>
      <w:r w:rsidRPr="00BA5794">
        <w:rPr>
          <w:rStyle w:val="FootnoteReference"/>
        </w:rPr>
        <w:t>*</w:t>
      </w:r>
      <w:r>
        <w:rPr>
          <w:rStyle w:val="FootnoteReference"/>
          <w:sz w:val="20"/>
          <w:vertAlign w:val="baseline"/>
        </w:rPr>
        <w:tab/>
      </w:r>
      <w:r>
        <w:t>Distribuée en langue allemande par la Commission centrale pour la navigation du Rhin, sous la cote CCNR-ZKR/ADN/WP.15/AC.2/2017/9.</w:t>
      </w:r>
    </w:p>
  </w:footnote>
  <w:footnote w:id="3">
    <w:p w:rsidR="00E82E04" w:rsidRPr="00E7007F" w:rsidRDefault="00E82E04" w:rsidP="00E7007F">
      <w:pPr>
        <w:pStyle w:val="FootnoteText"/>
      </w:pPr>
      <w:r w:rsidRPr="00BA5794">
        <w:rPr>
          <w:rStyle w:val="FootnoteReference"/>
        </w:rPr>
        <w:tab/>
        <w:t>**</w:t>
      </w:r>
      <w:r w:rsidRPr="00BA5794">
        <w:rPr>
          <w:rStyle w:val="FootnoteReference"/>
        </w:rPr>
        <w:tab/>
      </w:r>
      <w:r>
        <w:t>Conformément au Programme de travail du Comité des transports intérieurs pour la période 2016-2017 (</w:t>
      </w:r>
      <w:r w:rsidRPr="009D3947">
        <w:t>ECE/TRANS/</w:t>
      </w:r>
      <w:r>
        <w:t>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EB" w:rsidRPr="004969EB" w:rsidRDefault="004969EB">
    <w:pPr>
      <w:pStyle w:val="Header"/>
    </w:pPr>
    <w:r>
      <w:t>ECE/TRANS/WP.15/AC.2/2017/9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EB" w:rsidRPr="004969EB" w:rsidRDefault="004969EB" w:rsidP="004969EB">
    <w:pPr>
      <w:pStyle w:val="Header"/>
      <w:jc w:val="right"/>
    </w:pPr>
    <w:r>
      <w:t>ECE/TRANS/WP.15/AC.2/2017/9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CC"/>
    <w:rsid w:val="00017F94"/>
    <w:rsid w:val="00023842"/>
    <w:rsid w:val="000334F9"/>
    <w:rsid w:val="0007796D"/>
    <w:rsid w:val="000B7790"/>
    <w:rsid w:val="000D15CC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A7C81"/>
    <w:rsid w:val="002D7C93"/>
    <w:rsid w:val="00305801"/>
    <w:rsid w:val="003916DE"/>
    <w:rsid w:val="00436C66"/>
    <w:rsid w:val="00441C3B"/>
    <w:rsid w:val="00446FE5"/>
    <w:rsid w:val="00452396"/>
    <w:rsid w:val="004837D8"/>
    <w:rsid w:val="004969EB"/>
    <w:rsid w:val="004E468C"/>
    <w:rsid w:val="005505B7"/>
    <w:rsid w:val="00573BE5"/>
    <w:rsid w:val="00586ED3"/>
    <w:rsid w:val="00596AA9"/>
    <w:rsid w:val="0071601D"/>
    <w:rsid w:val="0073128E"/>
    <w:rsid w:val="007A2D88"/>
    <w:rsid w:val="007A62E6"/>
    <w:rsid w:val="007C3168"/>
    <w:rsid w:val="007F1609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A5794"/>
    <w:rsid w:val="00C02897"/>
    <w:rsid w:val="00D3439C"/>
    <w:rsid w:val="00DB1831"/>
    <w:rsid w:val="00DB7276"/>
    <w:rsid w:val="00DD3BFD"/>
    <w:rsid w:val="00DF6678"/>
    <w:rsid w:val="00E7007F"/>
    <w:rsid w:val="00E82E04"/>
    <w:rsid w:val="00E85C74"/>
    <w:rsid w:val="00EA6547"/>
    <w:rsid w:val="00EB3598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D9494F-EFFF-4689-807E-99716AD6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DC1D-9FE7-4562-8CF7-05E71EBE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ECE/TRANS/WP.15/AC.2/2017/9</vt:lpstr>
      <vt:lpstr>ECE/TRANS/WP.15/AC.2/2017/9</vt:lpstr>
    </vt:vector>
  </TitlesOfParts>
  <Company>DCM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ECE/TRANS/WP.15/AC.2/2017/9</dc:title>
  <dc:subject/>
  <dc:creator>Bourion</dc:creator>
  <cp:keywords/>
  <dc:description/>
  <cp:lastModifiedBy>Lucille</cp:lastModifiedBy>
  <cp:revision>2</cp:revision>
  <cp:lastPrinted>2016-11-22T07:57:00Z</cp:lastPrinted>
  <dcterms:created xsi:type="dcterms:W3CDTF">2016-11-24T10:05:00Z</dcterms:created>
  <dcterms:modified xsi:type="dcterms:W3CDTF">2016-11-24T10:05:00Z</dcterms:modified>
</cp:coreProperties>
</file>