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A93320">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A93320">
              <w:rPr>
                <w:lang w:val="en-GB"/>
              </w:rPr>
              <w:t>6</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F132B9" w:rsidP="00C4302B">
            <w:pPr>
              <w:spacing w:line="240" w:lineRule="exact"/>
              <w:rPr>
                <w:lang w:val="fr-FR"/>
              </w:rPr>
            </w:pPr>
            <w:r>
              <w:rPr>
                <w:lang w:val="fr-FR"/>
              </w:rPr>
              <w:t>9</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A93320">
        <w:t>5</w:t>
      </w:r>
      <w:r w:rsidR="00C617E1">
        <w:t xml:space="preserve"> </w:t>
      </w:r>
      <w:r w:rsidR="00A93320">
        <w:t>b</w:t>
      </w:r>
      <w:r w:rsidR="00C617E1">
        <w:t>)</w:t>
      </w:r>
      <w:r w:rsidRPr="00B93E72">
        <w:t xml:space="preserve"> de l</w:t>
      </w:r>
      <w:r>
        <w:t>’</w:t>
      </w:r>
      <w:r w:rsidRPr="00B93E72">
        <w:t>ordre du jour provisoire</w:t>
      </w:r>
    </w:p>
    <w:p w:rsidR="0049374F" w:rsidRDefault="00A93320" w:rsidP="00790627">
      <w:pPr>
        <w:rPr>
          <w:b/>
          <w:lang w:val="fr-FR"/>
        </w:rPr>
      </w:pPr>
      <w:r w:rsidRPr="00A93320">
        <w:rPr>
          <w:b/>
          <w:lang w:val="fr-FR"/>
        </w:rPr>
        <w:t xml:space="preserve">Propositions d’amendements au Règlement annexé à </w:t>
      </w:r>
      <w:proofErr w:type="gramStart"/>
      <w:r w:rsidRPr="00A93320">
        <w:rPr>
          <w:b/>
          <w:lang w:val="fr-FR"/>
        </w:rPr>
        <w:t>l’ADN</w:t>
      </w:r>
      <w:r w:rsidR="00C617E1" w:rsidRPr="00C617E1">
        <w:rPr>
          <w:b/>
          <w:lang w:val="fr-FR"/>
        </w:rPr>
        <w:t>:</w:t>
      </w:r>
      <w:proofErr w:type="gramEnd"/>
    </w:p>
    <w:p w:rsidR="00C617E1" w:rsidRPr="00C63AC1" w:rsidRDefault="00EC7AF8" w:rsidP="00790627">
      <w:proofErr w:type="gramStart"/>
      <w:r>
        <w:rPr>
          <w:b/>
          <w:lang w:val="fr-FR"/>
        </w:rPr>
        <w:t>a</w:t>
      </w:r>
      <w:r w:rsidR="00A93320" w:rsidRPr="00A93320">
        <w:rPr>
          <w:b/>
          <w:lang w:val="fr-FR"/>
        </w:rPr>
        <w:t>utres</w:t>
      </w:r>
      <w:proofErr w:type="gramEnd"/>
      <w:r w:rsidR="00A93320" w:rsidRPr="00A93320">
        <w:rPr>
          <w:b/>
          <w:lang w:val="fr-FR"/>
        </w:rPr>
        <w:t xml:space="preserve"> propositions</w:t>
      </w:r>
    </w:p>
    <w:p w:rsidR="00A86837" w:rsidRPr="00EA0C87" w:rsidRDefault="0049374F" w:rsidP="00A86837">
      <w:pPr>
        <w:pStyle w:val="HChG"/>
      </w:pPr>
      <w:r w:rsidRPr="00C63AC1">
        <w:tab/>
      </w:r>
      <w:r w:rsidR="00A86837" w:rsidRPr="00C63AC1">
        <w:tab/>
      </w:r>
      <w:r w:rsidR="00A93320" w:rsidRPr="00A93320">
        <w:rPr>
          <w:bCs/>
          <w:lang w:val="fr-FR"/>
        </w:rPr>
        <w:t xml:space="preserve">Sous-section 3.2.3.1 de l’ADN, </w:t>
      </w:r>
      <w:r w:rsidR="00EC7AF8">
        <w:rPr>
          <w:bCs/>
          <w:lang w:val="fr-FR"/>
        </w:rPr>
        <w:t>e</w:t>
      </w:r>
      <w:r w:rsidR="00A93320" w:rsidRPr="00A93320">
        <w:rPr>
          <w:bCs/>
          <w:lang w:val="fr-FR"/>
        </w:rPr>
        <w:t>xplications concernant le tableau C</w:t>
      </w:r>
    </w:p>
    <w:p w:rsidR="00A93320" w:rsidRPr="00A93320" w:rsidRDefault="00A86837" w:rsidP="00A93320">
      <w:pPr>
        <w:pStyle w:val="H1G"/>
        <w:rPr>
          <w:szCs w:val="24"/>
        </w:rPr>
      </w:pPr>
      <w:r w:rsidRPr="00EA0C87">
        <w:tab/>
      </w:r>
      <w:r w:rsidRPr="00EA0C87">
        <w:tab/>
      </w:r>
      <w:r w:rsidR="00481464">
        <w:rPr>
          <w:lang w:val="fr-FR"/>
        </w:rPr>
        <w:t xml:space="preserve">Communication </w:t>
      </w:r>
      <w:r w:rsidR="00C617E1" w:rsidRPr="00C617E1">
        <w:rPr>
          <w:lang w:val="fr-FR"/>
        </w:rPr>
        <w:t>du Gouvernement de l’Allemagne</w:t>
      </w:r>
      <w:r w:rsidR="008E0108" w:rsidRPr="00F132B9">
        <w:rPr>
          <w:rStyle w:val="FootnoteReference"/>
          <w:sz w:val="24"/>
          <w:szCs w:val="24"/>
        </w:rPr>
        <w:footnoteReference w:customMarkFollows="1" w:id="2"/>
        <w:t>*</w:t>
      </w:r>
      <w:r w:rsidR="00481464" w:rsidRPr="00F132B9">
        <w:rPr>
          <w:szCs w:val="24"/>
          <w:vertAlign w:val="superscript"/>
          <w:lang w:val="fr-FR"/>
        </w:rPr>
        <w:t xml:space="preserve">, </w:t>
      </w:r>
      <w:r w:rsidR="008E0108" w:rsidRPr="00F132B9">
        <w:rPr>
          <w:rStyle w:val="FootnoteReference"/>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7234"/>
      </w:tblGrid>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ind w:right="567"/>
              <w:jc w:val="both"/>
              <w:textAlignment w:val="baseline"/>
              <w:rPr>
                <w:color w:val="000000"/>
                <w:sz w:val="24"/>
                <w:szCs w:val="24"/>
                <w:lang w:val="fr-FR"/>
              </w:rPr>
            </w:pPr>
            <w:r w:rsidRPr="00A93320">
              <w:rPr>
                <w:rFonts w:eastAsia="Arial"/>
                <w:i/>
                <w:color w:val="000000"/>
                <w:sz w:val="24"/>
                <w:szCs w:val="24"/>
                <w:lang w:val="fr-FR"/>
              </w:rPr>
              <w:t>Résumé</w:t>
            </w:r>
          </w:p>
        </w:tc>
        <w:tc>
          <w:tcPr>
            <w:tcW w:w="7234" w:type="dxa"/>
          </w:tcPr>
          <w:p w:rsidR="00A93320" w:rsidRPr="00A93320" w:rsidRDefault="00A93320" w:rsidP="00A93320">
            <w:pPr>
              <w:widowControl w:val="0"/>
              <w:suppressAutoHyphens w:val="0"/>
              <w:overflowPunct w:val="0"/>
              <w:autoSpaceDE w:val="0"/>
              <w:autoSpaceDN w:val="0"/>
              <w:adjustRightInd w:val="0"/>
              <w:ind w:right="567"/>
              <w:jc w:val="both"/>
              <w:textAlignment w:val="baseline"/>
              <w:rPr>
                <w:color w:val="000000"/>
                <w:sz w:val="24"/>
                <w:szCs w:val="24"/>
                <w:lang w:val="fr-FR"/>
              </w:rPr>
            </w:pPr>
          </w:p>
        </w:tc>
      </w:tr>
      <w:tr w:rsidR="00A93320" w:rsidRPr="00A93320" w:rsidTr="00A93320">
        <w:trPr>
          <w:jc w:val="center"/>
        </w:trPr>
        <w:tc>
          <w:tcPr>
            <w:tcW w:w="2405" w:type="dxa"/>
          </w:tcPr>
          <w:p w:rsidR="00A93320" w:rsidRPr="00A93320" w:rsidRDefault="00A93320" w:rsidP="00D352BF">
            <w:pPr>
              <w:widowControl w:val="0"/>
              <w:tabs>
                <w:tab w:val="left" w:pos="284"/>
              </w:tabs>
              <w:suppressAutoHyphens w:val="0"/>
              <w:overflowPunct w:val="0"/>
              <w:autoSpaceDE w:val="0"/>
              <w:autoSpaceDN w:val="0"/>
              <w:adjustRightInd w:val="0"/>
              <w:ind w:right="68"/>
              <w:textAlignment w:val="baseline"/>
              <w:rPr>
                <w:color w:val="000000"/>
                <w:lang w:val="fr-FR"/>
              </w:rPr>
            </w:pPr>
            <w:r w:rsidRPr="00A93320">
              <w:rPr>
                <w:b/>
                <w:color w:val="000000"/>
                <w:lang w:val="fr-FR"/>
              </w:rPr>
              <w:t>Résumé analytique :</w:t>
            </w:r>
          </w:p>
        </w:tc>
        <w:tc>
          <w:tcPr>
            <w:tcW w:w="7234" w:type="dxa"/>
          </w:tcPr>
          <w:p w:rsidR="00A93320" w:rsidRPr="00D352BF" w:rsidRDefault="00A93320" w:rsidP="00D352BF">
            <w:pPr>
              <w:widowControl w:val="0"/>
              <w:suppressAutoHyphens w:val="0"/>
              <w:overflowPunct w:val="0"/>
              <w:autoSpaceDE w:val="0"/>
              <w:autoSpaceDN w:val="0"/>
              <w:adjustRightInd w:val="0"/>
              <w:ind w:right="209"/>
              <w:jc w:val="both"/>
              <w:textAlignment w:val="baseline"/>
              <w:rPr>
                <w:bCs/>
                <w:color w:val="000000"/>
                <w:spacing w:val="-4"/>
                <w:lang w:val="fr-FR" w:eastAsia="fr-FR"/>
              </w:rPr>
            </w:pPr>
            <w:r w:rsidRPr="00D352BF">
              <w:rPr>
                <w:bCs/>
                <w:color w:val="000000"/>
                <w:spacing w:val="-4"/>
                <w:lang w:val="fr-FR" w:eastAsia="fr-FR"/>
              </w:rPr>
              <w:t>Les explications concernant le tableau C qui figurent à la sous-section 3.2.3.1 de l’ADN contiennent une note ex</w:t>
            </w:r>
            <w:r w:rsidR="00615BE9">
              <w:rPr>
                <w:bCs/>
                <w:color w:val="000000"/>
                <w:spacing w:val="-4"/>
                <w:lang w:val="fr-FR" w:eastAsia="fr-FR"/>
              </w:rPr>
              <w:t>plicative pour la colonne (5)</w:t>
            </w:r>
            <w:proofErr w:type="gramStart"/>
            <w:r w:rsidR="00615BE9">
              <w:rPr>
                <w:bCs/>
                <w:color w:val="000000"/>
                <w:spacing w:val="-4"/>
                <w:lang w:val="fr-FR" w:eastAsia="fr-FR"/>
              </w:rPr>
              <w:t xml:space="preserve"> «Dangers</w:t>
            </w:r>
            <w:proofErr w:type="gramEnd"/>
            <w:r w:rsidRPr="00D352BF">
              <w:rPr>
                <w:bCs/>
                <w:color w:val="000000"/>
                <w:spacing w:val="-4"/>
                <w:lang w:val="fr-FR" w:eastAsia="fr-FR"/>
              </w:rPr>
              <w:t>».</w:t>
            </w:r>
          </w:p>
          <w:p w:rsidR="00A93320" w:rsidRPr="00A93320" w:rsidRDefault="00A93320" w:rsidP="00D352BF">
            <w:pPr>
              <w:widowControl w:val="0"/>
              <w:suppressAutoHyphens w:val="0"/>
              <w:overflowPunct w:val="0"/>
              <w:autoSpaceDE w:val="0"/>
              <w:autoSpaceDN w:val="0"/>
              <w:adjustRightInd w:val="0"/>
              <w:ind w:right="209"/>
              <w:jc w:val="both"/>
              <w:textAlignment w:val="baseline"/>
              <w:rPr>
                <w:lang w:val="fr-FR"/>
              </w:rPr>
            </w:pPr>
            <w:r w:rsidRPr="00D352BF">
              <w:rPr>
                <w:spacing w:val="-4"/>
                <w:lang w:val="fr-FR"/>
              </w:rPr>
              <w:t>Le quatrième paragraphe de cette note dispose que pour les matières ou mélanges avec des caractéristiques CMR, les indications sont complétées par le code</w:t>
            </w:r>
            <w:proofErr w:type="gramStart"/>
            <w:r w:rsidRPr="00D352BF">
              <w:rPr>
                <w:spacing w:val="-4"/>
                <w:lang w:val="fr-FR"/>
              </w:rPr>
              <w:t xml:space="preserve"> «CMR</w:t>
            </w:r>
            <w:proofErr w:type="gramEnd"/>
            <w:r w:rsidRPr="00D352BF">
              <w:rPr>
                <w:spacing w:val="-4"/>
                <w:lang w:val="fr-FR"/>
              </w:rPr>
              <w:t>».</w:t>
            </w:r>
          </w:p>
          <w:p w:rsidR="00A93320" w:rsidRPr="00A93320" w:rsidRDefault="00A93320" w:rsidP="00D352BF">
            <w:pPr>
              <w:widowControl w:val="0"/>
              <w:suppressAutoHyphens w:val="0"/>
              <w:overflowPunct w:val="0"/>
              <w:autoSpaceDE w:val="0"/>
              <w:autoSpaceDN w:val="0"/>
              <w:adjustRightInd w:val="0"/>
              <w:spacing w:after="120"/>
              <w:ind w:right="567"/>
              <w:jc w:val="both"/>
              <w:textAlignment w:val="baseline"/>
              <w:rPr>
                <w:color w:val="000000"/>
                <w:lang w:val="fr-FR"/>
              </w:rPr>
            </w:pPr>
            <w:r w:rsidRPr="00A93320">
              <w:rPr>
                <w:snapToGrid w:val="0"/>
                <w:color w:val="000000"/>
                <w:lang w:val="fr-FR" w:eastAsia="fr-FR"/>
              </w:rPr>
              <w:t xml:space="preserve">Lors de sa </w:t>
            </w:r>
            <w:r w:rsidR="00EC7AF8">
              <w:rPr>
                <w:snapToGrid w:val="0"/>
                <w:color w:val="000000"/>
                <w:lang w:val="fr-FR" w:eastAsia="fr-FR"/>
              </w:rPr>
              <w:t>vingt-neuvième</w:t>
            </w:r>
            <w:r w:rsidRPr="00A93320">
              <w:rPr>
                <w:snapToGrid w:val="0"/>
                <w:color w:val="000000"/>
                <w:lang w:val="fr-FR" w:eastAsia="fr-FR"/>
              </w:rPr>
              <w:t xml:space="preserve"> session, le Comité de sécurité de l'ADN a confirmé que dans ce cas seules les catégories 1A et 1B du SGH étaient pertinentes.</w:t>
            </w:r>
          </w:p>
        </w:tc>
      </w:tr>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Mesure à prendre :</w:t>
            </w:r>
          </w:p>
        </w:tc>
        <w:tc>
          <w:tcPr>
            <w:tcW w:w="7234" w:type="dxa"/>
          </w:tcPr>
          <w:p w:rsidR="00A93320" w:rsidRPr="00A93320" w:rsidRDefault="00A93320" w:rsidP="00D352BF">
            <w:pPr>
              <w:widowControl w:val="0"/>
              <w:suppressAutoHyphens w:val="0"/>
              <w:overflowPunct w:val="0"/>
              <w:autoSpaceDE w:val="0"/>
              <w:autoSpaceDN w:val="0"/>
              <w:adjustRightInd w:val="0"/>
              <w:ind w:right="209"/>
              <w:textAlignment w:val="baseline"/>
              <w:rPr>
                <w:bCs/>
                <w:color w:val="000000"/>
                <w:lang w:val="fr-FR" w:eastAsia="fr-FR"/>
              </w:rPr>
            </w:pPr>
            <w:r w:rsidRPr="00A93320">
              <w:rPr>
                <w:bCs/>
                <w:color w:val="000000"/>
                <w:lang w:val="fr-FR" w:eastAsia="fr-FR"/>
              </w:rPr>
              <w:t>Modification correspondante de la sous-section 3.2.3.1 de l</w:t>
            </w:r>
            <w:r w:rsidR="00615BE9">
              <w:rPr>
                <w:bCs/>
                <w:color w:val="000000"/>
                <w:lang w:val="fr-FR" w:eastAsia="fr-FR"/>
              </w:rPr>
              <w:t>'</w:t>
            </w:r>
            <w:r w:rsidRPr="00A93320">
              <w:rPr>
                <w:bCs/>
                <w:color w:val="000000"/>
                <w:lang w:val="fr-FR" w:eastAsia="fr-FR"/>
              </w:rPr>
              <w:t xml:space="preserve">ADN, </w:t>
            </w:r>
            <w:r w:rsidR="00615BE9">
              <w:rPr>
                <w:bCs/>
                <w:color w:val="000000"/>
                <w:lang w:val="fr-FR" w:eastAsia="fr-FR"/>
              </w:rPr>
              <w:t>e</w:t>
            </w:r>
            <w:bookmarkStart w:id="0" w:name="_GoBack"/>
            <w:bookmarkEnd w:id="0"/>
            <w:r w:rsidRPr="00A93320">
              <w:rPr>
                <w:bCs/>
                <w:color w:val="000000"/>
                <w:lang w:val="fr-FR" w:eastAsia="fr-FR"/>
              </w:rPr>
              <w:t>xplications concernant le tableau C,</w:t>
            </w:r>
          </w:p>
          <w:p w:rsidR="00A93320" w:rsidRPr="00A93320" w:rsidRDefault="00A93320" w:rsidP="00A93320">
            <w:pPr>
              <w:widowControl w:val="0"/>
              <w:suppressAutoHyphens w:val="0"/>
              <w:overflowPunct w:val="0"/>
              <w:autoSpaceDE w:val="0"/>
              <w:autoSpaceDN w:val="0"/>
              <w:adjustRightInd w:val="0"/>
              <w:spacing w:after="120"/>
              <w:ind w:right="567"/>
              <w:textAlignment w:val="baseline"/>
              <w:rPr>
                <w:color w:val="000000"/>
                <w:lang w:val="fr-FR"/>
              </w:rPr>
            </w:pPr>
            <w:r w:rsidRPr="00A93320">
              <w:rPr>
                <w:bCs/>
                <w:color w:val="000000"/>
                <w:lang w:val="fr-FR" w:eastAsia="fr-FR"/>
              </w:rPr>
              <w:t>N</w:t>
            </w:r>
            <w:r w:rsidRPr="00A93320">
              <w:rPr>
                <w:snapToGrid w:val="0"/>
                <w:color w:val="000000"/>
                <w:lang w:val="fr-FR" w:eastAsia="fr-FR"/>
              </w:rPr>
              <w:t>ote explicative pour la colonne (5)</w:t>
            </w:r>
          </w:p>
        </w:tc>
      </w:tr>
      <w:tr w:rsidR="00A93320" w:rsidRPr="00A93320" w:rsidTr="00A93320">
        <w:trPr>
          <w:jc w:val="center"/>
        </w:trPr>
        <w:tc>
          <w:tcPr>
            <w:tcW w:w="2405" w:type="dxa"/>
          </w:tcPr>
          <w:p w:rsidR="00A93320" w:rsidRPr="00A93320" w:rsidRDefault="00A93320" w:rsidP="00D352BF">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Documents connexes :</w:t>
            </w:r>
          </w:p>
        </w:tc>
        <w:tc>
          <w:tcPr>
            <w:tcW w:w="7234" w:type="dxa"/>
          </w:tcPr>
          <w:p w:rsidR="00A93320" w:rsidRPr="00A93320" w:rsidRDefault="006154AB" w:rsidP="00D352BF">
            <w:pPr>
              <w:widowControl w:val="0"/>
              <w:suppressAutoHyphens w:val="0"/>
              <w:overflowPunct w:val="0"/>
              <w:autoSpaceDE w:val="0"/>
              <w:autoSpaceDN w:val="0"/>
              <w:adjustRightInd w:val="0"/>
              <w:ind w:right="567"/>
              <w:jc w:val="both"/>
              <w:textAlignment w:val="baseline"/>
              <w:rPr>
                <w:bCs/>
                <w:color w:val="000000"/>
                <w:lang w:val="en-GB" w:eastAsia="fr-FR"/>
              </w:rPr>
            </w:pPr>
            <w:r>
              <w:rPr>
                <w:bCs/>
                <w:color w:val="000000"/>
                <w:lang w:val="en-GB" w:eastAsia="fr-FR"/>
              </w:rPr>
              <w:t>ECE</w:t>
            </w:r>
            <w:r w:rsidR="00A93320" w:rsidRPr="00A93320">
              <w:rPr>
                <w:bCs/>
                <w:color w:val="000000"/>
                <w:lang w:val="en-GB" w:eastAsia="fr-FR"/>
              </w:rPr>
              <w:t>/</w:t>
            </w:r>
            <w:r>
              <w:rPr>
                <w:bCs/>
                <w:color w:val="000000"/>
                <w:lang w:val="en-GB" w:eastAsia="fr-FR"/>
              </w:rPr>
              <w:t>TRANS/</w:t>
            </w:r>
            <w:r w:rsidR="00A93320" w:rsidRPr="00A93320">
              <w:rPr>
                <w:bCs/>
                <w:color w:val="000000"/>
                <w:lang w:val="en-GB" w:eastAsia="fr-FR"/>
              </w:rPr>
              <w:t>WP.15/AC.2/2016/36</w:t>
            </w:r>
          </w:p>
          <w:p w:rsidR="00A93320" w:rsidRPr="00A93320" w:rsidRDefault="00A93320" w:rsidP="00D352BF">
            <w:pPr>
              <w:widowControl w:val="0"/>
              <w:suppressAutoHyphens w:val="0"/>
              <w:overflowPunct w:val="0"/>
              <w:autoSpaceDE w:val="0"/>
              <w:autoSpaceDN w:val="0"/>
              <w:adjustRightInd w:val="0"/>
              <w:spacing w:after="120"/>
              <w:ind w:right="567"/>
              <w:jc w:val="both"/>
              <w:textAlignment w:val="baseline"/>
              <w:rPr>
                <w:color w:val="000000"/>
                <w:lang w:val="fr-FR"/>
              </w:rPr>
            </w:pPr>
            <w:r w:rsidRPr="00A93320">
              <w:rPr>
                <w:bCs/>
                <w:color w:val="000000"/>
                <w:lang w:val="en-GB" w:eastAsia="fr-FR"/>
              </w:rPr>
              <w:t xml:space="preserve">ECE/TRANS/WP.15/AC.2/60, para. </w:t>
            </w:r>
            <w:r w:rsidRPr="00A93320">
              <w:rPr>
                <w:bCs/>
                <w:color w:val="000000"/>
                <w:lang w:val="fr-FR" w:eastAsia="fr-FR"/>
              </w:rPr>
              <w:t>15</w:t>
            </w:r>
          </w:p>
        </w:tc>
      </w:tr>
    </w:tbl>
    <w:p w:rsidR="00A93320" w:rsidRPr="00A93320" w:rsidRDefault="00A93320" w:rsidP="00A93320">
      <w:pPr>
        <w:pStyle w:val="HChG"/>
        <w:rPr>
          <w:lang w:val="fr-FR"/>
        </w:rPr>
      </w:pPr>
      <w:r>
        <w:rPr>
          <w:lang w:val="fr-FR"/>
        </w:rPr>
        <w:lastRenderedPageBreak/>
        <w:tab/>
      </w:r>
      <w:r w:rsidRPr="00A93320">
        <w:rPr>
          <w:lang w:val="fr-FR"/>
        </w:rPr>
        <w:t>I.</w:t>
      </w:r>
      <w:r w:rsidRPr="00A93320">
        <w:rPr>
          <w:lang w:val="fr-FR"/>
        </w:rPr>
        <w:tab/>
      </w:r>
      <w:r w:rsidRPr="00A93320">
        <w:t>Introduction</w:t>
      </w:r>
    </w:p>
    <w:p w:rsidR="00A93320" w:rsidRPr="00A93320" w:rsidRDefault="00A93320" w:rsidP="00A93320">
      <w:pPr>
        <w:pStyle w:val="SingleTxtG"/>
        <w:rPr>
          <w:lang w:val="fr-FR"/>
        </w:rPr>
      </w:pPr>
      <w:r w:rsidRPr="00A93320">
        <w:rPr>
          <w:lang w:val="fr-FR"/>
        </w:rPr>
        <w:t>1.</w:t>
      </w:r>
      <w:r w:rsidRPr="00A93320">
        <w:rPr>
          <w:lang w:val="fr-FR"/>
        </w:rPr>
        <w:tab/>
        <w:t xml:space="preserve">Lors de sa </w:t>
      </w:r>
      <w:r w:rsidR="00D736F3">
        <w:rPr>
          <w:lang w:val="fr-FR"/>
        </w:rPr>
        <w:t>vingt-neuvième</w:t>
      </w:r>
      <w:r w:rsidRPr="00A93320">
        <w:rPr>
          <w:lang w:val="fr-FR"/>
        </w:rPr>
        <w:t xml:space="preserve"> session, le Comité de sécurité a considéré que</w:t>
      </w:r>
      <w:r>
        <w:rPr>
          <w:lang w:val="fr-FR"/>
        </w:rPr>
        <w:t>, pour l’indication du danger «CMR</w:t>
      </w:r>
      <w:r w:rsidRPr="00A93320">
        <w:rPr>
          <w:lang w:val="fr-FR"/>
        </w:rPr>
        <w:t>» d’une matière dangereuse dans la colonne (5) du tableau C, sous-section 3.2.3.1 de l’ADN, seules les catégories 1A et 1B du GHS sont pertinentes. La catégorie 2 ne doit pas être prise en compte.</w:t>
      </w:r>
    </w:p>
    <w:p w:rsidR="00A93320" w:rsidRPr="00A93320" w:rsidRDefault="00A93320" w:rsidP="00A93320">
      <w:pPr>
        <w:pStyle w:val="SingleTxtG"/>
        <w:rPr>
          <w:lang w:val="fr-FR"/>
        </w:rPr>
      </w:pPr>
      <w:r w:rsidRPr="00A93320">
        <w:rPr>
          <w:lang w:val="fr-FR"/>
        </w:rPr>
        <w:t xml:space="preserve">2. </w:t>
      </w:r>
      <w:r w:rsidRPr="00A93320">
        <w:rPr>
          <w:lang w:val="fr-FR"/>
        </w:rPr>
        <w:tab/>
        <w:t>La délégation allemande a été invitée à soumettre une demande de modification correspondante pour l’ADN 2019, afin de clarifier cette question.</w:t>
      </w:r>
    </w:p>
    <w:p w:rsidR="00A93320" w:rsidRPr="00A93320" w:rsidRDefault="00A93320" w:rsidP="00A93320">
      <w:pPr>
        <w:pStyle w:val="HChG"/>
        <w:rPr>
          <w:lang w:val="fr-FR"/>
        </w:rPr>
      </w:pPr>
      <w:r>
        <w:rPr>
          <w:lang w:val="fr-FR"/>
        </w:rPr>
        <w:tab/>
      </w:r>
      <w:r w:rsidRPr="00A93320">
        <w:rPr>
          <w:lang w:val="fr-FR"/>
        </w:rPr>
        <w:t>II.</w:t>
      </w:r>
      <w:r w:rsidRPr="00A93320">
        <w:rPr>
          <w:lang w:val="fr-FR"/>
        </w:rPr>
        <w:tab/>
        <w:t>Proposition</w:t>
      </w:r>
    </w:p>
    <w:p w:rsidR="00A93320" w:rsidRPr="00A93320" w:rsidRDefault="00A93320" w:rsidP="00A93320">
      <w:pPr>
        <w:pStyle w:val="SingleTxtG"/>
        <w:rPr>
          <w:lang w:val="fr-FR"/>
        </w:rPr>
      </w:pPr>
      <w:r w:rsidRPr="00A93320">
        <w:rPr>
          <w:lang w:val="fr-FR"/>
        </w:rPr>
        <w:t>3.</w:t>
      </w:r>
      <w:r w:rsidRPr="00A93320">
        <w:rPr>
          <w:lang w:val="fr-FR"/>
        </w:rPr>
        <w:tab/>
        <w:t xml:space="preserve">Modifier la sous-section 3.2.3.1 de l’ADN </w:t>
      </w:r>
      <w:r>
        <w:rPr>
          <w:lang w:val="fr-FR"/>
        </w:rPr>
        <w:t xml:space="preserve">comme </w:t>
      </w:r>
      <w:proofErr w:type="gramStart"/>
      <w:r>
        <w:rPr>
          <w:lang w:val="fr-FR"/>
        </w:rPr>
        <w:t>suit</w:t>
      </w:r>
      <w:r w:rsidRPr="00A93320">
        <w:rPr>
          <w:lang w:val="fr-FR"/>
        </w:rPr>
        <w:t>:</w:t>
      </w:r>
      <w:proofErr w:type="gramEnd"/>
    </w:p>
    <w:p w:rsidR="00A93320" w:rsidRPr="00A93320" w:rsidRDefault="00A93320" w:rsidP="00A93320">
      <w:pPr>
        <w:pStyle w:val="SingleTxtG"/>
        <w:rPr>
          <w:lang w:val="fr-FR"/>
        </w:rPr>
      </w:pPr>
      <w:r>
        <w:rPr>
          <w:lang w:val="fr-FR"/>
        </w:rPr>
        <w:t>«Colonne (5) «Dangers</w:t>
      </w:r>
      <w:r w:rsidRPr="00A93320">
        <w:rPr>
          <w:lang w:val="fr-FR"/>
        </w:rPr>
        <w:t>»</w:t>
      </w:r>
    </w:p>
    <w:p w:rsidR="00A93320" w:rsidRPr="00A93320" w:rsidRDefault="00A93320" w:rsidP="00A93320">
      <w:pPr>
        <w:pStyle w:val="SingleTxtG"/>
        <w:rPr>
          <w:lang w:val="fr-FR"/>
        </w:rPr>
      </w:pPr>
      <w:r w:rsidRPr="00A93320">
        <w:rPr>
          <w:lang w:val="fr-FR"/>
        </w:rPr>
        <w:t>Cette colonne contient des informations concernant les dangers de la matière dangereuse. Ces dangers sont repris en général sur la base des étiquettes de danger du tableau A, colonne 5.</w:t>
      </w:r>
    </w:p>
    <w:p w:rsidR="00A93320" w:rsidRPr="00A93320" w:rsidRDefault="00A93320" w:rsidP="00A93320">
      <w:pPr>
        <w:pStyle w:val="SingleTxtG"/>
        <w:rPr>
          <w:lang w:val="fr-FR"/>
        </w:rPr>
      </w:pPr>
      <w:r w:rsidRPr="00A93320">
        <w:rPr>
          <w:lang w:val="fr-FR"/>
        </w:rPr>
        <w:t>Lorsqu’il s’agit d’une matière chimiquement instable, ces indications sont complétées par le code '</w:t>
      </w:r>
      <w:proofErr w:type="spellStart"/>
      <w:r w:rsidRPr="00A93320">
        <w:rPr>
          <w:lang w:val="fr-FR"/>
        </w:rPr>
        <w:t>inst</w:t>
      </w:r>
      <w:proofErr w:type="spellEnd"/>
      <w:r w:rsidRPr="00A93320">
        <w:rPr>
          <w:lang w:val="fr-FR"/>
        </w:rPr>
        <w:t>.'.</w:t>
      </w:r>
    </w:p>
    <w:p w:rsidR="00A93320" w:rsidRPr="00A93320" w:rsidRDefault="00A93320" w:rsidP="00A93320">
      <w:pPr>
        <w:pStyle w:val="SingleTxtG"/>
        <w:rPr>
          <w:lang w:val="fr-FR"/>
        </w:rPr>
      </w:pPr>
      <w:r w:rsidRPr="00A93320">
        <w:rPr>
          <w:lang w:val="fr-FR"/>
        </w:rPr>
        <w:t>Lorsqu’il s’agit d’une matière ou d’un mélange dangereux du point de vue de l’environnement aquatique, ces indications sont complétées par le code 'N1', 'N2' ou 'N3'.</w:t>
      </w:r>
    </w:p>
    <w:p w:rsidR="00A93320" w:rsidRPr="00A93320" w:rsidRDefault="00A93320" w:rsidP="00A93320">
      <w:pPr>
        <w:pStyle w:val="SingleTxtG"/>
        <w:rPr>
          <w:lang w:val="fr-FR"/>
        </w:rPr>
      </w:pPr>
      <w:r w:rsidRPr="00A93320">
        <w:rPr>
          <w:lang w:val="fr-FR"/>
        </w:rPr>
        <w:t xml:space="preserve">Lorsqu’il s’agit d’une matière ou d’un mélange avec des caractéristiques CMR </w:t>
      </w:r>
      <w:r w:rsidRPr="00A93320">
        <w:rPr>
          <w:u w:val="single"/>
          <w:lang w:val="fr-FR"/>
        </w:rPr>
        <w:t>selon les critères des catégories 1A ou 1B des chapitres 3.5, 3.6 et 3.7 du SGH</w:t>
      </w:r>
      <w:r w:rsidRPr="00A93320">
        <w:rPr>
          <w:lang w:val="fr-FR"/>
        </w:rPr>
        <w:t>, ces indications sont complétées par le code 'CMR'.</w:t>
      </w:r>
    </w:p>
    <w:p w:rsidR="00A93320" w:rsidRPr="00A93320" w:rsidRDefault="00A93320" w:rsidP="00A93320">
      <w:pPr>
        <w:pStyle w:val="SingleTxtG"/>
        <w:rPr>
          <w:lang w:val="fr-FR"/>
        </w:rPr>
      </w:pPr>
      <w:r w:rsidRPr="00A93320">
        <w:rPr>
          <w:lang w:val="fr-FR"/>
        </w:rPr>
        <w:t>Lorsqu’il s’agit d’une matière ou d’un mélange qui surnage à la surface de l’eau, ne s’évapore pas et est difficilement soluble dans l’eau ou qui sombre au fond de l’eau et est difficilement soluble, ces indications sont complétées respectivement par le code 'F' (pour le terme anglais '</w:t>
      </w:r>
      <w:proofErr w:type="spellStart"/>
      <w:r w:rsidRPr="00A93320">
        <w:rPr>
          <w:lang w:val="fr-FR"/>
        </w:rPr>
        <w:t>Floater</w:t>
      </w:r>
      <w:proofErr w:type="spellEnd"/>
      <w:r w:rsidRPr="00A93320">
        <w:rPr>
          <w:lang w:val="fr-FR"/>
        </w:rPr>
        <w:t>') ou 'S' (p</w:t>
      </w:r>
      <w:r>
        <w:rPr>
          <w:lang w:val="fr-FR"/>
        </w:rPr>
        <w:t>our le terme anglais '</w:t>
      </w:r>
      <w:proofErr w:type="spellStart"/>
      <w:r>
        <w:rPr>
          <w:lang w:val="fr-FR"/>
        </w:rPr>
        <w:t>Sinker</w:t>
      </w:r>
      <w:proofErr w:type="spellEnd"/>
      <w:r>
        <w:rPr>
          <w:lang w:val="fr-FR"/>
        </w:rPr>
        <w:t>').</w:t>
      </w:r>
      <w:r w:rsidRPr="00A93320">
        <w:rPr>
          <w:lang w:val="fr-FR"/>
        </w:rPr>
        <w:t>».</w:t>
      </w:r>
    </w:p>
    <w:p w:rsidR="00A93320" w:rsidRPr="00A93320" w:rsidRDefault="00A93320" w:rsidP="00A93320">
      <w:pPr>
        <w:pStyle w:val="HChG"/>
        <w:rPr>
          <w:lang w:val="fr-FR" w:eastAsia="fr-FR"/>
        </w:rPr>
      </w:pPr>
      <w:r>
        <w:rPr>
          <w:lang w:val="fr-FR" w:eastAsia="fr-FR"/>
        </w:rPr>
        <w:tab/>
      </w:r>
      <w:r w:rsidRPr="00A93320">
        <w:rPr>
          <w:lang w:val="fr-FR" w:eastAsia="fr-FR"/>
        </w:rPr>
        <w:t>III.</w:t>
      </w:r>
      <w:r w:rsidRPr="00A93320">
        <w:rPr>
          <w:lang w:val="fr-FR" w:eastAsia="fr-FR"/>
        </w:rPr>
        <w:tab/>
        <w:t>Motif</w:t>
      </w:r>
    </w:p>
    <w:p w:rsidR="00A93320" w:rsidRPr="00A93320" w:rsidRDefault="00A93320" w:rsidP="00A93320">
      <w:pPr>
        <w:pStyle w:val="SingleTxtG"/>
        <w:rPr>
          <w:lang w:val="fr-FR"/>
        </w:rPr>
      </w:pPr>
      <w:r w:rsidRPr="00A93320">
        <w:rPr>
          <w:lang w:val="fr-FR"/>
        </w:rPr>
        <w:t>4.</w:t>
      </w:r>
      <w:r w:rsidRPr="00A93320">
        <w:rPr>
          <w:lang w:val="fr-FR"/>
        </w:rPr>
        <w:tab/>
        <w:t>La modification est conforme aux textes correspondants dans le diagramme de décision, sous-section 3.2.3.3 de l’ADN, 3</w:t>
      </w:r>
      <w:r w:rsidRPr="00A93320">
        <w:rPr>
          <w:vertAlign w:val="superscript"/>
          <w:lang w:val="fr-FR"/>
        </w:rPr>
        <w:t>ème</w:t>
      </w:r>
      <w:r w:rsidRPr="00A93320">
        <w:rPr>
          <w:lang w:val="fr-FR"/>
        </w:rPr>
        <w:t xml:space="preserve"> encadré, point 6 et dans la formule pour les demandes d’autorisations spéciales, sous-section 3.2.4.2 de l’ADN, numéro 4.1, et elle assure la clarification nécessaire. Il s’agit ici, d’après les documents de demande initiaux po</w:t>
      </w:r>
      <w:r>
        <w:rPr>
          <w:lang w:val="fr-FR"/>
        </w:rPr>
        <w:t>ur l’incorporation du critère «CMR</w:t>
      </w:r>
      <w:r w:rsidRPr="00A93320">
        <w:rPr>
          <w:lang w:val="fr-FR"/>
        </w:rPr>
        <w:t>» dans le Règlement, d’une suppression accidentelle.</w:t>
      </w:r>
    </w:p>
    <w:p w:rsidR="00A93320" w:rsidRPr="00A93320" w:rsidRDefault="00A93320" w:rsidP="00A93320">
      <w:pPr>
        <w:pStyle w:val="HChG"/>
        <w:rPr>
          <w:lang w:val="fr-FR"/>
        </w:rPr>
      </w:pPr>
      <w:r>
        <w:rPr>
          <w:lang w:val="fr-FR"/>
        </w:rPr>
        <w:tab/>
      </w:r>
      <w:r w:rsidRPr="00A93320">
        <w:rPr>
          <w:lang w:val="fr-FR"/>
        </w:rPr>
        <w:t>IV.</w:t>
      </w:r>
      <w:r w:rsidRPr="00A93320">
        <w:rPr>
          <w:lang w:val="fr-FR"/>
        </w:rPr>
        <w:tab/>
        <w:t>Sécurité</w:t>
      </w:r>
    </w:p>
    <w:p w:rsidR="00A93320" w:rsidRPr="00A93320" w:rsidRDefault="00A93320" w:rsidP="00A93320">
      <w:pPr>
        <w:pStyle w:val="SingleTxtG"/>
        <w:rPr>
          <w:lang w:val="fr-FR"/>
        </w:rPr>
      </w:pPr>
      <w:r w:rsidRPr="00A93320">
        <w:rPr>
          <w:lang w:val="fr-FR"/>
        </w:rPr>
        <w:t>5.</w:t>
      </w:r>
      <w:r w:rsidRPr="00A93320">
        <w:rPr>
          <w:lang w:val="fr-FR"/>
        </w:rPr>
        <w:tab/>
        <w:t>La sécurité du transport n’est pas affectée par cette modification. Il s’agit uniquement d’une clarification de ce que veut le Règlement. Pour la classification d’une matière ou d’un mélange dans la catégorie CMR 2 du GHS, il existe uniquement des remarques, mais pas d’indices suffisants d’un effet cancérigène, mutagène ou toxique pour la reproduction. Une prise en compte dans le tableau C, avec ses conséquences pour le choix de bateaux plus coûteux, serait disproportionnée.</w:t>
      </w:r>
    </w:p>
    <w:p w:rsidR="00A93320" w:rsidRPr="00A93320" w:rsidRDefault="00A93320" w:rsidP="00A93320">
      <w:pPr>
        <w:pStyle w:val="HChG"/>
        <w:rPr>
          <w:snapToGrid w:val="0"/>
          <w:lang w:val="fr-FR" w:eastAsia="fr-FR"/>
        </w:rPr>
      </w:pPr>
      <w:r>
        <w:rPr>
          <w:snapToGrid w:val="0"/>
          <w:lang w:val="fr-FR" w:eastAsia="fr-FR"/>
        </w:rPr>
        <w:lastRenderedPageBreak/>
        <w:tab/>
      </w:r>
      <w:r w:rsidRPr="00A93320">
        <w:rPr>
          <w:snapToGrid w:val="0"/>
          <w:lang w:val="fr-FR" w:eastAsia="fr-FR"/>
        </w:rPr>
        <w:t>V.</w:t>
      </w:r>
      <w:r w:rsidRPr="00A93320">
        <w:rPr>
          <w:snapToGrid w:val="0"/>
          <w:lang w:val="fr-FR" w:eastAsia="fr-FR"/>
        </w:rPr>
        <w:tab/>
        <w:t>Mise en œuvre</w:t>
      </w:r>
    </w:p>
    <w:p w:rsidR="00A93320" w:rsidRPr="00A93320" w:rsidRDefault="00A93320" w:rsidP="00A93320">
      <w:pPr>
        <w:pStyle w:val="SingleTxtG"/>
        <w:rPr>
          <w:lang w:val="fr-FR"/>
        </w:rPr>
      </w:pPr>
      <w:r w:rsidRPr="00A93320">
        <w:rPr>
          <w:lang w:val="fr-FR"/>
        </w:rPr>
        <w:t>6.</w:t>
      </w:r>
      <w:r w:rsidRPr="00A93320">
        <w:rPr>
          <w:lang w:val="fr-FR"/>
        </w:rPr>
        <w:tab/>
        <w:t>On ne s’attend ni à des modifications techniques, ni à des investissements du monde économique, ni à des charges pour les autorités. L’examen de la rubrique à laquelle il faut affecter une matière donnée à transporter de la catégorie 2 ayant des caractéristiques CMR pourrait engendrer des modifications et éventuellement des simplifications pour les exigences concernant le type minimal de bateau à utiliser.</w:t>
      </w:r>
    </w:p>
    <w:p w:rsidR="008E0108" w:rsidRPr="008E0108" w:rsidRDefault="008E0108" w:rsidP="008E0108">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E0108" w:rsidRPr="008E010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4C448D">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615BE9">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w:t>
      </w:r>
      <w:r w:rsidR="00A93320">
        <w:t>6</w:t>
      </w:r>
      <w:r w:rsidRPr="008E0108">
        <w:t>.</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A93320">
      <w:rPr>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8E0108">
      <w:rPr>
        <w:lang w:val="en-GB"/>
      </w:rPr>
      <w:t>2/2017</w:t>
    </w:r>
    <w:r w:rsidR="00A93320">
      <w:rPr>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C448D"/>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54AB"/>
    <w:rsid w:val="00615BE9"/>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7297"/>
    <w:rsid w:val="00D27D5E"/>
    <w:rsid w:val="00D34270"/>
    <w:rsid w:val="00D352BF"/>
    <w:rsid w:val="00D40906"/>
    <w:rsid w:val="00D41B47"/>
    <w:rsid w:val="00D428F9"/>
    <w:rsid w:val="00D440EE"/>
    <w:rsid w:val="00D47F24"/>
    <w:rsid w:val="00D52A86"/>
    <w:rsid w:val="00D60301"/>
    <w:rsid w:val="00D72874"/>
    <w:rsid w:val="00D736F3"/>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C7AF8"/>
    <w:rsid w:val="00ED265E"/>
    <w:rsid w:val="00ED7BEB"/>
    <w:rsid w:val="00EE2EA3"/>
    <w:rsid w:val="00EE43A7"/>
    <w:rsid w:val="00EE7E0C"/>
    <w:rsid w:val="00EF041A"/>
    <w:rsid w:val="00F01516"/>
    <w:rsid w:val="00F03FFA"/>
    <w:rsid w:val="00F100D6"/>
    <w:rsid w:val="00F12577"/>
    <w:rsid w:val="00F132B9"/>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543993B4"/>
  <w15:docId w15:val="{0AA8A849-EC06-4FD9-AB6D-5DE2ABD4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F499-47D4-4340-9930-51E5152E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9</TotalTime>
  <Pages>3</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9</cp:revision>
  <cp:lastPrinted>2016-05-30T13:37:00Z</cp:lastPrinted>
  <dcterms:created xsi:type="dcterms:W3CDTF">2016-11-01T17:27:00Z</dcterms:created>
  <dcterms:modified xsi:type="dcterms:W3CDTF">2016-11-09T13:50:00Z</dcterms:modified>
</cp:coreProperties>
</file>