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Pr="00B40749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D550A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2518224A" wp14:editId="29E830F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4074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D723A2">
        <w:rPr>
          <w:rFonts w:ascii="Arial" w:eastAsia="Arial" w:hAnsi="Arial" w:cs="Arial"/>
          <w:bCs/>
          <w:snapToGrid/>
          <w:szCs w:val="24"/>
          <w:lang w:val="en-US" w:eastAsia="de-DE"/>
        </w:rPr>
        <w:t>27</w:t>
      </w:r>
    </w:p>
    <w:p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2D550A" w:rsidRDefault="00D723A2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24</w:t>
      </w:r>
      <w:r w:rsidR="003A5281">
        <w:rPr>
          <w:rFonts w:ascii="Arial" w:eastAsia="Arial" w:hAnsi="Arial" w:cs="Arial"/>
          <w:snapToGrid/>
          <w:szCs w:val="24"/>
          <w:lang w:val="de-DE" w:eastAsia="de-DE"/>
        </w:rPr>
        <w:t>. M</w:t>
      </w:r>
      <w:r>
        <w:rPr>
          <w:rFonts w:ascii="Arial" w:eastAsia="Arial" w:hAnsi="Arial" w:cs="Arial"/>
          <w:snapToGrid/>
          <w:szCs w:val="24"/>
          <w:lang w:val="de-DE" w:eastAsia="de-DE"/>
        </w:rPr>
        <w:t>ai</w:t>
      </w:r>
      <w:r w:rsidR="003A5281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2D550A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. DEUTSCH</w:t>
      </w: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>(</w:t>
      </w:r>
      <w:r w:rsidR="003A5281">
        <w:rPr>
          <w:rFonts w:ascii="Arial" w:hAnsi="Arial"/>
          <w:sz w:val="16"/>
          <w:szCs w:val="24"/>
          <w:lang w:val="de-DE"/>
        </w:rPr>
        <w:t>31</w:t>
      </w:r>
      <w:r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78695C">
        <w:rPr>
          <w:rFonts w:ascii="Arial" w:hAnsi="Arial"/>
          <w:noProof/>
          <w:sz w:val="16"/>
          <w:szCs w:val="24"/>
          <w:lang w:val="de-DE"/>
        </w:rPr>
        <w:t>28. bis 31</w:t>
      </w:r>
      <w:r w:rsidR="00852F91">
        <w:rPr>
          <w:rFonts w:ascii="Arial" w:hAnsi="Arial"/>
          <w:noProof/>
          <w:sz w:val="16"/>
          <w:szCs w:val="24"/>
          <w:lang w:val="de-DE"/>
        </w:rPr>
        <w:t>. August 2017</w:t>
      </w:r>
      <w:r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D723A2">
        <w:rPr>
          <w:rFonts w:ascii="Arial" w:hAnsi="Arial" w:cs="Arial"/>
          <w:snapToGrid/>
          <w:sz w:val="16"/>
          <w:szCs w:val="16"/>
          <w:lang w:val="de-DE" w:eastAsia="en-US"/>
        </w:rPr>
        <w:t>4 b)</w:t>
      </w: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DC4C63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</w:t>
      </w:r>
      <w:r w:rsidR="00EE1D86" w:rsidRPr="002D550A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Vorschläge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</w:p>
    <w:p w:rsidR="009F0D42" w:rsidRDefault="009F0D42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Arial" w:hAnsi="Arial"/>
          <w:snapToGrid/>
          <w:color w:val="000000"/>
          <w:sz w:val="22"/>
          <w:lang w:val="de-DE"/>
        </w:rPr>
      </w:pPr>
    </w:p>
    <w:p w:rsidR="002D0919" w:rsidRPr="00453575" w:rsidRDefault="002D0919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Arial" w:hAnsi="Arial"/>
          <w:snapToGrid/>
          <w:color w:val="000000"/>
          <w:sz w:val="22"/>
          <w:lang w:val="de-DE"/>
        </w:rPr>
      </w:pPr>
    </w:p>
    <w:p w:rsidR="008623E4" w:rsidRPr="002D550A" w:rsidRDefault="009F0D42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  <w:r w:rsidRPr="00453575">
        <w:rPr>
          <w:b/>
          <w:bCs/>
          <w:snapToGrid/>
          <w:sz w:val="28"/>
          <w:szCs w:val="24"/>
          <w:lang w:val="de-DE"/>
        </w:rPr>
        <w:tab/>
      </w:r>
      <w:r w:rsidRPr="00453575">
        <w:rPr>
          <w:b/>
          <w:bCs/>
          <w:snapToGrid/>
          <w:sz w:val="28"/>
          <w:szCs w:val="24"/>
          <w:lang w:val="de-DE"/>
        </w:rPr>
        <w:tab/>
      </w:r>
      <w:r w:rsidR="00F30F09">
        <w:rPr>
          <w:b/>
          <w:bCs/>
          <w:snapToGrid/>
          <w:sz w:val="28"/>
          <w:szCs w:val="24"/>
          <w:lang w:val="de-DE"/>
        </w:rPr>
        <w:t>Unterabschnitt 8.3.5 – Arbeiten an Bord</w:t>
      </w:r>
    </w:p>
    <w:p w:rsidR="00EE1D86" w:rsidRPr="003A5281" w:rsidRDefault="009F0D42" w:rsidP="00EE1D86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/>
        </w:rPr>
      </w:pPr>
      <w:r w:rsidRPr="002D550A">
        <w:rPr>
          <w:b/>
          <w:snapToGrid/>
          <w:sz w:val="24"/>
          <w:lang w:val="de-DE"/>
        </w:rPr>
        <w:tab/>
      </w:r>
      <w:r w:rsidRPr="002D550A">
        <w:rPr>
          <w:b/>
          <w:snapToGrid/>
          <w:sz w:val="24"/>
          <w:lang w:val="de-DE"/>
        </w:rPr>
        <w:tab/>
      </w:r>
      <w:r w:rsidR="00EE1D86" w:rsidRPr="003A5281">
        <w:rPr>
          <w:b/>
          <w:snapToGrid/>
          <w:sz w:val="24"/>
          <w:lang w:val="de-DE"/>
        </w:rPr>
        <w:t>Vorgelegt von Deutschland</w:t>
      </w:r>
      <w:r w:rsidR="00EE1D86" w:rsidRPr="00FF2FF5">
        <w:rPr>
          <w:b/>
          <w:noProof/>
          <w:sz w:val="18"/>
          <w:szCs w:val="24"/>
          <w:vertAlign w:val="superscript"/>
          <w:lang w:val="de-DE"/>
        </w:rPr>
        <w:footnoteReference w:id="2"/>
      </w:r>
      <w:r w:rsidR="00FF2FF5" w:rsidRPr="00FF2FF5">
        <w:rPr>
          <w:b/>
          <w:noProof/>
          <w:sz w:val="18"/>
          <w:szCs w:val="24"/>
          <w:vertAlign w:val="superscript"/>
          <w:lang w:val="de-DE"/>
        </w:rPr>
        <w:t>,</w:t>
      </w:r>
      <w:r w:rsidR="00FF2FF5" w:rsidRPr="00FF2FF5">
        <w:rPr>
          <w:b/>
          <w:noProof/>
          <w:sz w:val="18"/>
          <w:szCs w:val="24"/>
          <w:vertAlign w:val="superscript"/>
          <w:lang w:val="de-DE"/>
        </w:rPr>
        <w:footnoteReference w:id="3"/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360" w:lineRule="auto"/>
        <w:ind w:right="567"/>
        <w:jc w:val="both"/>
        <w:textAlignment w:val="baseline"/>
        <w:rPr>
          <w:bCs/>
          <w:snapToGrid/>
          <w:sz w:val="22"/>
          <w:szCs w:val="18"/>
          <w:lang w:val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6307"/>
      </w:tblGrid>
      <w:tr w:rsidR="00FD5786" w:rsidRPr="00F30F09" w:rsidTr="008B53F4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rFonts w:eastAsia="Arial"/>
                <w:i/>
                <w:snapToGrid/>
                <w:color w:val="000000"/>
                <w:lang w:val="de-DE" w:eastAsia="en-US"/>
              </w:rPr>
              <w:t>Zusammenfassung</w:t>
            </w:r>
          </w:p>
        </w:tc>
        <w:tc>
          <w:tcPr>
            <w:tcW w:w="6307" w:type="dxa"/>
          </w:tcPr>
          <w:p w:rsidR="00FD5786" w:rsidRPr="00FD5786" w:rsidRDefault="00FD5786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</w:p>
        </w:tc>
      </w:tr>
      <w:tr w:rsidR="00FD5786" w:rsidRPr="004063A4" w:rsidTr="008B53F4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Analytische</w:t>
            </w:r>
          </w:p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Zusammenfassung:</w:t>
            </w:r>
          </w:p>
        </w:tc>
        <w:tc>
          <w:tcPr>
            <w:tcW w:w="6307" w:type="dxa"/>
          </w:tcPr>
          <w:p w:rsidR="00FD5786" w:rsidRPr="00FD5786" w:rsidRDefault="00B81900" w:rsidP="002D09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>Nach dem Beschluss des ADN-Sicherheit</w:t>
            </w:r>
            <w:r w:rsidR="004063A4">
              <w:rPr>
                <w:bCs/>
                <w:snapToGrid/>
                <w:color w:val="000000"/>
                <w:lang w:val="de-DE"/>
              </w:rPr>
              <w:t>s</w:t>
            </w:r>
            <w:r>
              <w:rPr>
                <w:bCs/>
                <w:snapToGrid/>
                <w:color w:val="000000"/>
                <w:lang w:val="de-DE"/>
              </w:rPr>
              <w:t>ausschusses in seiner 30.</w:t>
            </w:r>
            <w:r w:rsidR="002D0919">
              <w:rPr>
                <w:bCs/>
                <w:snapToGrid/>
                <w:color w:val="000000"/>
                <w:lang w:val="de-DE"/>
              </w:rPr>
              <w:t> </w:t>
            </w:r>
            <w:r>
              <w:rPr>
                <w:bCs/>
                <w:snapToGrid/>
                <w:color w:val="000000"/>
                <w:lang w:val="de-DE"/>
              </w:rPr>
              <w:t>Sitzung soll Abschnitt 8.3.5 ADN um eine Bemerkung mit dem Hinweis auf andere zu beachtende Rechtsvorschriften ergänzt werden.</w:t>
            </w:r>
          </w:p>
        </w:tc>
      </w:tr>
      <w:tr w:rsidR="00FD5786" w:rsidRPr="004063A4" w:rsidTr="008B53F4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Zu ergreifende</w:t>
            </w:r>
          </w:p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Maßnahme:</w:t>
            </w:r>
          </w:p>
        </w:tc>
        <w:tc>
          <w:tcPr>
            <w:tcW w:w="6307" w:type="dxa"/>
          </w:tcPr>
          <w:p w:rsidR="00FD5786" w:rsidRPr="00FD5786" w:rsidRDefault="001F445F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>Ergänzung einer Bem. am Ende von Abschnitt 8.3.5 ADN.</w:t>
            </w:r>
          </w:p>
        </w:tc>
      </w:tr>
      <w:tr w:rsidR="00FD5786" w:rsidRPr="001F445F" w:rsidTr="008B53F4">
        <w:trPr>
          <w:jc w:val="center"/>
        </w:trPr>
        <w:tc>
          <w:tcPr>
            <w:tcW w:w="3332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Verbundene Dokumente:</w:t>
            </w:r>
          </w:p>
        </w:tc>
        <w:tc>
          <w:tcPr>
            <w:tcW w:w="6307" w:type="dxa"/>
          </w:tcPr>
          <w:p w:rsidR="001F445F" w:rsidRDefault="00F30F09" w:rsidP="001F445F">
            <w:pPr>
              <w:spacing w:line="240" w:lineRule="auto"/>
              <w:rPr>
                <w:bCs/>
                <w:snapToGrid/>
                <w:color w:val="000000"/>
                <w:lang w:val="en-US"/>
              </w:rPr>
            </w:pPr>
            <w:r w:rsidRPr="00041E8B">
              <w:rPr>
                <w:bCs/>
                <w:snapToGrid/>
                <w:color w:val="000000"/>
                <w:lang w:val="en-US"/>
              </w:rPr>
              <w:t xml:space="preserve">ECE/TRANS/WP.15/AC.2/62, </w:t>
            </w:r>
            <w:r w:rsidRPr="001F445F">
              <w:rPr>
                <w:bCs/>
                <w:snapToGrid/>
                <w:color w:val="000000"/>
                <w:lang w:val="en-US"/>
              </w:rPr>
              <w:t>Nr. 14</w:t>
            </w:r>
            <w:r w:rsidR="001F445F" w:rsidRPr="001F445F">
              <w:rPr>
                <w:bCs/>
                <w:snapToGrid/>
                <w:color w:val="000000"/>
                <w:lang w:val="en-US"/>
              </w:rPr>
              <w:t xml:space="preserve"> </w:t>
            </w:r>
          </w:p>
          <w:p w:rsidR="001F445F" w:rsidRPr="001F445F" w:rsidRDefault="00041E8B" w:rsidP="001F445F">
            <w:pPr>
              <w:spacing w:line="240" w:lineRule="auto"/>
              <w:rPr>
                <w:bCs/>
                <w:snapToGrid/>
                <w:color w:val="000000"/>
                <w:lang w:val="en-US"/>
              </w:rPr>
            </w:pPr>
            <w:r w:rsidRPr="002D0919">
              <w:rPr>
                <w:bCs/>
                <w:snapToGrid/>
                <w:color w:val="000000"/>
                <w:lang w:val="de-DE"/>
              </w:rPr>
              <w:t>ECE/TRANS/WP.15/AC.2</w:t>
            </w:r>
            <w:r w:rsidR="001F445F" w:rsidRPr="001F445F">
              <w:rPr>
                <w:bCs/>
                <w:snapToGrid/>
                <w:color w:val="000000"/>
                <w:lang w:val="en-US"/>
              </w:rPr>
              <w:t>/2016/30</w:t>
            </w:r>
          </w:p>
          <w:p w:rsidR="00906C0C" w:rsidRPr="001F445F" w:rsidRDefault="00906C0C" w:rsidP="00F30F09">
            <w:pPr>
              <w:spacing w:line="240" w:lineRule="auto"/>
              <w:rPr>
                <w:bCs/>
                <w:snapToGrid/>
                <w:color w:val="000000"/>
                <w:lang w:val="en-US"/>
              </w:rPr>
            </w:pPr>
          </w:p>
        </w:tc>
      </w:tr>
    </w:tbl>
    <w:p w:rsidR="00FD5786" w:rsidRPr="001F445F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en-US"/>
        </w:rPr>
      </w:pPr>
    </w:p>
    <w:p w:rsidR="00B83204" w:rsidRPr="001F445F" w:rsidRDefault="00B8320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en-US"/>
        </w:rPr>
      </w:pPr>
    </w:p>
    <w:p w:rsidR="00D723A2" w:rsidRDefault="00D723A2">
      <w:pPr>
        <w:suppressAutoHyphens w:val="0"/>
        <w:spacing w:line="240" w:lineRule="auto"/>
        <w:rPr>
          <w:b/>
          <w:bCs/>
          <w:snapToGrid/>
          <w:sz w:val="24"/>
          <w:szCs w:val="24"/>
          <w:lang w:val="de-DE"/>
        </w:rPr>
      </w:pPr>
      <w:r>
        <w:rPr>
          <w:b/>
          <w:bCs/>
          <w:snapToGrid/>
          <w:sz w:val="24"/>
          <w:szCs w:val="24"/>
          <w:lang w:val="de-DE"/>
        </w:rPr>
        <w:br w:type="page"/>
      </w:r>
    </w:p>
    <w:p w:rsidR="00FD5786" w:rsidRPr="002D0919" w:rsidRDefault="00B8320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sz w:val="24"/>
          <w:szCs w:val="24"/>
          <w:lang w:val="de-DE"/>
        </w:rPr>
      </w:pPr>
      <w:r w:rsidRPr="002D0919">
        <w:rPr>
          <w:b/>
          <w:bCs/>
          <w:snapToGrid/>
          <w:sz w:val="24"/>
          <w:szCs w:val="24"/>
          <w:lang w:val="de-DE"/>
        </w:rPr>
        <w:lastRenderedPageBreak/>
        <w:t>I.</w:t>
      </w:r>
      <w:r w:rsidRPr="002D0919">
        <w:rPr>
          <w:b/>
          <w:bCs/>
          <w:snapToGrid/>
          <w:sz w:val="24"/>
          <w:szCs w:val="24"/>
          <w:lang w:val="de-DE"/>
        </w:rPr>
        <w:tab/>
      </w:r>
      <w:r w:rsidR="00FD5786" w:rsidRPr="002D0919">
        <w:rPr>
          <w:b/>
          <w:bCs/>
          <w:snapToGrid/>
          <w:sz w:val="24"/>
          <w:szCs w:val="24"/>
          <w:lang w:val="de-DE"/>
        </w:rPr>
        <w:t>Einleitung</w:t>
      </w:r>
    </w:p>
    <w:p w:rsidR="00FD5786" w:rsidRPr="002D0919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</w:p>
    <w:p w:rsidR="003F1667" w:rsidRPr="002D0919" w:rsidRDefault="00D723A2" w:rsidP="00ED690C">
      <w:pPr>
        <w:rPr>
          <w:lang w:val="de-DE"/>
        </w:rPr>
      </w:pPr>
      <w:r w:rsidRPr="002D0919">
        <w:rPr>
          <w:lang w:val="de-DE"/>
        </w:rPr>
        <w:t>1.</w:t>
      </w:r>
      <w:r w:rsidRPr="002D0919">
        <w:rPr>
          <w:lang w:val="de-DE"/>
        </w:rPr>
        <w:tab/>
      </w:r>
      <w:r w:rsidR="00B81900" w:rsidRPr="002D0919">
        <w:rPr>
          <w:lang w:val="de-DE"/>
        </w:rPr>
        <w:t>Der ADN-Sicherheitsausschuss hat in seiner 30. Sitzung die Delegationen der Niederlande und Deutschlands gebeten, für Abschnitt 8.3.5 ADN eine Bemerkung vorzuschlagen, die ausdrücklich auf die Beachtung anderer einschlägiger Rechtsvorschriften au</w:t>
      </w:r>
      <w:r w:rsidR="00D8522A">
        <w:rPr>
          <w:lang w:val="de-DE"/>
        </w:rPr>
        <w:t>ß</w:t>
      </w:r>
      <w:r w:rsidR="00B81900" w:rsidRPr="002D0919">
        <w:rPr>
          <w:lang w:val="de-DE"/>
        </w:rPr>
        <w:t>erhalb des ADN hinweist.</w:t>
      </w:r>
    </w:p>
    <w:p w:rsidR="00DE10C7" w:rsidRDefault="00DE10C7" w:rsidP="00ED690C">
      <w:pPr>
        <w:rPr>
          <w:lang w:val="de-DE"/>
        </w:rPr>
      </w:pPr>
    </w:p>
    <w:p w:rsidR="002D0919" w:rsidRPr="002D0919" w:rsidRDefault="002D0919" w:rsidP="00ED690C">
      <w:pPr>
        <w:rPr>
          <w:lang w:val="de-DE"/>
        </w:rPr>
      </w:pPr>
    </w:p>
    <w:p w:rsidR="00FD5786" w:rsidRPr="002D0919" w:rsidRDefault="003151F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2D0919">
        <w:rPr>
          <w:b/>
          <w:snapToGrid/>
          <w:sz w:val="24"/>
          <w:szCs w:val="24"/>
          <w:lang w:val="de-DE"/>
        </w:rPr>
        <w:t>II.</w:t>
      </w:r>
      <w:r w:rsidRPr="002D0919">
        <w:rPr>
          <w:b/>
          <w:snapToGrid/>
          <w:sz w:val="24"/>
          <w:szCs w:val="24"/>
          <w:lang w:val="de-DE"/>
        </w:rPr>
        <w:tab/>
      </w:r>
      <w:r w:rsidR="00740C9B" w:rsidRPr="002D0919">
        <w:rPr>
          <w:b/>
          <w:snapToGrid/>
          <w:sz w:val="24"/>
          <w:szCs w:val="24"/>
          <w:lang w:val="de-DE"/>
        </w:rPr>
        <w:t>Vorschlag</w:t>
      </w:r>
    </w:p>
    <w:p w:rsidR="00FD5786" w:rsidRPr="002D0919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D30118" w:rsidRPr="002D0919" w:rsidRDefault="00D723A2" w:rsidP="00F30F09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 w:hanging="567"/>
        <w:jc w:val="both"/>
        <w:textAlignment w:val="baseline"/>
        <w:rPr>
          <w:snapToGrid/>
          <w:lang w:val="de-DE"/>
        </w:rPr>
      </w:pPr>
      <w:r w:rsidRPr="002D0919">
        <w:rPr>
          <w:snapToGrid/>
          <w:lang w:val="de-DE"/>
        </w:rPr>
        <w:t>2</w:t>
      </w:r>
      <w:r w:rsidR="00FD5786" w:rsidRPr="002D0919">
        <w:rPr>
          <w:snapToGrid/>
          <w:lang w:val="de-DE"/>
        </w:rPr>
        <w:t>.</w:t>
      </w:r>
      <w:r w:rsidR="00FD5786" w:rsidRPr="002D0919">
        <w:rPr>
          <w:snapToGrid/>
          <w:lang w:val="de-DE"/>
        </w:rPr>
        <w:tab/>
      </w:r>
      <w:r w:rsidR="00F30F09" w:rsidRPr="002D0919">
        <w:rPr>
          <w:snapToGrid/>
          <w:lang w:val="de-DE"/>
        </w:rPr>
        <w:t>Am Ende von Abschnitt 8.3.5</w:t>
      </w:r>
      <w:r w:rsidR="00D30118" w:rsidRPr="002D0919">
        <w:rPr>
          <w:snapToGrid/>
          <w:lang w:val="de-DE"/>
        </w:rPr>
        <w:t xml:space="preserve"> </w:t>
      </w:r>
      <w:r w:rsidR="00F30F09" w:rsidRPr="002D0919">
        <w:rPr>
          <w:snapToGrid/>
          <w:lang w:val="de-DE"/>
        </w:rPr>
        <w:t>ADN in der vom Sicherheitsausschuss in seiner 29. Sitzung aufgrund des Dokumentes 2016/30 angenommene Fassung folgende</w:t>
      </w:r>
      <w:r w:rsidR="00DD41A2" w:rsidRPr="002D0919">
        <w:rPr>
          <w:snapToGrid/>
          <w:lang w:val="de-DE"/>
        </w:rPr>
        <w:t xml:space="preserve"> Bemerkung</w:t>
      </w:r>
      <w:r w:rsidR="00F30F09" w:rsidRPr="002D0919">
        <w:rPr>
          <w:snapToGrid/>
          <w:lang w:val="de-DE"/>
        </w:rPr>
        <w:t xml:space="preserve"> hinzufügen</w:t>
      </w:r>
      <w:r w:rsidR="00D30118" w:rsidRPr="002D0919">
        <w:rPr>
          <w:snapToGrid/>
          <w:lang w:val="de-DE"/>
        </w:rPr>
        <w:t>:</w:t>
      </w:r>
    </w:p>
    <w:p w:rsidR="00F30F09" w:rsidRPr="002D0919" w:rsidRDefault="00F30F09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30F09" w:rsidRPr="002D0919" w:rsidRDefault="00F30F09" w:rsidP="00DD41A2">
      <w:pPr>
        <w:widowControl w:val="0"/>
        <w:suppressAutoHyphens w:val="0"/>
        <w:overflowPunct w:val="0"/>
        <w:autoSpaceDE w:val="0"/>
        <w:autoSpaceDN w:val="0"/>
        <w:adjustRightInd w:val="0"/>
        <w:ind w:left="1701" w:right="567" w:hanging="1131"/>
        <w:jc w:val="both"/>
        <w:textAlignment w:val="baseline"/>
        <w:rPr>
          <w:snapToGrid/>
          <w:lang w:val="de-DE"/>
        </w:rPr>
      </w:pPr>
      <w:r w:rsidRPr="002D0919">
        <w:rPr>
          <w:snapToGrid/>
          <w:lang w:val="de-DE"/>
        </w:rPr>
        <w:t>„</w:t>
      </w:r>
      <w:r w:rsidR="00DD41A2" w:rsidRPr="002D0919">
        <w:rPr>
          <w:b/>
          <w:snapToGrid/>
          <w:lang w:val="de-DE"/>
        </w:rPr>
        <w:t>Bem</w:t>
      </w:r>
      <w:r w:rsidR="00DD41A2" w:rsidRPr="002D0919">
        <w:rPr>
          <w:snapToGrid/>
          <w:lang w:val="de-DE"/>
        </w:rPr>
        <w:t>.</w:t>
      </w:r>
      <w:r w:rsidR="00DD41A2" w:rsidRPr="002D0919">
        <w:rPr>
          <w:snapToGrid/>
          <w:lang w:val="de-DE"/>
        </w:rPr>
        <w:tab/>
        <w:t>Daneben sind auch alle anderen</w:t>
      </w:r>
      <w:r w:rsidRPr="002D0919">
        <w:rPr>
          <w:snapToGrid/>
          <w:lang w:val="de-DE"/>
        </w:rPr>
        <w:t xml:space="preserve"> nationale</w:t>
      </w:r>
      <w:r w:rsidR="00DD41A2" w:rsidRPr="002D0919">
        <w:rPr>
          <w:snapToGrid/>
          <w:lang w:val="de-DE"/>
        </w:rPr>
        <w:t>n</w:t>
      </w:r>
      <w:r w:rsidRPr="002D0919">
        <w:rPr>
          <w:snapToGrid/>
          <w:lang w:val="de-DE"/>
        </w:rPr>
        <w:t xml:space="preserve"> oder internationale</w:t>
      </w:r>
      <w:r w:rsidR="00DD41A2" w:rsidRPr="002D0919">
        <w:rPr>
          <w:snapToGrid/>
          <w:lang w:val="de-DE"/>
        </w:rPr>
        <w:t>n</w:t>
      </w:r>
      <w:r w:rsidRPr="002D0919">
        <w:rPr>
          <w:snapToGrid/>
          <w:lang w:val="de-DE"/>
        </w:rPr>
        <w:t xml:space="preserve"> Vorschriften der Arbeits- und Betriebssicherheit </w:t>
      </w:r>
      <w:r w:rsidR="00DD41A2" w:rsidRPr="002D0919">
        <w:rPr>
          <w:snapToGrid/>
          <w:lang w:val="de-DE"/>
        </w:rPr>
        <w:t>oder zur Unfallverhütung zu beachten</w:t>
      </w:r>
      <w:r w:rsidRPr="002D0919">
        <w:rPr>
          <w:snapToGrid/>
          <w:lang w:val="de-DE"/>
        </w:rPr>
        <w:t>.“</w:t>
      </w:r>
      <w:r w:rsidR="00DD41A2" w:rsidRPr="002D0919">
        <w:rPr>
          <w:snapToGrid/>
          <w:lang w:val="de-DE"/>
        </w:rPr>
        <w:t>.</w:t>
      </w:r>
    </w:p>
    <w:p w:rsidR="00D30118" w:rsidRPr="002D0919" w:rsidRDefault="00D30118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3B642C" w:rsidRPr="002D0919" w:rsidRDefault="003B642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2D0919" w:rsidRDefault="003151F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2D0919">
        <w:rPr>
          <w:b/>
          <w:snapToGrid/>
          <w:sz w:val="24"/>
          <w:szCs w:val="24"/>
          <w:lang w:val="de-DE"/>
        </w:rPr>
        <w:t>III.</w:t>
      </w:r>
      <w:r w:rsidRPr="002D0919">
        <w:rPr>
          <w:b/>
          <w:snapToGrid/>
          <w:sz w:val="24"/>
          <w:szCs w:val="24"/>
          <w:lang w:val="de-DE"/>
        </w:rPr>
        <w:tab/>
      </w:r>
      <w:r w:rsidR="00E20C38" w:rsidRPr="002D0919">
        <w:rPr>
          <w:b/>
          <w:snapToGrid/>
          <w:sz w:val="24"/>
          <w:szCs w:val="24"/>
          <w:lang w:val="de-DE"/>
        </w:rPr>
        <w:t>Begründung</w:t>
      </w:r>
    </w:p>
    <w:p w:rsidR="00FD5786" w:rsidRPr="002D0919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2D0919" w:rsidRDefault="00D723A2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 w:rsidRPr="002D0919">
        <w:rPr>
          <w:snapToGrid/>
          <w:lang w:val="de-DE"/>
        </w:rPr>
        <w:t>3</w:t>
      </w:r>
      <w:r w:rsidR="00FD5786" w:rsidRPr="002D0919">
        <w:rPr>
          <w:snapToGrid/>
          <w:lang w:val="de-DE"/>
        </w:rPr>
        <w:t>.</w:t>
      </w:r>
      <w:r w:rsidR="00FD5786" w:rsidRPr="002D0919">
        <w:rPr>
          <w:snapToGrid/>
          <w:lang w:val="de-DE"/>
        </w:rPr>
        <w:tab/>
      </w:r>
      <w:r w:rsidR="00DD41A2" w:rsidRPr="002D0919">
        <w:rPr>
          <w:snapToGrid/>
          <w:lang w:val="de-DE"/>
        </w:rPr>
        <w:t xml:space="preserve">Siehe Bericht der 30. Sitzung des ADN-Sicherheitsausschusses </w:t>
      </w:r>
      <w:r w:rsidR="00DD41A2" w:rsidRPr="002D0919">
        <w:rPr>
          <w:bCs/>
          <w:lang w:val="de-DE"/>
        </w:rPr>
        <w:t>ECE/TRANS/WP.15/AC.2/62, Nr. 14</w:t>
      </w:r>
      <w:r w:rsidR="00FD3632" w:rsidRPr="002D0919">
        <w:rPr>
          <w:bCs/>
          <w:lang w:val="de-DE"/>
        </w:rPr>
        <w:t>. Die Änderung ist</w:t>
      </w:r>
      <w:r w:rsidR="00B81900" w:rsidRPr="002D0919">
        <w:rPr>
          <w:bCs/>
          <w:lang w:val="de-DE"/>
        </w:rPr>
        <w:t xml:space="preserve"> auch</w:t>
      </w:r>
      <w:r w:rsidR="00FD3632" w:rsidRPr="002D0919">
        <w:rPr>
          <w:bCs/>
          <w:lang w:val="de-DE"/>
        </w:rPr>
        <w:t xml:space="preserve"> erforderlich, weil Unterabschnitt 1.1.4.6 ADN dazu führen könnte, dass strengere Vorschriften anderer Rechtsgebiete außer Kraft gesetzt werden könnten, ohne dass der ADN-Sicherheitsausschuss eine bewusste inhaltliche Entscheidung zum Sicherheitsniveau getroffen hat.</w:t>
      </w:r>
    </w:p>
    <w:p w:rsidR="00AF65F9" w:rsidRPr="002D0919" w:rsidRDefault="00AF65F9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D2CBC" w:rsidRPr="002D0919" w:rsidRDefault="007D2CB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40C9B" w:rsidRPr="002D0919" w:rsidRDefault="00740C9B" w:rsidP="00740C9B">
      <w:pPr>
        <w:rPr>
          <w:b/>
          <w:sz w:val="24"/>
          <w:szCs w:val="24"/>
          <w:lang w:val="de-DE"/>
        </w:rPr>
      </w:pPr>
      <w:r w:rsidRPr="002D0919">
        <w:rPr>
          <w:b/>
          <w:sz w:val="24"/>
          <w:szCs w:val="24"/>
          <w:lang w:val="de-DE"/>
        </w:rPr>
        <w:t>IV.</w:t>
      </w:r>
      <w:r w:rsidRPr="002D0919">
        <w:rPr>
          <w:b/>
          <w:sz w:val="24"/>
          <w:szCs w:val="24"/>
          <w:lang w:val="de-DE"/>
        </w:rPr>
        <w:tab/>
        <w:t>Sicherheit</w:t>
      </w:r>
    </w:p>
    <w:p w:rsidR="00740C9B" w:rsidRPr="002D0919" w:rsidRDefault="00740C9B" w:rsidP="00740C9B">
      <w:pPr>
        <w:rPr>
          <w:lang w:val="de-DE"/>
        </w:rPr>
      </w:pPr>
    </w:p>
    <w:p w:rsidR="00740C9B" w:rsidRPr="002D0919" w:rsidRDefault="00D723A2" w:rsidP="007D6B79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 w:rsidRPr="002D0919">
        <w:rPr>
          <w:snapToGrid/>
          <w:lang w:val="de-DE"/>
        </w:rPr>
        <w:t>4</w:t>
      </w:r>
      <w:r w:rsidR="00740C9B" w:rsidRPr="002D0919">
        <w:rPr>
          <w:snapToGrid/>
          <w:lang w:val="de-DE"/>
        </w:rPr>
        <w:t>.</w:t>
      </w:r>
      <w:r w:rsidR="00740C9B" w:rsidRPr="002D0919">
        <w:rPr>
          <w:snapToGrid/>
          <w:lang w:val="de-DE"/>
        </w:rPr>
        <w:tab/>
        <w:t>Die Sicherheit der Beförderung</w:t>
      </w:r>
      <w:r w:rsidR="00FD3632" w:rsidRPr="002D0919">
        <w:rPr>
          <w:snapToGrid/>
          <w:lang w:val="de-DE"/>
        </w:rPr>
        <w:t>, hier die Durchführung von Arbeiten an Bord während der Beförderung</w:t>
      </w:r>
      <w:r w:rsidR="00740C9B" w:rsidRPr="002D0919">
        <w:rPr>
          <w:snapToGrid/>
          <w:lang w:val="de-DE"/>
        </w:rPr>
        <w:t xml:space="preserve"> wird durch diese Änderung </w:t>
      </w:r>
      <w:r w:rsidR="00FD3632" w:rsidRPr="002D0919">
        <w:rPr>
          <w:snapToGrid/>
          <w:lang w:val="de-DE"/>
        </w:rPr>
        <w:t>erhöht, wenn die genannten anderen Rechtsvorschriften strenger Anforderungen als das ADN enthalten.</w:t>
      </w:r>
    </w:p>
    <w:p w:rsidR="00740C9B" w:rsidRPr="002D0919" w:rsidRDefault="00740C9B" w:rsidP="00740C9B">
      <w:pPr>
        <w:rPr>
          <w:lang w:val="de-DE"/>
        </w:rPr>
      </w:pPr>
    </w:p>
    <w:p w:rsidR="00D723A2" w:rsidRPr="002D0919" w:rsidRDefault="00D723A2" w:rsidP="00740C9B">
      <w:pPr>
        <w:rPr>
          <w:lang w:val="de-DE"/>
        </w:rPr>
      </w:pPr>
    </w:p>
    <w:p w:rsidR="00740C9B" w:rsidRPr="002D0919" w:rsidRDefault="00740C9B" w:rsidP="00740C9B">
      <w:pPr>
        <w:rPr>
          <w:b/>
          <w:sz w:val="24"/>
          <w:szCs w:val="24"/>
          <w:lang w:val="de-DE"/>
        </w:rPr>
      </w:pPr>
      <w:r w:rsidRPr="002D0919">
        <w:rPr>
          <w:b/>
          <w:sz w:val="24"/>
          <w:szCs w:val="24"/>
          <w:lang w:val="de-DE"/>
        </w:rPr>
        <w:t>V.</w:t>
      </w:r>
      <w:r w:rsidRPr="002D0919">
        <w:rPr>
          <w:b/>
          <w:sz w:val="24"/>
          <w:szCs w:val="24"/>
          <w:lang w:val="de-DE"/>
        </w:rPr>
        <w:tab/>
        <w:t>Umsetzbarkeit</w:t>
      </w:r>
    </w:p>
    <w:p w:rsidR="007D6B79" w:rsidRPr="002D0919" w:rsidRDefault="007D6B79" w:rsidP="000A3F4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D6B79" w:rsidRPr="002D0919" w:rsidRDefault="00D723A2" w:rsidP="000A3F4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 w:rsidRPr="002D0919">
        <w:rPr>
          <w:snapToGrid/>
          <w:lang w:val="de-DE"/>
        </w:rPr>
        <w:t>5</w:t>
      </w:r>
      <w:r w:rsidR="000A3F47" w:rsidRPr="002D0919">
        <w:rPr>
          <w:snapToGrid/>
          <w:lang w:val="de-DE"/>
        </w:rPr>
        <w:t>.</w:t>
      </w:r>
      <w:r w:rsidR="000A3F47" w:rsidRPr="002D0919">
        <w:rPr>
          <w:snapToGrid/>
          <w:lang w:val="de-DE"/>
        </w:rPr>
        <w:tab/>
        <w:t xml:space="preserve">Es werden keine technischen Änderungen oder Investitionen der Wirtschaft oder Belastungen für die Behörden erwartet. </w:t>
      </w:r>
      <w:r w:rsidR="00FD3632" w:rsidRPr="002D0919">
        <w:rPr>
          <w:snapToGrid/>
          <w:lang w:val="de-DE"/>
        </w:rPr>
        <w:t>Die Bemerkung dient nur der Klarstellung und als Hinweis auf andere, schon heute neben dem ADN zu beachtende Vorschriften.</w:t>
      </w:r>
    </w:p>
    <w:p w:rsidR="00FD5786" w:rsidRPr="002D0919" w:rsidRDefault="00FD5786" w:rsidP="003151F1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BD7264" w:rsidRPr="002D0919" w:rsidRDefault="00FD5786" w:rsidP="003177E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snapToGrid/>
          <w:lang w:val="de-DE"/>
        </w:rPr>
      </w:pPr>
      <w:r w:rsidRPr="002D0919">
        <w:rPr>
          <w:snapToGrid/>
          <w:lang w:val="de-DE"/>
        </w:rPr>
        <w:t>***</w:t>
      </w:r>
    </w:p>
    <w:sectPr w:rsidR="00BD7264" w:rsidRPr="002D0919" w:rsidSect="005F30BB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3B" w:rsidRDefault="006D183B">
      <w:pPr>
        <w:rPr>
          <w:szCs w:val="24"/>
        </w:rPr>
      </w:pPr>
    </w:p>
  </w:endnote>
  <w:endnote w:type="continuationSeparator" w:id="0">
    <w:p w:rsidR="006D183B" w:rsidRDefault="006D183B">
      <w:pPr>
        <w:rPr>
          <w:szCs w:val="24"/>
        </w:rPr>
      </w:pPr>
    </w:p>
  </w:endnote>
  <w:endnote w:type="continuationNotice" w:id="1">
    <w:p w:rsidR="006D183B" w:rsidRDefault="006D183B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4D" w:rsidRDefault="00D70A4D" w:rsidP="00D70A4D">
    <w:pPr>
      <w:pStyle w:val="Footer"/>
      <w:jc w:val="right"/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 w:rsidR="00D723A2">
      <w:rPr>
        <w:rFonts w:ascii="Arial" w:hAnsi="Arial"/>
        <w:noProof/>
        <w:snapToGrid/>
        <w:sz w:val="12"/>
        <w:szCs w:val="24"/>
        <w:lang w:val="en-US"/>
      </w:rPr>
      <w:t>27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951A0F" w:rsidRDefault="000A3F47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mm/adn_wp15_ac2_2016_</w:t>
    </w:r>
    <w:r>
      <w:rPr>
        <w:rFonts w:ascii="Arial" w:hAnsi="Arial"/>
        <w:noProof/>
        <w:snapToGrid/>
        <w:sz w:val="12"/>
        <w:szCs w:val="24"/>
        <w:lang w:val="en-US"/>
      </w:rPr>
      <w:t>36de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3B" w:rsidRDefault="006D183B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6D183B" w:rsidRDefault="006D183B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6D183B" w:rsidRDefault="006D183B">
      <w:pPr>
        <w:rPr>
          <w:szCs w:val="24"/>
        </w:rPr>
      </w:pPr>
    </w:p>
  </w:footnote>
  <w:footnote w:id="2">
    <w:p w:rsidR="000A3F47" w:rsidRPr="005F667A" w:rsidRDefault="000A3F47" w:rsidP="00EE1D86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 xml:space="preserve">Von der UN-ECE in Englisch, Französisch und Russisch unter dem Aktenzeichen </w:t>
      </w:r>
      <w:r w:rsidR="00D70A4D" w:rsidRPr="00D70A4D">
        <w:rPr>
          <w:sz w:val="16"/>
          <w:szCs w:val="16"/>
          <w:lang w:val="de-DE"/>
        </w:rPr>
        <w:t>ECE/TRANS/WP.15/AC.2/2017/</w:t>
      </w:r>
      <w:r w:rsidR="00D723A2">
        <w:rPr>
          <w:sz w:val="16"/>
          <w:szCs w:val="16"/>
          <w:lang w:val="de-DE"/>
        </w:rPr>
        <w:t>27</w:t>
      </w:r>
      <w:r w:rsidR="00D70A4D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0A3F47" w:rsidRPr="00447333" w:rsidRDefault="000A3F47" w:rsidP="00FF2FF5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B40749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852F91"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D723A2">
      <w:rPr>
        <w:rFonts w:ascii="Arial" w:hAnsi="Arial"/>
        <w:b w:val="0"/>
        <w:sz w:val="16"/>
        <w:szCs w:val="16"/>
        <w:lang w:val="en-US"/>
      </w:rPr>
      <w:t>27</w:t>
    </w:r>
  </w:p>
  <w:p w:rsidR="000A3F47" w:rsidRPr="008F1455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31030E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B40749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6F1379">
      <w:rPr>
        <w:rFonts w:ascii="Arial" w:hAnsi="Arial"/>
        <w:b w:val="0"/>
        <w:sz w:val="16"/>
        <w:szCs w:val="16"/>
        <w:lang w:val="en-US"/>
      </w:rPr>
      <w:t>7/B1</w:t>
    </w:r>
  </w:p>
  <w:p w:rsidR="000A3F47" w:rsidRPr="008F1455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DD41A2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6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4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5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6"/>
  </w:num>
  <w:num w:numId="5">
    <w:abstractNumId w:val="35"/>
  </w:num>
  <w:num w:numId="6">
    <w:abstractNumId w:val="4"/>
  </w:num>
  <w:num w:numId="7">
    <w:abstractNumId w:val="7"/>
  </w:num>
  <w:num w:numId="8">
    <w:abstractNumId w:val="22"/>
  </w:num>
  <w:num w:numId="9">
    <w:abstractNumId w:val="13"/>
  </w:num>
  <w:num w:numId="10">
    <w:abstractNumId w:val="8"/>
  </w:num>
  <w:num w:numId="11">
    <w:abstractNumId w:val="24"/>
  </w:num>
  <w:num w:numId="12">
    <w:abstractNumId w:val="5"/>
  </w:num>
  <w:num w:numId="13">
    <w:abstractNumId w:val="33"/>
  </w:num>
  <w:num w:numId="14">
    <w:abstractNumId w:val="9"/>
  </w:num>
  <w:num w:numId="15">
    <w:abstractNumId w:val="37"/>
  </w:num>
  <w:num w:numId="16">
    <w:abstractNumId w:val="31"/>
  </w:num>
  <w:num w:numId="17">
    <w:abstractNumId w:val="21"/>
  </w:num>
  <w:num w:numId="18">
    <w:abstractNumId w:val="15"/>
  </w:num>
  <w:num w:numId="19">
    <w:abstractNumId w:val="23"/>
  </w:num>
  <w:num w:numId="20">
    <w:abstractNumId w:val="10"/>
  </w:num>
  <w:num w:numId="21">
    <w:abstractNumId w:val="28"/>
  </w:num>
  <w:num w:numId="22">
    <w:abstractNumId w:val="36"/>
  </w:num>
  <w:num w:numId="23">
    <w:abstractNumId w:val="29"/>
  </w:num>
  <w:num w:numId="24">
    <w:abstractNumId w:val="18"/>
  </w:num>
  <w:num w:numId="25">
    <w:abstractNumId w:val="27"/>
  </w:num>
  <w:num w:numId="26">
    <w:abstractNumId w:val="17"/>
  </w:num>
  <w:num w:numId="27">
    <w:abstractNumId w:val="16"/>
  </w:num>
  <w:num w:numId="28">
    <w:abstractNumId w:val="32"/>
  </w:num>
  <w:num w:numId="29">
    <w:abstractNumId w:val="19"/>
  </w:num>
  <w:num w:numId="30">
    <w:abstractNumId w:val="26"/>
  </w:num>
  <w:num w:numId="31">
    <w:abstractNumId w:val="20"/>
  </w:num>
  <w:num w:numId="32">
    <w:abstractNumId w:val="25"/>
  </w:num>
  <w:num w:numId="33">
    <w:abstractNumId w:val="3"/>
  </w:num>
  <w:num w:numId="34">
    <w:abstractNumId w:val="12"/>
  </w:num>
  <w:num w:numId="35">
    <w:abstractNumId w:val="34"/>
  </w:num>
  <w:num w:numId="36">
    <w:abstractNumId w:val="14"/>
  </w:num>
  <w:num w:numId="37">
    <w:abstractNumId w:val="2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5FC7"/>
    <w:rsid w:val="00020B06"/>
    <w:rsid w:val="0002116F"/>
    <w:rsid w:val="0002461E"/>
    <w:rsid w:val="00024FB3"/>
    <w:rsid w:val="00030C06"/>
    <w:rsid w:val="00031537"/>
    <w:rsid w:val="00035613"/>
    <w:rsid w:val="00035E31"/>
    <w:rsid w:val="00037CC1"/>
    <w:rsid w:val="0004012A"/>
    <w:rsid w:val="0004044C"/>
    <w:rsid w:val="00041E8B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26"/>
    <w:rsid w:val="000D57E8"/>
    <w:rsid w:val="000E0415"/>
    <w:rsid w:val="000E520B"/>
    <w:rsid w:val="000E566D"/>
    <w:rsid w:val="000E7062"/>
    <w:rsid w:val="000E7BD0"/>
    <w:rsid w:val="000F1374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5C78"/>
    <w:rsid w:val="00161846"/>
    <w:rsid w:val="0016237E"/>
    <w:rsid w:val="001628F5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4ED5"/>
    <w:rsid w:val="001B1D8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445F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96770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919"/>
    <w:rsid w:val="002D0E0E"/>
    <w:rsid w:val="002D19AD"/>
    <w:rsid w:val="002D550A"/>
    <w:rsid w:val="002D652F"/>
    <w:rsid w:val="002E0EE4"/>
    <w:rsid w:val="002E1352"/>
    <w:rsid w:val="002E624D"/>
    <w:rsid w:val="00300698"/>
    <w:rsid w:val="00304304"/>
    <w:rsid w:val="0031030E"/>
    <w:rsid w:val="003107FA"/>
    <w:rsid w:val="0031437A"/>
    <w:rsid w:val="003151F1"/>
    <w:rsid w:val="00315F72"/>
    <w:rsid w:val="003177E7"/>
    <w:rsid w:val="003229D8"/>
    <w:rsid w:val="00323726"/>
    <w:rsid w:val="00324FA1"/>
    <w:rsid w:val="00326EAB"/>
    <w:rsid w:val="0033023C"/>
    <w:rsid w:val="00332291"/>
    <w:rsid w:val="00333876"/>
    <w:rsid w:val="0033408B"/>
    <w:rsid w:val="00334129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A5281"/>
    <w:rsid w:val="003B071E"/>
    <w:rsid w:val="003B0BDF"/>
    <w:rsid w:val="003B1FD7"/>
    <w:rsid w:val="003B3F7F"/>
    <w:rsid w:val="003B4451"/>
    <w:rsid w:val="003B4590"/>
    <w:rsid w:val="003B507C"/>
    <w:rsid w:val="003B5C22"/>
    <w:rsid w:val="003B642C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667"/>
    <w:rsid w:val="003F1ED3"/>
    <w:rsid w:val="003F3B18"/>
    <w:rsid w:val="003F4A0B"/>
    <w:rsid w:val="003F729B"/>
    <w:rsid w:val="003F72C8"/>
    <w:rsid w:val="00400769"/>
    <w:rsid w:val="00403952"/>
    <w:rsid w:val="004049D8"/>
    <w:rsid w:val="004063A4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432"/>
    <w:rsid w:val="005712C9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5C39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32A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183B"/>
    <w:rsid w:val="006D4415"/>
    <w:rsid w:val="006D5021"/>
    <w:rsid w:val="006D63BF"/>
    <w:rsid w:val="006D7D5B"/>
    <w:rsid w:val="006E09C4"/>
    <w:rsid w:val="006E0D61"/>
    <w:rsid w:val="006E564B"/>
    <w:rsid w:val="006E5D14"/>
    <w:rsid w:val="006F1379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38FF"/>
    <w:rsid w:val="0078695C"/>
    <w:rsid w:val="00787CE3"/>
    <w:rsid w:val="00792806"/>
    <w:rsid w:val="007939A6"/>
    <w:rsid w:val="00797065"/>
    <w:rsid w:val="00797099"/>
    <w:rsid w:val="007A01FC"/>
    <w:rsid w:val="007A1A3F"/>
    <w:rsid w:val="007A3C01"/>
    <w:rsid w:val="007A3C0B"/>
    <w:rsid w:val="007B64F2"/>
    <w:rsid w:val="007B6BA5"/>
    <w:rsid w:val="007B7B1E"/>
    <w:rsid w:val="007C169B"/>
    <w:rsid w:val="007C3390"/>
    <w:rsid w:val="007C4F4B"/>
    <w:rsid w:val="007C7A4E"/>
    <w:rsid w:val="007D2CBC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33C7"/>
    <w:rsid w:val="00836A0C"/>
    <w:rsid w:val="00837A3F"/>
    <w:rsid w:val="0084125D"/>
    <w:rsid w:val="00842AFA"/>
    <w:rsid w:val="00842B7B"/>
    <w:rsid w:val="00844584"/>
    <w:rsid w:val="00852F91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53F4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6C0C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4776F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37CC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2B04"/>
    <w:rsid w:val="00AF532B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037"/>
    <w:rsid w:val="00B66400"/>
    <w:rsid w:val="00B66AC9"/>
    <w:rsid w:val="00B72BAF"/>
    <w:rsid w:val="00B75DBE"/>
    <w:rsid w:val="00B808A0"/>
    <w:rsid w:val="00B809B9"/>
    <w:rsid w:val="00B81900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027E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A7860"/>
    <w:rsid w:val="00CB075D"/>
    <w:rsid w:val="00CB0D3B"/>
    <w:rsid w:val="00CB2911"/>
    <w:rsid w:val="00CB3570"/>
    <w:rsid w:val="00CB71A4"/>
    <w:rsid w:val="00CC1A68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89C"/>
    <w:rsid w:val="00D1425B"/>
    <w:rsid w:val="00D164DD"/>
    <w:rsid w:val="00D2031B"/>
    <w:rsid w:val="00D20C42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0A4D"/>
    <w:rsid w:val="00D71B47"/>
    <w:rsid w:val="00D723A2"/>
    <w:rsid w:val="00D72DE1"/>
    <w:rsid w:val="00D8522A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4C63"/>
    <w:rsid w:val="00DC59B0"/>
    <w:rsid w:val="00DC6021"/>
    <w:rsid w:val="00DD415F"/>
    <w:rsid w:val="00DD41A2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65FE7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0F09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3632"/>
    <w:rsid w:val="00FD5786"/>
    <w:rsid w:val="00FD5ECB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96D0-97BA-4738-B396-570762C1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2</Pages>
  <Words>306</Words>
  <Characters>2172</Characters>
  <Application>Microsoft Office Word</Application>
  <DocSecurity>0</DocSecurity>
  <Lines>77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ECE-ADN-36-Add.1</cp:lastModifiedBy>
  <cp:revision>2</cp:revision>
  <cp:lastPrinted>2017-05-31T07:45:00Z</cp:lastPrinted>
  <dcterms:created xsi:type="dcterms:W3CDTF">2017-05-31T08:23:00Z</dcterms:created>
  <dcterms:modified xsi:type="dcterms:W3CDTF">2017-05-31T08:23:00Z</dcterms:modified>
</cp:coreProperties>
</file>