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Pr="00B40749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bookmarkStart w:id="0" w:name="_GoBack"/>
      <w:bookmarkEnd w:id="0"/>
      <w:r w:rsidRPr="002D550A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2518224A" wp14:editId="29E830F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3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CCNR-ZKR/ADN/WP.15/AC.2/2017</w:t>
      </w:r>
      <w:r w:rsidRPr="00B40749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1626FB">
        <w:rPr>
          <w:rFonts w:ascii="Arial" w:eastAsia="Arial" w:hAnsi="Arial" w:cs="Arial"/>
          <w:bCs/>
          <w:snapToGrid/>
          <w:szCs w:val="24"/>
          <w:lang w:val="en-US" w:eastAsia="de-DE"/>
        </w:rPr>
        <w:t>25</w:t>
      </w:r>
    </w:p>
    <w:p w:rsidR="00EE1D86" w:rsidRPr="002D550A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D550A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E1D86" w:rsidRPr="002D550A" w:rsidRDefault="001626FB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24</w:t>
      </w:r>
      <w:r w:rsidR="00C63A2B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napToGrid/>
          <w:szCs w:val="24"/>
          <w:lang w:val="de-DE" w:eastAsia="de-DE"/>
        </w:rPr>
        <w:t>Mai</w:t>
      </w:r>
      <w:r w:rsidR="003A5281">
        <w:rPr>
          <w:rFonts w:ascii="Arial" w:eastAsia="Arial" w:hAnsi="Arial" w:cs="Arial"/>
          <w:snapToGrid/>
          <w:szCs w:val="24"/>
          <w:lang w:val="de-DE" w:eastAsia="de-DE"/>
        </w:rPr>
        <w:t xml:space="preserve"> 2017</w:t>
      </w:r>
    </w:p>
    <w:p w:rsidR="00EE1D86" w:rsidRPr="002D550A" w:rsidRDefault="00EE1D8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. DEUTSCH</w:t>
      </w: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D550A">
        <w:rPr>
          <w:rFonts w:ascii="Arial" w:hAnsi="Arial"/>
          <w:sz w:val="16"/>
          <w:szCs w:val="24"/>
          <w:lang w:val="de-DE"/>
        </w:rPr>
        <w:t>(</w:t>
      </w:r>
      <w:r w:rsidR="003A5281">
        <w:rPr>
          <w:rFonts w:ascii="Arial" w:hAnsi="Arial"/>
          <w:sz w:val="16"/>
          <w:szCs w:val="24"/>
          <w:lang w:val="de-DE"/>
        </w:rPr>
        <w:t>31</w:t>
      </w:r>
      <w:r w:rsidRPr="002D550A">
        <w:rPr>
          <w:rFonts w:ascii="Arial" w:hAnsi="Arial"/>
          <w:sz w:val="16"/>
          <w:szCs w:val="24"/>
          <w:lang w:val="de-DE"/>
        </w:rPr>
        <w:t xml:space="preserve">. 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21330E">
        <w:rPr>
          <w:rFonts w:ascii="Arial" w:hAnsi="Arial"/>
          <w:noProof/>
          <w:sz w:val="16"/>
          <w:szCs w:val="24"/>
          <w:lang w:val="de-DE"/>
        </w:rPr>
        <w:t>28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. bis </w:t>
      </w:r>
      <w:r w:rsidR="0021330E">
        <w:rPr>
          <w:rFonts w:ascii="Arial" w:hAnsi="Arial"/>
          <w:noProof/>
          <w:sz w:val="16"/>
          <w:szCs w:val="24"/>
          <w:lang w:val="de-DE"/>
        </w:rPr>
        <w:t>31</w:t>
      </w:r>
      <w:r w:rsidR="00852F91">
        <w:rPr>
          <w:rFonts w:ascii="Arial" w:hAnsi="Arial"/>
          <w:noProof/>
          <w:sz w:val="16"/>
          <w:szCs w:val="24"/>
          <w:lang w:val="de-DE"/>
        </w:rPr>
        <w:t>. August 2017</w:t>
      </w:r>
      <w:r w:rsidRPr="002D550A">
        <w:rPr>
          <w:rFonts w:ascii="Arial" w:hAnsi="Arial"/>
          <w:noProof/>
          <w:sz w:val="16"/>
          <w:szCs w:val="24"/>
          <w:lang w:val="de-DE"/>
        </w:rPr>
        <w:t>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1626FB">
        <w:rPr>
          <w:rFonts w:ascii="Arial" w:hAnsi="Arial" w:cs="Arial"/>
          <w:snapToGrid/>
          <w:sz w:val="16"/>
          <w:szCs w:val="16"/>
          <w:lang w:val="de-DE" w:eastAsia="en-US"/>
        </w:rPr>
        <w:t xml:space="preserve">4 b) </w:t>
      </w: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>zur vorläufigen Tagesordnung</w:t>
      </w:r>
    </w:p>
    <w:p w:rsidR="00EE1D86" w:rsidRPr="002D550A" w:rsidRDefault="00DC4C63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DC4C63">
        <w:rPr>
          <w:rFonts w:ascii="Arial" w:hAnsi="Arial" w:cs="Arial"/>
          <w:b/>
          <w:snapToGrid/>
          <w:sz w:val="16"/>
          <w:szCs w:val="16"/>
          <w:lang w:val="de-DE" w:eastAsia="en-US"/>
        </w:rPr>
        <w:t>Vorschläge für Änderungen der dem ADN beigefügten Verordnung</w:t>
      </w:r>
      <w:r w:rsidR="00EE1D86" w:rsidRPr="002D550A">
        <w:rPr>
          <w:rFonts w:ascii="Arial" w:hAnsi="Arial" w:cs="Arial"/>
          <w:b/>
          <w:snapToGrid/>
          <w:sz w:val="16"/>
          <w:szCs w:val="16"/>
          <w:lang w:val="de-DE" w:eastAsia="en-US"/>
        </w:rPr>
        <w:t>:</w:t>
      </w:r>
    </w:p>
    <w:p w:rsidR="00EE1D86" w:rsidRPr="002D550A" w:rsidRDefault="00DC4C63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Weitere Vorschläge</w:t>
      </w:r>
    </w:p>
    <w:p w:rsidR="009F0D42" w:rsidRDefault="009F0D42" w:rsidP="009F0D42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="Arial" w:hAnsi="Arial"/>
          <w:snapToGrid/>
          <w:color w:val="000000"/>
          <w:sz w:val="22"/>
          <w:lang w:val="de-DE"/>
        </w:rPr>
      </w:pPr>
    </w:p>
    <w:p w:rsidR="001626FB" w:rsidRPr="00453575" w:rsidRDefault="001626FB" w:rsidP="009F0D42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="Arial" w:hAnsi="Arial"/>
          <w:snapToGrid/>
          <w:color w:val="000000"/>
          <w:sz w:val="22"/>
          <w:lang w:val="de-DE"/>
        </w:rPr>
      </w:pPr>
    </w:p>
    <w:p w:rsidR="008623E4" w:rsidRPr="002D550A" w:rsidRDefault="009F0D42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  <w:r w:rsidRPr="00453575">
        <w:rPr>
          <w:b/>
          <w:bCs/>
          <w:snapToGrid/>
          <w:sz w:val="28"/>
          <w:szCs w:val="24"/>
          <w:lang w:val="de-DE"/>
        </w:rPr>
        <w:tab/>
      </w:r>
      <w:r w:rsidRPr="00453575">
        <w:rPr>
          <w:b/>
          <w:bCs/>
          <w:snapToGrid/>
          <w:sz w:val="28"/>
          <w:szCs w:val="24"/>
          <w:lang w:val="de-DE"/>
        </w:rPr>
        <w:tab/>
      </w:r>
      <w:r w:rsidR="003A5281">
        <w:rPr>
          <w:b/>
          <w:bCs/>
          <w:snapToGrid/>
          <w:sz w:val="28"/>
          <w:szCs w:val="24"/>
          <w:lang w:val="de-DE"/>
        </w:rPr>
        <w:t xml:space="preserve">Absätze 7.1.5.4.1 und </w:t>
      </w:r>
      <w:r w:rsidR="003A5281" w:rsidRPr="003A5281">
        <w:rPr>
          <w:b/>
          <w:bCs/>
          <w:snapToGrid/>
          <w:sz w:val="28"/>
          <w:szCs w:val="24"/>
          <w:lang w:val="de-DE"/>
        </w:rPr>
        <w:t>7.2.5.4.1</w:t>
      </w:r>
      <w:r w:rsidR="00FD5786" w:rsidRPr="00FD5786">
        <w:rPr>
          <w:b/>
          <w:bCs/>
          <w:snapToGrid/>
          <w:sz w:val="28"/>
          <w:szCs w:val="24"/>
          <w:lang w:val="de-DE"/>
        </w:rPr>
        <w:t xml:space="preserve"> ADN, </w:t>
      </w:r>
      <w:r w:rsidR="003A5281">
        <w:rPr>
          <w:b/>
          <w:bCs/>
          <w:snapToGrid/>
          <w:sz w:val="28"/>
          <w:szCs w:val="24"/>
          <w:lang w:val="de-DE"/>
        </w:rPr>
        <w:t>Stillliegen von Schiffen</w:t>
      </w:r>
    </w:p>
    <w:p w:rsidR="00EE1D86" w:rsidRPr="003A5281" w:rsidRDefault="001626FB" w:rsidP="00EE1D86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de-DE"/>
        </w:rPr>
      </w:pPr>
      <w:r>
        <w:rPr>
          <w:b/>
          <w:snapToGrid/>
          <w:sz w:val="24"/>
          <w:lang w:val="de-DE"/>
        </w:rPr>
        <w:tab/>
      </w:r>
      <w:r>
        <w:rPr>
          <w:b/>
          <w:snapToGrid/>
          <w:sz w:val="24"/>
          <w:lang w:val="de-DE"/>
        </w:rPr>
        <w:tab/>
      </w:r>
      <w:r w:rsidR="00EE1D86" w:rsidRPr="003A5281">
        <w:rPr>
          <w:b/>
          <w:snapToGrid/>
          <w:sz w:val="24"/>
          <w:lang w:val="de-DE"/>
        </w:rPr>
        <w:t>Vorgelegt von Deutschland</w:t>
      </w:r>
      <w:r w:rsidR="00EE1D86" w:rsidRPr="00FF2FF5">
        <w:rPr>
          <w:b/>
          <w:noProof/>
          <w:sz w:val="18"/>
          <w:szCs w:val="24"/>
          <w:vertAlign w:val="superscript"/>
          <w:lang w:val="de-DE"/>
        </w:rPr>
        <w:footnoteReference w:id="2"/>
      </w:r>
      <w:r w:rsidR="00FF2FF5" w:rsidRPr="00FF2FF5">
        <w:rPr>
          <w:b/>
          <w:noProof/>
          <w:sz w:val="18"/>
          <w:szCs w:val="24"/>
          <w:vertAlign w:val="superscript"/>
          <w:lang w:val="de-DE"/>
        </w:rPr>
        <w:t>,</w:t>
      </w:r>
      <w:r w:rsidR="00FF2FF5" w:rsidRPr="00FF2FF5">
        <w:rPr>
          <w:b/>
          <w:noProof/>
          <w:sz w:val="18"/>
          <w:szCs w:val="24"/>
          <w:vertAlign w:val="superscript"/>
          <w:lang w:val="de-DE"/>
        </w:rPr>
        <w:footnoteReference w:id="3"/>
      </w:r>
    </w:p>
    <w:p w:rsid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spacing w:before="180" w:line="360" w:lineRule="auto"/>
        <w:ind w:right="567"/>
        <w:jc w:val="both"/>
        <w:textAlignment w:val="baseline"/>
        <w:rPr>
          <w:bCs/>
          <w:snapToGrid/>
          <w:sz w:val="22"/>
          <w:szCs w:val="18"/>
          <w:lang w:val="de-DE"/>
        </w:rPr>
      </w:pPr>
    </w:p>
    <w:p w:rsidR="001626FB" w:rsidRPr="00FD5786" w:rsidRDefault="001626FB" w:rsidP="00FD5786">
      <w:pPr>
        <w:widowControl w:val="0"/>
        <w:suppressAutoHyphens w:val="0"/>
        <w:overflowPunct w:val="0"/>
        <w:autoSpaceDE w:val="0"/>
        <w:autoSpaceDN w:val="0"/>
        <w:adjustRightInd w:val="0"/>
        <w:spacing w:before="180" w:line="360" w:lineRule="auto"/>
        <w:ind w:right="567"/>
        <w:jc w:val="both"/>
        <w:textAlignment w:val="baseline"/>
        <w:rPr>
          <w:bCs/>
          <w:snapToGrid/>
          <w:sz w:val="22"/>
          <w:szCs w:val="18"/>
          <w:lang w:val="de-D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6307"/>
      </w:tblGrid>
      <w:tr w:rsidR="00FD5786" w:rsidRPr="003A5281" w:rsidTr="002E624D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FD5786">
              <w:rPr>
                <w:rFonts w:eastAsia="Arial"/>
                <w:i/>
                <w:snapToGrid/>
                <w:color w:val="000000"/>
                <w:lang w:val="de-DE" w:eastAsia="en-US"/>
              </w:rPr>
              <w:t>Zusammenfassung</w:t>
            </w:r>
          </w:p>
        </w:tc>
        <w:tc>
          <w:tcPr>
            <w:tcW w:w="6307" w:type="dxa"/>
          </w:tcPr>
          <w:p w:rsidR="00FD5786" w:rsidRPr="00FD5786" w:rsidRDefault="00FD5786" w:rsidP="00FD57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</w:p>
        </w:tc>
      </w:tr>
      <w:tr w:rsidR="00FD5786" w:rsidRPr="001626FB" w:rsidTr="002E624D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Analytische</w:t>
            </w:r>
          </w:p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Zusammenfassung:</w:t>
            </w:r>
          </w:p>
        </w:tc>
        <w:tc>
          <w:tcPr>
            <w:tcW w:w="6307" w:type="dxa"/>
          </w:tcPr>
          <w:p w:rsidR="00FD5786" w:rsidRPr="00FD5786" w:rsidRDefault="008316DC" w:rsidP="004841E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bCs/>
                <w:snapToGrid/>
                <w:color w:val="000000"/>
                <w:lang w:val="de-DE"/>
              </w:rPr>
              <w:t>Die Unterabschnitte 7.1.5.4.1 und 7.2.5.4.1 weichen textlich voneinander ab, obwohl (nach Meinung der deutschen Delegation) der Regelungsinhalt identisch sein soll.</w:t>
            </w:r>
          </w:p>
        </w:tc>
      </w:tr>
      <w:tr w:rsidR="00FD5786" w:rsidRPr="003A5281" w:rsidTr="002E624D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Zu ergreifende</w:t>
            </w:r>
          </w:p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Maßnahme:</w:t>
            </w:r>
          </w:p>
        </w:tc>
        <w:tc>
          <w:tcPr>
            <w:tcW w:w="6307" w:type="dxa"/>
          </w:tcPr>
          <w:p w:rsidR="00FD5786" w:rsidRPr="00FD5786" w:rsidRDefault="008316DC" w:rsidP="00FD57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bCs/>
                <w:snapToGrid/>
                <w:color w:val="000000"/>
                <w:lang w:val="de-DE"/>
              </w:rPr>
              <w:t>Angleichung von 7.1.5.4.1 und 7.2.5.4.1</w:t>
            </w:r>
          </w:p>
        </w:tc>
      </w:tr>
      <w:tr w:rsidR="00FD5786" w:rsidRPr="00FD5786" w:rsidTr="002E624D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Verbundene Dokumente:</w:t>
            </w:r>
          </w:p>
        </w:tc>
        <w:tc>
          <w:tcPr>
            <w:tcW w:w="6307" w:type="dxa"/>
          </w:tcPr>
          <w:p w:rsidR="00906C0C" w:rsidRPr="00906C0C" w:rsidRDefault="008316DC" w:rsidP="00B809B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jc w:val="both"/>
              <w:textAlignment w:val="baseline"/>
              <w:rPr>
                <w:snapToGrid/>
                <w:color w:val="000000"/>
                <w:lang w:val="en-US" w:eastAsia="en-US"/>
              </w:rPr>
            </w:pPr>
            <w:proofErr w:type="spellStart"/>
            <w:r>
              <w:rPr>
                <w:bCs/>
                <w:snapToGrid/>
                <w:color w:val="000000"/>
                <w:lang w:val="en-US"/>
              </w:rPr>
              <w:t>Keine</w:t>
            </w:r>
            <w:proofErr w:type="spellEnd"/>
          </w:p>
        </w:tc>
      </w:tr>
    </w:tbl>
    <w:p w:rsidR="00B83204" w:rsidRPr="00906C0C" w:rsidRDefault="00B8320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en-US"/>
        </w:rPr>
      </w:pPr>
    </w:p>
    <w:p w:rsidR="001626FB" w:rsidRDefault="001626FB">
      <w:pPr>
        <w:suppressAutoHyphens w:val="0"/>
        <w:spacing w:line="240" w:lineRule="auto"/>
        <w:rPr>
          <w:b/>
          <w:bCs/>
          <w:snapToGrid/>
          <w:sz w:val="24"/>
          <w:szCs w:val="24"/>
          <w:lang w:val="de-DE"/>
        </w:rPr>
      </w:pPr>
      <w:r>
        <w:rPr>
          <w:b/>
          <w:bCs/>
          <w:snapToGrid/>
          <w:sz w:val="24"/>
          <w:szCs w:val="24"/>
          <w:lang w:val="de-DE"/>
        </w:rPr>
        <w:br w:type="page"/>
      </w:r>
    </w:p>
    <w:p w:rsidR="00FD5786" w:rsidRPr="00852F91" w:rsidRDefault="00B8320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sz w:val="24"/>
          <w:szCs w:val="24"/>
          <w:lang w:val="de-DE"/>
        </w:rPr>
      </w:pPr>
      <w:r w:rsidRPr="00852F91">
        <w:rPr>
          <w:b/>
          <w:bCs/>
          <w:snapToGrid/>
          <w:sz w:val="24"/>
          <w:szCs w:val="24"/>
          <w:lang w:val="de-DE"/>
        </w:rPr>
        <w:lastRenderedPageBreak/>
        <w:t>I.</w:t>
      </w:r>
      <w:r w:rsidRPr="00852F91">
        <w:rPr>
          <w:b/>
          <w:bCs/>
          <w:snapToGrid/>
          <w:sz w:val="24"/>
          <w:szCs w:val="24"/>
          <w:lang w:val="de-DE"/>
        </w:rPr>
        <w:tab/>
      </w:r>
      <w:r w:rsidR="00FD5786" w:rsidRPr="00852F91">
        <w:rPr>
          <w:b/>
          <w:bCs/>
          <w:snapToGrid/>
          <w:sz w:val="24"/>
          <w:szCs w:val="24"/>
          <w:lang w:val="de-DE"/>
        </w:rPr>
        <w:t>Einleitung</w:t>
      </w:r>
    </w:p>
    <w:p w:rsidR="00FD5786" w:rsidRPr="00852F91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de-DE"/>
        </w:rPr>
      </w:pPr>
    </w:p>
    <w:p w:rsidR="00FD5786" w:rsidRDefault="00FD5786" w:rsidP="008316DC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 w:rsidRPr="00852F91">
        <w:rPr>
          <w:snapToGrid/>
          <w:lang w:val="de-DE"/>
        </w:rPr>
        <w:t>1.</w:t>
      </w:r>
      <w:r w:rsidRPr="00852F91">
        <w:rPr>
          <w:snapToGrid/>
          <w:lang w:val="de-DE"/>
        </w:rPr>
        <w:tab/>
      </w:r>
      <w:r w:rsidR="008316DC">
        <w:rPr>
          <w:snapToGrid/>
          <w:lang w:val="de-DE"/>
        </w:rPr>
        <w:t>Relevante Vorschriften:</w:t>
      </w:r>
    </w:p>
    <w:p w:rsidR="008316DC" w:rsidRDefault="008316DC" w:rsidP="008316DC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8316DC" w:rsidRPr="0021330E" w:rsidRDefault="003C3369" w:rsidP="0021330E">
      <w:pPr>
        <w:pStyle w:val="ADN11"/>
        <w:spacing w:line="360" w:lineRule="auto"/>
        <w:ind w:left="1701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„</w:t>
      </w:r>
      <w:r w:rsidR="008316DC" w:rsidRPr="0021330E">
        <w:rPr>
          <w:rFonts w:ascii="Times New Roman" w:hAnsi="Times New Roman"/>
          <w:i/>
          <w:sz w:val="20"/>
          <w:szCs w:val="22"/>
        </w:rPr>
        <w:t>7.1.5.4</w:t>
      </w:r>
      <w:r w:rsidR="008316DC" w:rsidRPr="0021330E">
        <w:rPr>
          <w:rFonts w:ascii="Times New Roman" w:hAnsi="Times New Roman"/>
          <w:i/>
          <w:sz w:val="20"/>
          <w:szCs w:val="22"/>
        </w:rPr>
        <w:tab/>
        <w:t>Stillliegen</w:t>
      </w:r>
    </w:p>
    <w:p w:rsidR="008316DC" w:rsidRPr="001626FB" w:rsidRDefault="008316DC" w:rsidP="00F6687E">
      <w:pPr>
        <w:ind w:left="1701" w:hanging="1134"/>
        <w:rPr>
          <w:szCs w:val="22"/>
          <w:lang w:val="de-DE"/>
        </w:rPr>
      </w:pPr>
      <w:r w:rsidRPr="001626FB">
        <w:rPr>
          <w:szCs w:val="22"/>
          <w:lang w:val="de-DE"/>
        </w:rPr>
        <w:t>7.1.5.4.1</w:t>
      </w:r>
      <w:r w:rsidRPr="001626FB">
        <w:rPr>
          <w:szCs w:val="22"/>
          <w:lang w:val="de-DE"/>
        </w:rPr>
        <w:tab/>
        <w:t>Schiffe, die gefährliche Güter befördern, dürfen nicht in geringerer Entfernung von anderen Schiffen stil</w:t>
      </w:r>
      <w:r w:rsidR="00ED690C" w:rsidRPr="001626FB">
        <w:rPr>
          <w:szCs w:val="22"/>
          <w:lang w:val="de-DE"/>
        </w:rPr>
        <w:t>l</w:t>
      </w:r>
      <w:r w:rsidRPr="001626FB">
        <w:rPr>
          <w:szCs w:val="22"/>
          <w:lang w:val="de-DE"/>
        </w:rPr>
        <w:t>liegen als im CEVNI vorgeschrieben.</w:t>
      </w:r>
      <w:r w:rsidR="003C3369" w:rsidRPr="001626FB">
        <w:rPr>
          <w:szCs w:val="22"/>
          <w:lang w:val="de-DE"/>
        </w:rPr>
        <w:t>“</w:t>
      </w:r>
    </w:p>
    <w:p w:rsidR="008316DC" w:rsidRPr="0021330E" w:rsidRDefault="008316DC" w:rsidP="0021330E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1701" w:right="567"/>
        <w:jc w:val="both"/>
        <w:textAlignment w:val="baseline"/>
        <w:rPr>
          <w:i/>
          <w:snapToGrid/>
          <w:szCs w:val="22"/>
          <w:lang w:val="de-DE"/>
        </w:rPr>
      </w:pPr>
    </w:p>
    <w:p w:rsidR="008316DC" w:rsidRPr="0021330E" w:rsidRDefault="003C3369" w:rsidP="0021330E">
      <w:pPr>
        <w:pStyle w:val="ADN11"/>
        <w:spacing w:line="360" w:lineRule="auto"/>
        <w:ind w:left="1701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„</w:t>
      </w:r>
      <w:r w:rsidR="008316DC" w:rsidRPr="0021330E">
        <w:rPr>
          <w:rFonts w:ascii="Times New Roman" w:hAnsi="Times New Roman"/>
          <w:i/>
          <w:sz w:val="20"/>
          <w:szCs w:val="22"/>
        </w:rPr>
        <w:t>7.2.5.4</w:t>
      </w:r>
      <w:r w:rsidR="008316DC" w:rsidRPr="0021330E">
        <w:rPr>
          <w:rFonts w:ascii="Times New Roman" w:hAnsi="Times New Roman"/>
          <w:i/>
          <w:sz w:val="20"/>
          <w:szCs w:val="22"/>
        </w:rPr>
        <w:tab/>
        <w:t>Stillliegen</w:t>
      </w:r>
    </w:p>
    <w:p w:rsidR="008316DC" w:rsidRPr="001626FB" w:rsidRDefault="008316DC" w:rsidP="00F6687E">
      <w:pPr>
        <w:ind w:left="1701" w:hanging="1134"/>
        <w:rPr>
          <w:szCs w:val="22"/>
          <w:lang w:val="de-DE"/>
        </w:rPr>
      </w:pPr>
      <w:r w:rsidRPr="001626FB">
        <w:rPr>
          <w:szCs w:val="22"/>
          <w:lang w:val="de-DE"/>
        </w:rPr>
        <w:t>7.2.5.4.1</w:t>
      </w:r>
      <w:r w:rsidRPr="001626FB">
        <w:rPr>
          <w:szCs w:val="22"/>
          <w:lang w:val="de-DE"/>
        </w:rPr>
        <w:tab/>
        <w:t>Schiffe, die gefährliche Güter befördern, dürfen nicht in geringerer Entfernung von anderen Schiffen stillliegen als in den in Unterabschnitt 1.1.4.6 genannten Vorschriften vorgeschrieben.</w:t>
      </w:r>
      <w:r w:rsidR="003C3369" w:rsidRPr="001626FB">
        <w:rPr>
          <w:szCs w:val="22"/>
          <w:lang w:val="de-DE"/>
        </w:rPr>
        <w:t>“</w:t>
      </w:r>
    </w:p>
    <w:p w:rsidR="00FD5786" w:rsidRPr="00ED690C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sz w:val="18"/>
          <w:lang w:val="de-DE"/>
        </w:rPr>
      </w:pPr>
    </w:p>
    <w:p w:rsidR="003F1667" w:rsidRDefault="003F1667" w:rsidP="00ED690C">
      <w:pPr>
        <w:rPr>
          <w:szCs w:val="22"/>
          <w:lang w:val="de-DE"/>
        </w:rPr>
      </w:pPr>
      <w:r>
        <w:rPr>
          <w:szCs w:val="22"/>
          <w:lang w:val="de-DE"/>
        </w:rPr>
        <w:t>2.</w:t>
      </w:r>
      <w:r>
        <w:rPr>
          <w:szCs w:val="22"/>
          <w:lang w:val="de-DE"/>
        </w:rPr>
        <w:tab/>
      </w:r>
      <w:r w:rsidRPr="003F1667">
        <w:rPr>
          <w:szCs w:val="22"/>
          <w:lang w:val="de-DE"/>
        </w:rPr>
        <w:t>In Unterabschnitt 1.1.4.6 ADN</w:t>
      </w:r>
      <w:r w:rsidR="00ED690C" w:rsidRPr="003F1667">
        <w:rPr>
          <w:szCs w:val="22"/>
          <w:lang w:val="de-DE"/>
        </w:rPr>
        <w:t xml:space="preserve"> wird auf die „örtlichen, regionalen oder internationalen Vorschriften, die generell für die Güterbeförderung</w:t>
      </w:r>
      <w:r w:rsidR="0021330E">
        <w:rPr>
          <w:szCs w:val="22"/>
          <w:lang w:val="de-DE"/>
        </w:rPr>
        <w:t xml:space="preserve"> auf Binnenwasserstraßen gelten</w:t>
      </w:r>
      <w:r w:rsidR="00ED690C" w:rsidRPr="003F1667">
        <w:rPr>
          <w:szCs w:val="22"/>
          <w:lang w:val="de-DE"/>
        </w:rPr>
        <w:t xml:space="preserve">“ </w:t>
      </w:r>
      <w:r w:rsidR="00A437CC">
        <w:rPr>
          <w:szCs w:val="22"/>
          <w:lang w:val="de-DE"/>
        </w:rPr>
        <w:t>verwiesen.</w:t>
      </w:r>
    </w:p>
    <w:p w:rsidR="00A437CC" w:rsidRDefault="00A437CC" w:rsidP="00ED690C">
      <w:pPr>
        <w:rPr>
          <w:szCs w:val="22"/>
          <w:lang w:val="de-DE"/>
        </w:rPr>
      </w:pPr>
    </w:p>
    <w:p w:rsidR="00A437CC" w:rsidRDefault="00A437CC" w:rsidP="00ED690C">
      <w:pPr>
        <w:rPr>
          <w:szCs w:val="22"/>
          <w:lang w:val="de-DE"/>
        </w:rPr>
      </w:pPr>
      <w:r>
        <w:rPr>
          <w:szCs w:val="22"/>
          <w:lang w:val="de-DE"/>
        </w:rPr>
        <w:t>3.</w:t>
      </w:r>
      <w:r>
        <w:rPr>
          <w:szCs w:val="22"/>
          <w:lang w:val="de-DE"/>
        </w:rPr>
        <w:tab/>
        <w:t>Der deutschen Delegation ist nicht bekannt, ob bei diesen beiden Absätzen bewusst eine Unterscheidung vorgenommen wurde.</w:t>
      </w:r>
    </w:p>
    <w:p w:rsidR="00DE10C7" w:rsidRDefault="00DE10C7" w:rsidP="00ED690C">
      <w:pPr>
        <w:rPr>
          <w:szCs w:val="22"/>
          <w:lang w:val="de-DE"/>
        </w:rPr>
      </w:pPr>
    </w:p>
    <w:p w:rsidR="00DE10C7" w:rsidRPr="003F1667" w:rsidRDefault="00DE10C7" w:rsidP="00ED690C">
      <w:pPr>
        <w:rPr>
          <w:szCs w:val="22"/>
          <w:lang w:val="de-DE"/>
        </w:rPr>
      </w:pPr>
      <w:r>
        <w:rPr>
          <w:szCs w:val="22"/>
          <w:lang w:val="de-DE"/>
        </w:rPr>
        <w:t>4.</w:t>
      </w:r>
      <w:r>
        <w:rPr>
          <w:szCs w:val="22"/>
          <w:lang w:val="de-DE"/>
        </w:rPr>
        <w:tab/>
        <w:t>Es ist nicht klar, ob CEVNI zu den in 1.1.4.6 ADN genannten „</w:t>
      </w:r>
      <w:r w:rsidRPr="003F1667">
        <w:rPr>
          <w:szCs w:val="22"/>
          <w:lang w:val="de-DE"/>
        </w:rPr>
        <w:t>internationalen Vorschriften, die generell für die Güterbeförderung auf Binnenwasserstraßen gelten</w:t>
      </w:r>
      <w:r>
        <w:rPr>
          <w:szCs w:val="22"/>
          <w:lang w:val="de-DE"/>
        </w:rPr>
        <w:t>“ gehört.</w:t>
      </w:r>
    </w:p>
    <w:p w:rsidR="003F1667" w:rsidRDefault="003F1667" w:rsidP="00ED690C">
      <w:pPr>
        <w:rPr>
          <w:szCs w:val="22"/>
          <w:lang w:val="de-DE"/>
        </w:rPr>
      </w:pPr>
    </w:p>
    <w:p w:rsidR="00605C39" w:rsidRDefault="00DE10C7" w:rsidP="00ED690C">
      <w:pPr>
        <w:rPr>
          <w:szCs w:val="22"/>
          <w:lang w:val="de-DE"/>
        </w:rPr>
      </w:pPr>
      <w:r>
        <w:rPr>
          <w:szCs w:val="22"/>
          <w:lang w:val="de-DE"/>
        </w:rPr>
        <w:t>5.</w:t>
      </w:r>
      <w:r>
        <w:rPr>
          <w:szCs w:val="22"/>
          <w:lang w:val="de-DE"/>
        </w:rPr>
        <w:tab/>
      </w:r>
      <w:r w:rsidR="00605C39">
        <w:rPr>
          <w:szCs w:val="22"/>
          <w:lang w:val="de-DE"/>
        </w:rPr>
        <w:t>Bei unterschiedlichen Verweisen besteht die Besorgnis, dass für Trockengüter- und Tankschiffe unterschiedliche Mindestabstände – CEVNI oder örtliches Recht – gelten. Dies kann den Vollzug der zuständigen Behörden erschweren.</w:t>
      </w:r>
    </w:p>
    <w:p w:rsidR="00DE10C7" w:rsidRDefault="00DE10C7" w:rsidP="00ED690C">
      <w:pPr>
        <w:rPr>
          <w:szCs w:val="22"/>
          <w:lang w:val="de-DE"/>
        </w:rPr>
      </w:pPr>
    </w:p>
    <w:p w:rsidR="001626FB" w:rsidRPr="003F1667" w:rsidRDefault="001626FB" w:rsidP="00ED690C">
      <w:pPr>
        <w:rPr>
          <w:szCs w:val="22"/>
          <w:lang w:val="de-DE"/>
        </w:rPr>
      </w:pPr>
    </w:p>
    <w:p w:rsidR="00FD5786" w:rsidRPr="00FD5786" w:rsidRDefault="003151F1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827320">
        <w:rPr>
          <w:b/>
          <w:snapToGrid/>
          <w:sz w:val="24"/>
          <w:szCs w:val="24"/>
          <w:lang w:val="de-DE"/>
        </w:rPr>
        <w:t>II.</w:t>
      </w:r>
      <w:r w:rsidRPr="00827320">
        <w:rPr>
          <w:b/>
          <w:snapToGrid/>
          <w:sz w:val="24"/>
          <w:szCs w:val="24"/>
          <w:lang w:val="de-DE"/>
        </w:rPr>
        <w:tab/>
      </w:r>
      <w:r w:rsidR="00740C9B">
        <w:rPr>
          <w:b/>
          <w:snapToGrid/>
          <w:sz w:val="24"/>
          <w:szCs w:val="24"/>
          <w:lang w:val="de-DE"/>
        </w:rPr>
        <w:t>Vorschlag</w:t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D30118" w:rsidRDefault="0021330E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6</w:t>
      </w:r>
      <w:r w:rsidR="00FD5786" w:rsidRPr="00FD5786">
        <w:rPr>
          <w:snapToGrid/>
          <w:lang w:val="de-DE"/>
        </w:rPr>
        <w:t>.</w:t>
      </w:r>
      <w:r w:rsidR="00FD5786" w:rsidRPr="00FD5786">
        <w:rPr>
          <w:snapToGrid/>
          <w:lang w:val="de-DE"/>
        </w:rPr>
        <w:tab/>
      </w:r>
      <w:r w:rsidR="003F1667">
        <w:rPr>
          <w:snapToGrid/>
          <w:lang w:val="de-DE"/>
        </w:rPr>
        <w:t>Absatz</w:t>
      </w:r>
      <w:r w:rsidR="00D30118">
        <w:rPr>
          <w:snapToGrid/>
          <w:lang w:val="de-DE"/>
        </w:rPr>
        <w:t xml:space="preserve"> </w:t>
      </w:r>
      <w:r w:rsidR="003F1667">
        <w:rPr>
          <w:snapToGrid/>
          <w:lang w:val="de-DE"/>
        </w:rPr>
        <w:t>7.</w:t>
      </w:r>
      <w:r w:rsidR="00DE10C7">
        <w:rPr>
          <w:snapToGrid/>
          <w:lang w:val="de-DE"/>
        </w:rPr>
        <w:t>2</w:t>
      </w:r>
      <w:r w:rsidR="003F1667">
        <w:rPr>
          <w:snapToGrid/>
          <w:lang w:val="de-DE"/>
        </w:rPr>
        <w:t>.5.4.</w:t>
      </w:r>
      <w:r w:rsidR="00D30118">
        <w:rPr>
          <w:snapToGrid/>
          <w:lang w:val="de-DE"/>
        </w:rPr>
        <w:t>1 ADN wie folgt ändern:</w:t>
      </w:r>
    </w:p>
    <w:p w:rsidR="00605C39" w:rsidRPr="00ED690C" w:rsidRDefault="00015FC7" w:rsidP="001626FB">
      <w:pPr>
        <w:spacing w:before="180"/>
        <w:ind w:left="567"/>
        <w:rPr>
          <w:szCs w:val="22"/>
          <w:lang w:val="de-DE"/>
        </w:rPr>
      </w:pPr>
      <w:r w:rsidRPr="005244B7">
        <w:rPr>
          <w:szCs w:val="18"/>
          <w:lang w:val="de-DE"/>
        </w:rPr>
        <w:t>„</w:t>
      </w:r>
      <w:r w:rsidR="00605C39" w:rsidRPr="001626FB">
        <w:rPr>
          <w:szCs w:val="22"/>
          <w:lang w:val="de-DE"/>
        </w:rPr>
        <w:t>7.2.5.4.1</w:t>
      </w:r>
      <w:r w:rsidR="00605C39" w:rsidRPr="00ED690C">
        <w:rPr>
          <w:szCs w:val="22"/>
          <w:lang w:val="de-DE"/>
        </w:rPr>
        <w:tab/>
        <w:t xml:space="preserve">Schiffe, die gefährliche Güter befördern, dürfen nicht in geringerer Entfernung von anderen Schiffen stillliegen als </w:t>
      </w:r>
      <w:r w:rsidR="00605C39" w:rsidRPr="00605C39">
        <w:rPr>
          <w:strike/>
          <w:szCs w:val="22"/>
          <w:lang w:val="de-DE"/>
        </w:rPr>
        <w:t>in den in Unterabschnitt 1.1.4.6 genannten Vorschriften</w:t>
      </w:r>
      <w:r w:rsidR="00605C39" w:rsidRPr="00ED690C">
        <w:rPr>
          <w:szCs w:val="22"/>
          <w:lang w:val="de-DE"/>
        </w:rPr>
        <w:t xml:space="preserve"> im CEVNI vorgeschrieben.</w:t>
      </w:r>
      <w:r w:rsidR="00605C39">
        <w:rPr>
          <w:szCs w:val="22"/>
          <w:lang w:val="de-DE"/>
        </w:rPr>
        <w:t>“.</w:t>
      </w:r>
    </w:p>
    <w:p w:rsidR="005244B7" w:rsidRDefault="005244B7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296770" w:rsidRDefault="00B73F75" w:rsidP="00296770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7.</w:t>
      </w:r>
      <w:r w:rsidR="00296770">
        <w:rPr>
          <w:snapToGrid/>
          <w:lang w:val="de-DE"/>
        </w:rPr>
        <w:tab/>
        <w:t>Das ADN nimmt an folgenden Stellen auf das CEVNI Bezug: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ind w:left="993" w:right="567" w:hanging="426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1.2.1 „Schiffsführer“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ind w:left="993" w:right="567" w:hanging="426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7.1.5.0.1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ind w:left="993" w:right="567" w:hanging="426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7.1.5.0.5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ind w:left="993" w:right="567" w:hanging="426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7.2.5.0.1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ind w:left="993" w:right="567" w:hanging="426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7.2.5.0.3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ind w:left="993" w:right="567" w:hanging="426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8.1.2.6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ind w:left="993" w:right="567" w:hanging="426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8.1.2.7</w:t>
      </w:r>
    </w:p>
    <w:p w:rsidR="00296770" w:rsidRPr="001626FB" w:rsidRDefault="00296770" w:rsidP="001626FB">
      <w:pPr>
        <w:pStyle w:val="ListParagraph"/>
        <w:widowControl w:val="0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ind w:left="993" w:right="567" w:hanging="426"/>
        <w:jc w:val="both"/>
        <w:textAlignment w:val="baseline"/>
        <w:rPr>
          <w:snapToGrid/>
          <w:lang w:val="de-DE"/>
        </w:rPr>
      </w:pPr>
      <w:r w:rsidRPr="001626FB">
        <w:rPr>
          <w:snapToGrid/>
          <w:lang w:val="de-DE"/>
        </w:rPr>
        <w:t>8.2.2.7.1.6</w:t>
      </w:r>
    </w:p>
    <w:p w:rsidR="001626FB" w:rsidRDefault="001626FB">
      <w:pPr>
        <w:suppressAutoHyphens w:val="0"/>
        <w:spacing w:line="240" w:lineRule="auto"/>
        <w:rPr>
          <w:snapToGrid/>
          <w:lang w:val="de-DE"/>
        </w:rPr>
      </w:pPr>
      <w:r>
        <w:rPr>
          <w:snapToGrid/>
          <w:lang w:val="de-DE"/>
        </w:rPr>
        <w:br w:type="page"/>
      </w:r>
    </w:p>
    <w:p w:rsidR="00296770" w:rsidRDefault="00B73F75" w:rsidP="00296770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lastRenderedPageBreak/>
        <w:t>8</w:t>
      </w:r>
      <w:r w:rsidR="00296770">
        <w:rPr>
          <w:snapToGrid/>
          <w:lang w:val="de-DE"/>
        </w:rPr>
        <w:t>.</w:t>
      </w:r>
      <w:r w:rsidR="00296770">
        <w:rPr>
          <w:snapToGrid/>
          <w:lang w:val="de-DE"/>
        </w:rPr>
        <w:tab/>
        <w:t>Das ADN nimmt an folgenden Stellen Bezug auf 1.1.4.6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ind w:left="851" w:right="567" w:hanging="284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7.x.4.76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ind w:left="851" w:right="567" w:hanging="284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7.x.5.8.1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ind w:left="851" w:right="567" w:hanging="284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7.2.3.29.1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ind w:left="851" w:right="567" w:hanging="284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7.2.4.15.1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ind w:left="851" w:right="567" w:hanging="284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7.2.5.4.1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ind w:left="851" w:right="567" w:hanging="284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8.1.4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ind w:left="851" w:right="567" w:hanging="284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9.x.0.94.2</w:t>
      </w:r>
    </w:p>
    <w:p w:rsidR="00296770" w:rsidRPr="0021330E" w:rsidRDefault="00296770" w:rsidP="001626FB">
      <w:pPr>
        <w:pStyle w:val="ListParagraph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ind w:left="851" w:right="567" w:hanging="284"/>
        <w:jc w:val="both"/>
        <w:textAlignment w:val="baseline"/>
        <w:rPr>
          <w:snapToGrid/>
          <w:lang w:val="de-DE"/>
        </w:rPr>
      </w:pPr>
      <w:r w:rsidRPr="0021330E">
        <w:rPr>
          <w:snapToGrid/>
          <w:lang w:val="de-DE"/>
        </w:rPr>
        <w:t>9.3.x.50.1</w:t>
      </w:r>
    </w:p>
    <w:p w:rsidR="00296770" w:rsidRDefault="00296770" w:rsidP="00296770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296770" w:rsidRDefault="00B73F75" w:rsidP="00296770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9</w:t>
      </w:r>
      <w:r w:rsidR="00296770">
        <w:rPr>
          <w:snapToGrid/>
          <w:lang w:val="de-DE"/>
        </w:rPr>
        <w:t>.</w:t>
      </w:r>
      <w:r w:rsidR="00296770">
        <w:rPr>
          <w:snapToGrid/>
          <w:lang w:val="de-DE"/>
        </w:rPr>
        <w:tab/>
        <w:t>Die deutsche Delegation erkennt kein System hinter den unterschiedlichen Verweisen. Der ADN-Sicherheitsausschuss könnte prüfen, ob hier eine Vereinheitlichung möglich ist oder worin die Gründe für die Differenzierung liegen.</w:t>
      </w:r>
    </w:p>
    <w:p w:rsidR="003B642C" w:rsidRDefault="003B642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21330E" w:rsidRPr="00FD5786" w:rsidRDefault="0021330E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Pr="00FD5786" w:rsidRDefault="003151F1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827320">
        <w:rPr>
          <w:b/>
          <w:snapToGrid/>
          <w:sz w:val="24"/>
          <w:szCs w:val="24"/>
          <w:lang w:val="de-DE"/>
        </w:rPr>
        <w:t>III.</w:t>
      </w:r>
      <w:r w:rsidRPr="00827320">
        <w:rPr>
          <w:b/>
          <w:snapToGrid/>
          <w:sz w:val="24"/>
          <w:szCs w:val="24"/>
          <w:lang w:val="de-DE"/>
        </w:rPr>
        <w:tab/>
      </w:r>
      <w:r w:rsidR="00E20C38">
        <w:rPr>
          <w:b/>
          <w:snapToGrid/>
          <w:sz w:val="24"/>
          <w:szCs w:val="24"/>
          <w:lang w:val="de-DE"/>
        </w:rPr>
        <w:t>Begründung</w:t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Default="00B73F75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10</w:t>
      </w:r>
      <w:r w:rsidR="00FD5786" w:rsidRPr="00FD5786">
        <w:rPr>
          <w:snapToGrid/>
          <w:lang w:val="de-DE"/>
        </w:rPr>
        <w:t>.</w:t>
      </w:r>
      <w:r w:rsidR="00FD5786" w:rsidRPr="00FD5786">
        <w:rPr>
          <w:snapToGrid/>
          <w:lang w:val="de-DE"/>
        </w:rPr>
        <w:tab/>
      </w:r>
      <w:r w:rsidR="003B642C">
        <w:rPr>
          <w:snapToGrid/>
          <w:lang w:val="de-DE"/>
        </w:rPr>
        <w:t>Es sind keine materiellen Gründe erkennbar, warum bei Trockengüterschiffen und Tankschiffen andere Rechtsvorschriften für die Mindestabstände herangezogen werden sollten. Die Änderung vereinfacht den behördlichen Vollzug, weil keine Differenzierungen bei Trockengüter- und Tankschiffen erforderlich sind.</w:t>
      </w:r>
    </w:p>
    <w:p w:rsidR="00AF65F9" w:rsidRDefault="00AF65F9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AF65F9" w:rsidRPr="00FD5786" w:rsidRDefault="00B73F75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11</w:t>
      </w:r>
      <w:r w:rsidR="00AF65F9">
        <w:rPr>
          <w:snapToGrid/>
          <w:lang w:val="de-DE"/>
        </w:rPr>
        <w:t>.</w:t>
      </w:r>
      <w:r w:rsidR="00AF65F9">
        <w:rPr>
          <w:snapToGrid/>
          <w:lang w:val="de-DE"/>
        </w:rPr>
        <w:tab/>
        <w:t>Das ADN als internationale</w:t>
      </w:r>
      <w:r w:rsidR="00296770">
        <w:rPr>
          <w:snapToGrid/>
          <w:lang w:val="de-DE"/>
        </w:rPr>
        <w:t>r</w:t>
      </w:r>
      <w:r w:rsidR="00AF65F9">
        <w:rPr>
          <w:snapToGrid/>
          <w:lang w:val="de-DE"/>
        </w:rPr>
        <w:t xml:space="preserve"> </w:t>
      </w:r>
      <w:r w:rsidR="00296770">
        <w:rPr>
          <w:snapToGrid/>
          <w:lang w:val="de-DE"/>
        </w:rPr>
        <w:t>Vertrag</w:t>
      </w:r>
      <w:r w:rsidR="00AF65F9">
        <w:rPr>
          <w:snapToGrid/>
          <w:lang w:val="de-DE"/>
        </w:rPr>
        <w:t xml:space="preserve"> sollte zuerst auf andere, auf </w:t>
      </w:r>
      <w:proofErr w:type="gramStart"/>
      <w:r w:rsidR="00AF65F9">
        <w:rPr>
          <w:snapToGrid/>
          <w:lang w:val="de-DE"/>
        </w:rPr>
        <w:t>der</w:t>
      </w:r>
      <w:proofErr w:type="gramEnd"/>
      <w:r w:rsidR="00AF65F9">
        <w:rPr>
          <w:snapToGrid/>
          <w:lang w:val="de-DE"/>
        </w:rPr>
        <w:t xml:space="preserve"> gleichen Ebenen </w:t>
      </w:r>
      <w:r w:rsidR="00296770">
        <w:rPr>
          <w:snapToGrid/>
          <w:lang w:val="de-DE"/>
        </w:rPr>
        <w:t>abgeschlossene</w:t>
      </w:r>
      <w:r w:rsidR="00AF65F9">
        <w:rPr>
          <w:snapToGrid/>
          <w:lang w:val="de-DE"/>
        </w:rPr>
        <w:t xml:space="preserve"> internationale </w:t>
      </w:r>
      <w:r w:rsidR="00296770">
        <w:rPr>
          <w:snapToGrid/>
          <w:lang w:val="de-DE"/>
        </w:rPr>
        <w:t>Verträge Bezug nehmen.</w:t>
      </w:r>
    </w:p>
    <w:p w:rsid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D2CBC" w:rsidRDefault="007D2CB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40C9B" w:rsidRPr="001626FB" w:rsidRDefault="00740C9B" w:rsidP="00740C9B">
      <w:pPr>
        <w:rPr>
          <w:b/>
          <w:sz w:val="24"/>
          <w:lang w:val="de-DE"/>
        </w:rPr>
      </w:pPr>
      <w:r w:rsidRPr="001626FB">
        <w:rPr>
          <w:b/>
          <w:sz w:val="24"/>
          <w:lang w:val="de-DE"/>
        </w:rPr>
        <w:t>IV.</w:t>
      </w:r>
      <w:r w:rsidRPr="001626FB">
        <w:rPr>
          <w:b/>
          <w:sz w:val="24"/>
          <w:lang w:val="de-DE"/>
        </w:rPr>
        <w:tab/>
        <w:t>Sicherheit</w:t>
      </w:r>
    </w:p>
    <w:p w:rsidR="00740C9B" w:rsidRDefault="00740C9B" w:rsidP="00740C9B">
      <w:pPr>
        <w:rPr>
          <w:sz w:val="24"/>
          <w:lang w:val="de-DE"/>
        </w:rPr>
      </w:pPr>
    </w:p>
    <w:p w:rsidR="00740C9B" w:rsidRPr="007D6B79" w:rsidRDefault="00B73F75" w:rsidP="007D6B79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12</w:t>
      </w:r>
      <w:r w:rsidR="00740C9B" w:rsidRPr="007D6B79">
        <w:rPr>
          <w:snapToGrid/>
          <w:lang w:val="de-DE"/>
        </w:rPr>
        <w:t>.</w:t>
      </w:r>
      <w:r w:rsidR="00740C9B" w:rsidRPr="007D6B79">
        <w:rPr>
          <w:snapToGrid/>
          <w:lang w:val="de-DE"/>
        </w:rPr>
        <w:tab/>
        <w:t xml:space="preserve">Die Sicherheit der Beförderung wird durch diese Änderung nicht beeinträchtigt. </w:t>
      </w:r>
      <w:r w:rsidR="007D2CBC">
        <w:rPr>
          <w:snapToGrid/>
          <w:lang w:val="de-DE"/>
        </w:rPr>
        <w:t>Die Mindestabstände werden, jedenfalls in Deutschland, nicht verändert. CEVNI und das anwendbare nationale Recht enthalten die gleichen Mindestabstände.</w:t>
      </w:r>
    </w:p>
    <w:p w:rsidR="00740C9B" w:rsidRDefault="00740C9B" w:rsidP="00740C9B">
      <w:pPr>
        <w:rPr>
          <w:sz w:val="24"/>
          <w:lang w:val="de-DE"/>
        </w:rPr>
      </w:pPr>
    </w:p>
    <w:p w:rsidR="00F6687E" w:rsidRDefault="00F6687E" w:rsidP="00740C9B">
      <w:pPr>
        <w:rPr>
          <w:sz w:val="24"/>
          <w:lang w:val="de-DE"/>
        </w:rPr>
      </w:pPr>
    </w:p>
    <w:p w:rsidR="00740C9B" w:rsidRPr="00F6687E" w:rsidRDefault="00740C9B" w:rsidP="00740C9B">
      <w:pPr>
        <w:rPr>
          <w:b/>
          <w:sz w:val="24"/>
          <w:lang w:val="de-DE"/>
        </w:rPr>
      </w:pPr>
      <w:r w:rsidRPr="00F6687E">
        <w:rPr>
          <w:b/>
          <w:sz w:val="24"/>
          <w:lang w:val="de-DE"/>
        </w:rPr>
        <w:t>V.</w:t>
      </w:r>
      <w:r w:rsidRPr="00F6687E">
        <w:rPr>
          <w:b/>
          <w:sz w:val="24"/>
          <w:lang w:val="de-DE"/>
        </w:rPr>
        <w:tab/>
        <w:t>Umsetzbarkeit</w:t>
      </w:r>
    </w:p>
    <w:p w:rsidR="007D6B79" w:rsidRPr="000A3F47" w:rsidRDefault="007D6B79" w:rsidP="000A3F4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D6B79" w:rsidRPr="000A3F47" w:rsidRDefault="00B73F75" w:rsidP="000A3F4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13</w:t>
      </w:r>
      <w:r w:rsidR="000A3F47">
        <w:rPr>
          <w:snapToGrid/>
          <w:lang w:val="de-DE"/>
        </w:rPr>
        <w:t>.</w:t>
      </w:r>
      <w:r w:rsidR="000A3F47">
        <w:rPr>
          <w:snapToGrid/>
          <w:lang w:val="de-DE"/>
        </w:rPr>
        <w:tab/>
        <w:t xml:space="preserve">Es werden keine technischen Änderungen oder Investitionen der Wirtschaft oder Belastungen für die Behörden erwartet. </w:t>
      </w:r>
      <w:r w:rsidR="00AF65F9">
        <w:rPr>
          <w:snapToGrid/>
          <w:lang w:val="de-DE"/>
        </w:rPr>
        <w:t>Der Vollzug wird erleichtert, weil keine Differenzierung zwischen Trockengüterschiffen und Tankschiffen gemacht werden muss</w:t>
      </w:r>
      <w:r w:rsidR="003177E7">
        <w:rPr>
          <w:snapToGrid/>
          <w:lang w:val="de-DE"/>
        </w:rPr>
        <w:t>.</w:t>
      </w:r>
    </w:p>
    <w:p w:rsidR="00FD5786" w:rsidRPr="00FD5786" w:rsidRDefault="00FD5786" w:rsidP="003151F1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BD7264" w:rsidRPr="003151F1" w:rsidRDefault="00FD5786" w:rsidP="003177E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snapToGrid/>
          <w:lang w:val="de-DE"/>
        </w:rPr>
      </w:pPr>
      <w:r w:rsidRPr="00FD5786">
        <w:rPr>
          <w:snapToGrid/>
          <w:lang w:val="de-DE"/>
        </w:rPr>
        <w:t>***</w:t>
      </w:r>
    </w:p>
    <w:sectPr w:rsidR="00BD7264" w:rsidRPr="003151F1" w:rsidSect="005F30BB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1C" w:rsidRDefault="00AA6B1C">
      <w:pPr>
        <w:rPr>
          <w:szCs w:val="24"/>
        </w:rPr>
      </w:pPr>
    </w:p>
  </w:endnote>
  <w:endnote w:type="continuationSeparator" w:id="0">
    <w:p w:rsidR="00AA6B1C" w:rsidRDefault="00AA6B1C">
      <w:pPr>
        <w:rPr>
          <w:szCs w:val="24"/>
        </w:rPr>
      </w:pPr>
    </w:p>
  </w:endnote>
  <w:endnote w:type="continuationNotice" w:id="1">
    <w:p w:rsidR="00AA6B1C" w:rsidRDefault="00AA6B1C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5" w:rsidRPr="00951A0F" w:rsidRDefault="00496C55" w:rsidP="00496C55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</w:t>
    </w:r>
    <w:r>
      <w:rPr>
        <w:rFonts w:ascii="Arial" w:hAnsi="Arial"/>
        <w:noProof/>
        <w:snapToGrid/>
        <w:sz w:val="12"/>
        <w:szCs w:val="24"/>
        <w:lang w:val="en-US"/>
      </w:rPr>
      <w:t>7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 w:rsidR="001626FB">
      <w:rPr>
        <w:rFonts w:ascii="Arial" w:hAnsi="Arial"/>
        <w:noProof/>
        <w:snapToGrid/>
        <w:sz w:val="12"/>
        <w:szCs w:val="24"/>
        <w:lang w:val="en-US"/>
      </w:rPr>
      <w:t>25</w:t>
    </w:r>
    <w:r>
      <w:rPr>
        <w:rFonts w:ascii="Arial" w:hAnsi="Arial"/>
        <w:noProof/>
        <w:snapToGrid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951A0F" w:rsidRDefault="000A3F47" w:rsidP="00951A0F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</w:t>
    </w:r>
    <w:r w:rsidR="00C63A2B">
      <w:rPr>
        <w:rFonts w:ascii="Arial" w:hAnsi="Arial"/>
        <w:noProof/>
        <w:snapToGrid/>
        <w:sz w:val="12"/>
        <w:szCs w:val="24"/>
        <w:lang w:val="en-US"/>
      </w:rPr>
      <w:t>7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 w:rsidR="001626FB">
      <w:rPr>
        <w:rFonts w:ascii="Arial" w:hAnsi="Arial"/>
        <w:noProof/>
        <w:snapToGrid/>
        <w:sz w:val="12"/>
        <w:szCs w:val="24"/>
        <w:lang w:val="en-US"/>
      </w:rPr>
      <w:t>25</w:t>
    </w:r>
    <w:r>
      <w:rPr>
        <w:rFonts w:ascii="Arial" w:hAnsi="Arial"/>
        <w:noProof/>
        <w:snapToGrid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1C" w:rsidRDefault="00AA6B1C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AA6B1C" w:rsidRDefault="00AA6B1C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AA6B1C" w:rsidRDefault="00AA6B1C">
      <w:pPr>
        <w:rPr>
          <w:szCs w:val="24"/>
        </w:rPr>
      </w:pPr>
    </w:p>
  </w:footnote>
  <w:footnote w:id="2">
    <w:p w:rsidR="000A3F47" w:rsidRPr="005F667A" w:rsidRDefault="000A3F47" w:rsidP="00EE1D86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 xml:space="preserve">Von der UN-ECE in Englisch, Französisch und Russisch unter dem Aktenzeichen </w:t>
      </w:r>
      <w:r w:rsidR="00496C55">
        <w:rPr>
          <w:sz w:val="16"/>
          <w:szCs w:val="16"/>
          <w:lang w:val="de-DE"/>
        </w:rPr>
        <w:t>ECE</w:t>
      </w:r>
      <w:r w:rsidR="00496C55" w:rsidRPr="00496C55">
        <w:rPr>
          <w:sz w:val="16"/>
          <w:szCs w:val="16"/>
          <w:lang w:val="de-DE"/>
        </w:rPr>
        <w:t>/</w:t>
      </w:r>
      <w:r w:rsidR="00496C55">
        <w:rPr>
          <w:sz w:val="16"/>
          <w:szCs w:val="16"/>
          <w:lang w:val="de-DE"/>
        </w:rPr>
        <w:t>TRANS/</w:t>
      </w:r>
      <w:r w:rsidR="00496C55" w:rsidRPr="00496C55">
        <w:rPr>
          <w:sz w:val="16"/>
          <w:szCs w:val="16"/>
          <w:lang w:val="de-DE"/>
        </w:rPr>
        <w:t>WP.15/AC.2/2017/</w:t>
      </w:r>
      <w:r w:rsidR="001626FB">
        <w:rPr>
          <w:sz w:val="16"/>
          <w:szCs w:val="16"/>
          <w:lang w:val="de-DE"/>
        </w:rPr>
        <w:t>25</w:t>
      </w:r>
      <w:r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0A3F47" w:rsidRPr="00447333" w:rsidRDefault="000A3F47" w:rsidP="00FF2FF5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</w:t>
      </w:r>
      <w:r w:rsidR="00C63A2B">
        <w:rPr>
          <w:sz w:val="16"/>
          <w:szCs w:val="16"/>
          <w:lang w:val="de-DE"/>
        </w:rPr>
        <w:t>7</w:t>
      </w:r>
      <w:r w:rsidRPr="00447333">
        <w:rPr>
          <w:sz w:val="16"/>
          <w:szCs w:val="16"/>
          <w:lang w:val="de-DE"/>
        </w:rPr>
        <w:t>/</w:t>
      </w:r>
      <w:r w:rsidR="00C63A2B">
        <w:rPr>
          <w:sz w:val="16"/>
          <w:szCs w:val="16"/>
          <w:lang w:val="de-DE"/>
        </w:rPr>
        <w:t>B1</w:t>
      </w:r>
      <w:r w:rsidRPr="00447333">
        <w:rPr>
          <w:sz w:val="16"/>
          <w:szCs w:val="16"/>
          <w:lang w:val="de-DE"/>
        </w:rPr>
        <w:t>/Add.1 (9.3.)).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B40749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852F91"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 w:rsidR="001626FB">
      <w:rPr>
        <w:rFonts w:ascii="Arial" w:hAnsi="Arial"/>
        <w:b w:val="0"/>
        <w:sz w:val="16"/>
        <w:szCs w:val="16"/>
        <w:lang w:val="en-US"/>
      </w:rPr>
      <w:t>25</w:t>
    </w:r>
  </w:p>
  <w:p w:rsidR="000A3F47" w:rsidRPr="008F1455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8F1455"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BC18F6">
      <w:rPr>
        <w:rFonts w:ascii="Arial" w:hAnsi="Arial"/>
        <w:b w:val="0"/>
        <w:noProof/>
        <w:sz w:val="16"/>
        <w:szCs w:val="16"/>
      </w:rPr>
      <w:t>2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B40749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6F1379">
      <w:rPr>
        <w:rFonts w:ascii="Arial" w:hAnsi="Arial"/>
        <w:b w:val="0"/>
        <w:sz w:val="16"/>
        <w:szCs w:val="16"/>
        <w:lang w:val="en-US"/>
      </w:rPr>
      <w:t>7/</w:t>
    </w:r>
    <w:r w:rsidR="001626FB">
      <w:rPr>
        <w:rFonts w:ascii="Arial" w:hAnsi="Arial"/>
        <w:b w:val="0"/>
        <w:sz w:val="16"/>
        <w:szCs w:val="16"/>
        <w:lang w:val="en-US"/>
      </w:rPr>
      <w:t>25</w:t>
    </w:r>
  </w:p>
  <w:p w:rsidR="000A3F47" w:rsidRPr="008F1455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BC18F6">
      <w:rPr>
        <w:rFonts w:ascii="Arial" w:hAnsi="Arial"/>
        <w:b w:val="0"/>
        <w:noProof/>
        <w:sz w:val="16"/>
        <w:szCs w:val="16"/>
      </w:rPr>
      <w:t>3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3F571DC4"/>
    <w:multiLevelType w:val="hybridMultilevel"/>
    <w:tmpl w:val="36AA9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7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1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4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5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6">
    <w:nsid w:val="5A5D7844"/>
    <w:multiLevelType w:val="hybridMultilevel"/>
    <w:tmpl w:val="4754C3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DD3E08"/>
    <w:multiLevelType w:val="hybridMultilevel"/>
    <w:tmpl w:val="EE386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7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6"/>
  </w:num>
  <w:num w:numId="5">
    <w:abstractNumId w:val="38"/>
  </w:num>
  <w:num w:numId="6">
    <w:abstractNumId w:val="4"/>
  </w:num>
  <w:num w:numId="7">
    <w:abstractNumId w:val="7"/>
  </w:num>
  <w:num w:numId="8">
    <w:abstractNumId w:val="23"/>
  </w:num>
  <w:num w:numId="9">
    <w:abstractNumId w:val="13"/>
  </w:num>
  <w:num w:numId="10">
    <w:abstractNumId w:val="8"/>
  </w:num>
  <w:num w:numId="11">
    <w:abstractNumId w:val="25"/>
  </w:num>
  <w:num w:numId="12">
    <w:abstractNumId w:val="5"/>
  </w:num>
  <w:num w:numId="13">
    <w:abstractNumId w:val="36"/>
  </w:num>
  <w:num w:numId="14">
    <w:abstractNumId w:val="9"/>
  </w:num>
  <w:num w:numId="15">
    <w:abstractNumId w:val="40"/>
  </w:num>
  <w:num w:numId="16">
    <w:abstractNumId w:val="34"/>
  </w:num>
  <w:num w:numId="17">
    <w:abstractNumId w:val="22"/>
  </w:num>
  <w:num w:numId="18">
    <w:abstractNumId w:val="16"/>
  </w:num>
  <w:num w:numId="19">
    <w:abstractNumId w:val="24"/>
  </w:num>
  <w:num w:numId="20">
    <w:abstractNumId w:val="10"/>
  </w:num>
  <w:num w:numId="21">
    <w:abstractNumId w:val="30"/>
  </w:num>
  <w:num w:numId="22">
    <w:abstractNumId w:val="39"/>
  </w:num>
  <w:num w:numId="23">
    <w:abstractNumId w:val="31"/>
  </w:num>
  <w:num w:numId="24">
    <w:abstractNumId w:val="19"/>
  </w:num>
  <w:num w:numId="25">
    <w:abstractNumId w:val="29"/>
  </w:num>
  <w:num w:numId="26">
    <w:abstractNumId w:val="18"/>
  </w:num>
  <w:num w:numId="27">
    <w:abstractNumId w:val="17"/>
  </w:num>
  <w:num w:numId="28">
    <w:abstractNumId w:val="35"/>
  </w:num>
  <w:num w:numId="29">
    <w:abstractNumId w:val="20"/>
  </w:num>
  <w:num w:numId="30">
    <w:abstractNumId w:val="28"/>
  </w:num>
  <w:num w:numId="31">
    <w:abstractNumId w:val="21"/>
  </w:num>
  <w:num w:numId="32">
    <w:abstractNumId w:val="27"/>
  </w:num>
  <w:num w:numId="33">
    <w:abstractNumId w:val="3"/>
  </w:num>
  <w:num w:numId="34">
    <w:abstractNumId w:val="12"/>
  </w:num>
  <w:num w:numId="35">
    <w:abstractNumId w:val="37"/>
  </w:num>
  <w:num w:numId="36">
    <w:abstractNumId w:val="14"/>
  </w:num>
  <w:num w:numId="37">
    <w:abstractNumId w:val="2"/>
  </w:num>
  <w:num w:numId="38">
    <w:abstractNumId w:val="11"/>
  </w:num>
  <w:num w:numId="39">
    <w:abstractNumId w:val="33"/>
  </w:num>
  <w:num w:numId="40">
    <w:abstractNumId w:val="26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15FC7"/>
    <w:rsid w:val="00020B06"/>
    <w:rsid w:val="0002116F"/>
    <w:rsid w:val="0002461E"/>
    <w:rsid w:val="00024FB3"/>
    <w:rsid w:val="00030C06"/>
    <w:rsid w:val="00031537"/>
    <w:rsid w:val="00035613"/>
    <w:rsid w:val="00035E31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3F47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01A"/>
    <w:rsid w:val="00126927"/>
    <w:rsid w:val="00130458"/>
    <w:rsid w:val="00131A08"/>
    <w:rsid w:val="0013213F"/>
    <w:rsid w:val="0013574C"/>
    <w:rsid w:val="00135BA5"/>
    <w:rsid w:val="00136129"/>
    <w:rsid w:val="00137A57"/>
    <w:rsid w:val="001422F4"/>
    <w:rsid w:val="001426C0"/>
    <w:rsid w:val="00146FF1"/>
    <w:rsid w:val="001471A5"/>
    <w:rsid w:val="00155C78"/>
    <w:rsid w:val="00161846"/>
    <w:rsid w:val="0016237E"/>
    <w:rsid w:val="001626FB"/>
    <w:rsid w:val="001628F5"/>
    <w:rsid w:val="00172CF3"/>
    <w:rsid w:val="001730D3"/>
    <w:rsid w:val="00174EA5"/>
    <w:rsid w:val="001817E0"/>
    <w:rsid w:val="00181A2A"/>
    <w:rsid w:val="001870ED"/>
    <w:rsid w:val="00191685"/>
    <w:rsid w:val="00193460"/>
    <w:rsid w:val="001938F0"/>
    <w:rsid w:val="00194E53"/>
    <w:rsid w:val="001A1048"/>
    <w:rsid w:val="001A148C"/>
    <w:rsid w:val="001A2704"/>
    <w:rsid w:val="001A4ED5"/>
    <w:rsid w:val="001B1D85"/>
    <w:rsid w:val="001B3169"/>
    <w:rsid w:val="001B3934"/>
    <w:rsid w:val="001B4857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464"/>
    <w:rsid w:val="00205B1D"/>
    <w:rsid w:val="00207CB9"/>
    <w:rsid w:val="00211454"/>
    <w:rsid w:val="00211E0B"/>
    <w:rsid w:val="0021330E"/>
    <w:rsid w:val="002161C2"/>
    <w:rsid w:val="00224AA7"/>
    <w:rsid w:val="00225418"/>
    <w:rsid w:val="00231733"/>
    <w:rsid w:val="00236DE8"/>
    <w:rsid w:val="002405A7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11EA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96770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550A"/>
    <w:rsid w:val="002D652F"/>
    <w:rsid w:val="002E0EE4"/>
    <w:rsid w:val="002E1352"/>
    <w:rsid w:val="002E624D"/>
    <w:rsid w:val="00300698"/>
    <w:rsid w:val="00304304"/>
    <w:rsid w:val="003107FA"/>
    <w:rsid w:val="0031437A"/>
    <w:rsid w:val="003151F1"/>
    <w:rsid w:val="00315F72"/>
    <w:rsid w:val="003177E7"/>
    <w:rsid w:val="003229D8"/>
    <w:rsid w:val="00323726"/>
    <w:rsid w:val="00324FA1"/>
    <w:rsid w:val="00326EAB"/>
    <w:rsid w:val="0033023C"/>
    <w:rsid w:val="00332291"/>
    <w:rsid w:val="00333876"/>
    <w:rsid w:val="0033408B"/>
    <w:rsid w:val="00334129"/>
    <w:rsid w:val="00335A85"/>
    <w:rsid w:val="0033745A"/>
    <w:rsid w:val="00350559"/>
    <w:rsid w:val="00350DE1"/>
    <w:rsid w:val="00354544"/>
    <w:rsid w:val="003545F4"/>
    <w:rsid w:val="003632F3"/>
    <w:rsid w:val="003641EF"/>
    <w:rsid w:val="0036731C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72E0"/>
    <w:rsid w:val="003A1EBD"/>
    <w:rsid w:val="003A3950"/>
    <w:rsid w:val="003A5281"/>
    <w:rsid w:val="003B071E"/>
    <w:rsid w:val="003B0BDF"/>
    <w:rsid w:val="003B1FD7"/>
    <w:rsid w:val="003B3F7F"/>
    <w:rsid w:val="003B4451"/>
    <w:rsid w:val="003B4590"/>
    <w:rsid w:val="003B507C"/>
    <w:rsid w:val="003B5C22"/>
    <w:rsid w:val="003B642C"/>
    <w:rsid w:val="003B7822"/>
    <w:rsid w:val="003C1867"/>
    <w:rsid w:val="003C2CC4"/>
    <w:rsid w:val="003C2E87"/>
    <w:rsid w:val="003C3369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667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2733"/>
    <w:rsid w:val="00446793"/>
    <w:rsid w:val="00446DE4"/>
    <w:rsid w:val="0045017B"/>
    <w:rsid w:val="00452BB4"/>
    <w:rsid w:val="00453575"/>
    <w:rsid w:val="004535E7"/>
    <w:rsid w:val="0045394D"/>
    <w:rsid w:val="0045575E"/>
    <w:rsid w:val="004578CF"/>
    <w:rsid w:val="004644C6"/>
    <w:rsid w:val="00466C98"/>
    <w:rsid w:val="004743AE"/>
    <w:rsid w:val="00480BB9"/>
    <w:rsid w:val="00481194"/>
    <w:rsid w:val="00481AC6"/>
    <w:rsid w:val="00481C01"/>
    <w:rsid w:val="004835E7"/>
    <w:rsid w:val="004841E5"/>
    <w:rsid w:val="00492241"/>
    <w:rsid w:val="00492774"/>
    <w:rsid w:val="004933E1"/>
    <w:rsid w:val="00495EE5"/>
    <w:rsid w:val="00496493"/>
    <w:rsid w:val="00496C55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5912"/>
    <w:rsid w:val="004C7BD2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44B7"/>
    <w:rsid w:val="005245E2"/>
    <w:rsid w:val="00526A9F"/>
    <w:rsid w:val="00526E25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5432"/>
    <w:rsid w:val="005712C9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3EBA"/>
    <w:rsid w:val="00605C39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1379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9C4"/>
    <w:rsid w:val="0072632A"/>
    <w:rsid w:val="00726CBE"/>
    <w:rsid w:val="0072750B"/>
    <w:rsid w:val="007309DE"/>
    <w:rsid w:val="0073465B"/>
    <w:rsid w:val="00734C2D"/>
    <w:rsid w:val="00737E85"/>
    <w:rsid w:val="00740176"/>
    <w:rsid w:val="00740C9B"/>
    <w:rsid w:val="007425B4"/>
    <w:rsid w:val="007431FB"/>
    <w:rsid w:val="00743AA0"/>
    <w:rsid w:val="00744294"/>
    <w:rsid w:val="0075038C"/>
    <w:rsid w:val="00751197"/>
    <w:rsid w:val="0075241D"/>
    <w:rsid w:val="0075310B"/>
    <w:rsid w:val="0075352F"/>
    <w:rsid w:val="00756A00"/>
    <w:rsid w:val="00757B9F"/>
    <w:rsid w:val="00760E3C"/>
    <w:rsid w:val="00762551"/>
    <w:rsid w:val="0076336D"/>
    <w:rsid w:val="00763D35"/>
    <w:rsid w:val="00764C8C"/>
    <w:rsid w:val="007668D3"/>
    <w:rsid w:val="00766EC7"/>
    <w:rsid w:val="007674B0"/>
    <w:rsid w:val="0077083D"/>
    <w:rsid w:val="00774068"/>
    <w:rsid w:val="00777BDB"/>
    <w:rsid w:val="007838FF"/>
    <w:rsid w:val="00787CE3"/>
    <w:rsid w:val="00792806"/>
    <w:rsid w:val="007939A6"/>
    <w:rsid w:val="00797065"/>
    <w:rsid w:val="00797099"/>
    <w:rsid w:val="007A01FC"/>
    <w:rsid w:val="007A1A3F"/>
    <w:rsid w:val="007A3C01"/>
    <w:rsid w:val="007A3C0B"/>
    <w:rsid w:val="007B64F2"/>
    <w:rsid w:val="007B6BA5"/>
    <w:rsid w:val="007B7B1E"/>
    <w:rsid w:val="007C169B"/>
    <w:rsid w:val="007C3390"/>
    <w:rsid w:val="007C4F4B"/>
    <w:rsid w:val="007C7A4E"/>
    <w:rsid w:val="007D2CBC"/>
    <w:rsid w:val="007D64B1"/>
    <w:rsid w:val="007D6B79"/>
    <w:rsid w:val="007E3BE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16DC"/>
    <w:rsid w:val="008333C7"/>
    <w:rsid w:val="00836A0C"/>
    <w:rsid w:val="00837A3F"/>
    <w:rsid w:val="0084125D"/>
    <w:rsid w:val="00842AFA"/>
    <w:rsid w:val="00842B7B"/>
    <w:rsid w:val="00844584"/>
    <w:rsid w:val="00852F91"/>
    <w:rsid w:val="00853E16"/>
    <w:rsid w:val="0085417D"/>
    <w:rsid w:val="008550E6"/>
    <w:rsid w:val="00861AFA"/>
    <w:rsid w:val="008623E4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4FF2"/>
    <w:rsid w:val="00896CBD"/>
    <w:rsid w:val="008978BC"/>
    <w:rsid w:val="008979B1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1455"/>
    <w:rsid w:val="008F2F8A"/>
    <w:rsid w:val="008F4E42"/>
    <w:rsid w:val="008F561F"/>
    <w:rsid w:val="008F649A"/>
    <w:rsid w:val="00906C0C"/>
    <w:rsid w:val="00907AD2"/>
    <w:rsid w:val="009124F2"/>
    <w:rsid w:val="00915860"/>
    <w:rsid w:val="00917C0E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4776F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1335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5F8A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37CC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6B1C"/>
    <w:rsid w:val="00AA771D"/>
    <w:rsid w:val="00AB3DA4"/>
    <w:rsid w:val="00AB7662"/>
    <w:rsid w:val="00AB7676"/>
    <w:rsid w:val="00AC1316"/>
    <w:rsid w:val="00AC2900"/>
    <w:rsid w:val="00AC6F63"/>
    <w:rsid w:val="00AC76F5"/>
    <w:rsid w:val="00AD7888"/>
    <w:rsid w:val="00AE20DC"/>
    <w:rsid w:val="00AE55CE"/>
    <w:rsid w:val="00AE7A4A"/>
    <w:rsid w:val="00AF2B04"/>
    <w:rsid w:val="00AF532B"/>
    <w:rsid w:val="00AF65F9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0749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3B7C"/>
    <w:rsid w:val="00B66037"/>
    <w:rsid w:val="00B66400"/>
    <w:rsid w:val="00B66AC9"/>
    <w:rsid w:val="00B72BAF"/>
    <w:rsid w:val="00B73F75"/>
    <w:rsid w:val="00B75DBE"/>
    <w:rsid w:val="00B808A0"/>
    <w:rsid w:val="00B809B9"/>
    <w:rsid w:val="00B81E12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027E"/>
    <w:rsid w:val="00BC18F6"/>
    <w:rsid w:val="00BC73EE"/>
    <w:rsid w:val="00BC74E9"/>
    <w:rsid w:val="00BC775C"/>
    <w:rsid w:val="00BD1D9F"/>
    <w:rsid w:val="00BD2146"/>
    <w:rsid w:val="00BD2427"/>
    <w:rsid w:val="00BD7264"/>
    <w:rsid w:val="00BE07FE"/>
    <w:rsid w:val="00BE2319"/>
    <w:rsid w:val="00BE2713"/>
    <w:rsid w:val="00BE4F74"/>
    <w:rsid w:val="00BE618E"/>
    <w:rsid w:val="00BF25C2"/>
    <w:rsid w:val="00C0023D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3A2B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A68"/>
    <w:rsid w:val="00CC1B61"/>
    <w:rsid w:val="00CC3511"/>
    <w:rsid w:val="00CC4E3B"/>
    <w:rsid w:val="00CC6C3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073C6"/>
    <w:rsid w:val="00D121B6"/>
    <w:rsid w:val="00D1389C"/>
    <w:rsid w:val="00D1425B"/>
    <w:rsid w:val="00D164DD"/>
    <w:rsid w:val="00D2031B"/>
    <w:rsid w:val="00D20C42"/>
    <w:rsid w:val="00D25388"/>
    <w:rsid w:val="00D25FE2"/>
    <w:rsid w:val="00D26929"/>
    <w:rsid w:val="00D27576"/>
    <w:rsid w:val="00D30118"/>
    <w:rsid w:val="00D30977"/>
    <w:rsid w:val="00D317BB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3C6C"/>
    <w:rsid w:val="00DA5A0F"/>
    <w:rsid w:val="00DA67AD"/>
    <w:rsid w:val="00DB06D2"/>
    <w:rsid w:val="00DB2042"/>
    <w:rsid w:val="00DB2A63"/>
    <w:rsid w:val="00DB4C2A"/>
    <w:rsid w:val="00DB5D0F"/>
    <w:rsid w:val="00DC4C63"/>
    <w:rsid w:val="00DC59B0"/>
    <w:rsid w:val="00DC6021"/>
    <w:rsid w:val="00DD415F"/>
    <w:rsid w:val="00DE10C7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0C38"/>
    <w:rsid w:val="00E23CAD"/>
    <w:rsid w:val="00E27CED"/>
    <w:rsid w:val="00E322B5"/>
    <w:rsid w:val="00E330C1"/>
    <w:rsid w:val="00E345CE"/>
    <w:rsid w:val="00E3617C"/>
    <w:rsid w:val="00E363D6"/>
    <w:rsid w:val="00E37B82"/>
    <w:rsid w:val="00E37CA8"/>
    <w:rsid w:val="00E41CFE"/>
    <w:rsid w:val="00E43F71"/>
    <w:rsid w:val="00E46597"/>
    <w:rsid w:val="00E47898"/>
    <w:rsid w:val="00E53AC3"/>
    <w:rsid w:val="00E55279"/>
    <w:rsid w:val="00E65FE7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690C"/>
    <w:rsid w:val="00ED7A2A"/>
    <w:rsid w:val="00EE17D9"/>
    <w:rsid w:val="00EE1D86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6687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2D"/>
    <w:rsid w:val="00FD0951"/>
    <w:rsid w:val="00FD0E31"/>
    <w:rsid w:val="00FD1224"/>
    <w:rsid w:val="00FD5786"/>
    <w:rsid w:val="00FD5ECB"/>
    <w:rsid w:val="00FD7BF6"/>
    <w:rsid w:val="00FE0BD6"/>
    <w:rsid w:val="00FE1700"/>
    <w:rsid w:val="00FE2A8B"/>
    <w:rsid w:val="00FE460C"/>
    <w:rsid w:val="00FE78C4"/>
    <w:rsid w:val="00FF2020"/>
    <w:rsid w:val="00FF2FF5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00EE-3737-48BD-B855-B4AFAF94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</TotalTime>
  <Pages>3</Pages>
  <Words>477</Words>
  <Characters>3303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ECE-ADN-36-Add.1</cp:lastModifiedBy>
  <cp:revision>2</cp:revision>
  <cp:lastPrinted>2017-05-31T06:47:00Z</cp:lastPrinted>
  <dcterms:created xsi:type="dcterms:W3CDTF">2017-05-31T07:32:00Z</dcterms:created>
  <dcterms:modified xsi:type="dcterms:W3CDTF">2017-05-31T07:32:00Z</dcterms:modified>
</cp:coreProperties>
</file>