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DE4750">
            <w:pPr>
              <w:suppressAutoHyphens w:val="0"/>
              <w:spacing w:after="20"/>
              <w:jc w:val="right"/>
            </w:pPr>
            <w:r w:rsidRPr="00B11BB4">
              <w:rPr>
                <w:sz w:val="40"/>
              </w:rPr>
              <w:t>ECE</w:t>
            </w:r>
            <w:r>
              <w:t>/TRANS/WP.15/AC.1/201</w:t>
            </w:r>
            <w:r w:rsidR="000509A7">
              <w:t>7</w:t>
            </w:r>
            <w:r>
              <w:t>/</w:t>
            </w:r>
            <w:r w:rsidR="00DE4750">
              <w:t>40</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F1BAD" w:rsidP="00B11BB4">
            <w:pPr>
              <w:suppressAutoHyphens w:val="0"/>
            </w:pPr>
            <w:r>
              <w:t>30</w:t>
            </w:r>
            <w:bookmarkStart w:id="0" w:name="_GoBack"/>
            <w:bookmarkEnd w:id="0"/>
            <w:r w:rsidR="00EE1FD0">
              <w:t xml:space="preserve">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BB7CD1">
        <w:t>–</w:t>
      </w:r>
      <w:r>
        <w:t>29</w:t>
      </w:r>
      <w:r w:rsidR="00F66565">
        <w:t xml:space="preserve"> </w:t>
      </w:r>
      <w:r>
        <w:t>September</w:t>
      </w:r>
      <w:r w:rsidR="00BB7CD1">
        <w:t xml:space="preserve"> 201</w:t>
      </w:r>
      <w:r w:rsidR="000509A7">
        <w:t>7</w:t>
      </w:r>
    </w:p>
    <w:p w:rsidR="00B175D8" w:rsidRDefault="00B175D8" w:rsidP="00B175D8">
      <w:r>
        <w:t xml:space="preserve">Item </w:t>
      </w:r>
      <w:r w:rsidR="00AD13BA">
        <w:t>2</w:t>
      </w:r>
      <w:r>
        <w:t xml:space="preserve"> of the provisional agenda</w:t>
      </w:r>
    </w:p>
    <w:p w:rsidR="00302B8D" w:rsidRPr="00302B8D" w:rsidRDefault="00AD13BA" w:rsidP="00302B8D">
      <w:pPr>
        <w:rPr>
          <w:b/>
        </w:rPr>
      </w:pPr>
      <w:r>
        <w:rPr>
          <w:b/>
          <w:bCs/>
        </w:rPr>
        <w:t>Tanks</w:t>
      </w:r>
    </w:p>
    <w:p w:rsidR="00C3172E" w:rsidRPr="00302B8D" w:rsidRDefault="00C3172E" w:rsidP="00DE4750">
      <w:pPr>
        <w:pStyle w:val="HChG"/>
      </w:pPr>
      <w:r w:rsidRPr="00302B8D">
        <w:tab/>
      </w:r>
      <w:r w:rsidRPr="00302B8D">
        <w:tab/>
      </w:r>
      <w:r w:rsidR="00DE4750" w:rsidRPr="000E7066">
        <w:rPr>
          <w:lang w:val="en-US"/>
        </w:rPr>
        <w:t>Cross sectional shapes of shells</w:t>
      </w:r>
    </w:p>
    <w:p w:rsidR="00C3172E" w:rsidRDefault="00C3172E" w:rsidP="00C3172E">
      <w:pPr>
        <w:pStyle w:val="H1G"/>
        <w:rPr>
          <w:b w:val="0"/>
          <w:sz w:val="20"/>
        </w:rPr>
      </w:pPr>
      <w:r>
        <w:tab/>
      </w:r>
      <w:r>
        <w:tab/>
      </w:r>
      <w:r w:rsidR="0043040E">
        <w:t>T</w:t>
      </w:r>
      <w:r>
        <w:t xml:space="preserve">ransmitted by </w:t>
      </w:r>
      <w:r w:rsidR="0043040E">
        <w:t xml:space="preserve">the Government of </w:t>
      </w:r>
      <w:r w:rsidR="00AD13BA">
        <w:t xml:space="preserve">the </w:t>
      </w:r>
      <w:r w:rsidR="00DE4750">
        <w:t>Netherlands</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DE4750" w:rsidRPr="00E940D0" w:rsidTr="00021DCA">
        <w:trPr>
          <w:jc w:val="center"/>
        </w:trPr>
        <w:tc>
          <w:tcPr>
            <w:tcW w:w="9082" w:type="dxa"/>
            <w:shd w:val="clear" w:color="auto" w:fill="auto"/>
          </w:tcPr>
          <w:p w:rsidR="00DE4750" w:rsidRPr="00E940D0" w:rsidRDefault="00DE4750" w:rsidP="00021DCA">
            <w:pPr>
              <w:spacing w:before="240" w:after="120"/>
              <w:ind w:left="255"/>
              <w:rPr>
                <w:i/>
                <w:sz w:val="24"/>
              </w:rPr>
            </w:pPr>
            <w:r w:rsidRPr="00E940D0">
              <w:rPr>
                <w:i/>
                <w:sz w:val="24"/>
              </w:rPr>
              <w:t>Summary</w:t>
            </w:r>
          </w:p>
        </w:tc>
      </w:tr>
      <w:tr w:rsidR="00DE4750" w:rsidRPr="0035523F" w:rsidTr="00021DCA">
        <w:trPr>
          <w:jc w:val="center"/>
        </w:trPr>
        <w:tc>
          <w:tcPr>
            <w:tcW w:w="9082" w:type="dxa"/>
            <w:shd w:val="clear" w:color="auto" w:fill="auto"/>
          </w:tcPr>
          <w:p w:rsidR="00DE4750" w:rsidRPr="00CD0808" w:rsidRDefault="00DE4750" w:rsidP="00021DCA">
            <w:pPr>
              <w:pStyle w:val="SingleTxtG"/>
              <w:tabs>
                <w:tab w:val="left" w:pos="3260"/>
              </w:tabs>
              <w:ind w:left="3260" w:hanging="2126"/>
            </w:pPr>
            <w:r w:rsidRPr="00CD0808">
              <w:rPr>
                <w:b/>
              </w:rPr>
              <w:t>Executive summary:</w:t>
            </w:r>
            <w:r>
              <w:rPr>
                <w:b/>
              </w:rPr>
              <w:t xml:space="preserve"> </w:t>
            </w:r>
            <w:r w:rsidRPr="00CD0808">
              <w:tab/>
            </w:r>
            <w:r>
              <w:t xml:space="preserve">This proposal allows tanks of 6.8.2.1.14 a) to be constructed with sections other than those mentioned </w:t>
            </w:r>
            <w:proofErr w:type="gramStart"/>
            <w:r>
              <w:t>in  footnote</w:t>
            </w:r>
            <w:proofErr w:type="gramEnd"/>
            <w:r>
              <w:t xml:space="preserve"> 2 of 6.8.2.1.18 and prevents misinterpretations.  </w:t>
            </w:r>
          </w:p>
        </w:tc>
      </w:tr>
      <w:tr w:rsidR="00DE4750" w:rsidRPr="00597302" w:rsidTr="00021DCA">
        <w:trPr>
          <w:jc w:val="center"/>
        </w:trPr>
        <w:tc>
          <w:tcPr>
            <w:tcW w:w="9082" w:type="dxa"/>
            <w:shd w:val="clear" w:color="auto" w:fill="auto"/>
          </w:tcPr>
          <w:p w:rsidR="00DE4750" w:rsidRPr="00CD0808" w:rsidRDefault="00DE4750" w:rsidP="00021DCA">
            <w:pPr>
              <w:pStyle w:val="SingleTxtG"/>
              <w:tabs>
                <w:tab w:val="left" w:pos="3260"/>
              </w:tabs>
              <w:ind w:left="3260" w:hanging="2126"/>
            </w:pPr>
            <w:r w:rsidRPr="00CD0808">
              <w:rPr>
                <w:b/>
              </w:rPr>
              <w:t>Action to be taken:</w:t>
            </w:r>
            <w:r>
              <w:rPr>
                <w:b/>
              </w:rPr>
              <w:t xml:space="preserve">     </w:t>
            </w:r>
            <w:r>
              <w:rPr>
                <w:b/>
              </w:rPr>
              <w:tab/>
            </w:r>
            <w:r w:rsidRPr="000E7066">
              <w:t>Introduce a new subsection 6.8.2.1.29.</w:t>
            </w:r>
          </w:p>
        </w:tc>
      </w:tr>
      <w:tr w:rsidR="00DE4750" w:rsidRPr="00AE331E" w:rsidTr="00021DCA">
        <w:trPr>
          <w:jc w:val="center"/>
        </w:trPr>
        <w:tc>
          <w:tcPr>
            <w:tcW w:w="9082" w:type="dxa"/>
            <w:shd w:val="clear" w:color="auto" w:fill="auto"/>
          </w:tcPr>
          <w:p w:rsidR="00DE4750" w:rsidRPr="00D43932" w:rsidRDefault="00DE4750" w:rsidP="00DE4750">
            <w:pPr>
              <w:pStyle w:val="SingleTxtG"/>
              <w:tabs>
                <w:tab w:val="left" w:pos="3260"/>
              </w:tabs>
              <w:spacing w:after="0"/>
              <w:ind w:left="3260" w:hanging="2126"/>
              <w:jc w:val="left"/>
              <w:rPr>
                <w:b/>
                <w:lang w:val="en-US"/>
              </w:rPr>
            </w:pPr>
            <w:r w:rsidRPr="00CD0808">
              <w:rPr>
                <w:b/>
              </w:rPr>
              <w:t>Related documents:</w:t>
            </w:r>
            <w:r>
              <w:rPr>
                <w:b/>
              </w:rPr>
              <w:t xml:space="preserve">        </w:t>
            </w:r>
            <w:r w:rsidRPr="009B208F">
              <w:t>Informal document INF</w:t>
            </w:r>
            <w:r>
              <w:t>.</w:t>
            </w:r>
            <w:r w:rsidRPr="009B208F">
              <w:t>15 and</w:t>
            </w:r>
            <w:r>
              <w:t xml:space="preserve"> paragraphs 23-</w:t>
            </w:r>
            <w:proofErr w:type="gramStart"/>
            <w:r>
              <w:t xml:space="preserve">25 </w:t>
            </w:r>
            <w:r w:rsidRPr="009B208F">
              <w:t xml:space="preserve"> </w:t>
            </w:r>
            <w:r>
              <w:t>ECE</w:t>
            </w:r>
            <w:proofErr w:type="gramEnd"/>
            <w:r>
              <w:t xml:space="preserve">/TRANS/WP.15/AC.1/138/Add.1 </w:t>
            </w:r>
            <w:r w:rsidRPr="009B208F">
              <w:t>of the spring 2015 session,</w:t>
            </w:r>
            <w:r>
              <w:rPr>
                <w:b/>
              </w:rPr>
              <w:t xml:space="preserve"> </w:t>
            </w:r>
            <w:r w:rsidRPr="00E031F1">
              <w:t>d</w:t>
            </w:r>
            <w:r w:rsidRPr="00CD267B">
              <w:t xml:space="preserve">ocument </w:t>
            </w:r>
            <w:r>
              <w:t>ECE/TRANS/WP.15/AC.1/</w:t>
            </w:r>
            <w:r w:rsidRPr="00CD267B">
              <w:t>2017/20,</w:t>
            </w:r>
            <w:r>
              <w:rPr>
                <w:b/>
              </w:rPr>
              <w:t xml:space="preserve"> </w:t>
            </w:r>
            <w:r w:rsidRPr="002D0F34">
              <w:t xml:space="preserve">Informal document </w:t>
            </w:r>
            <w:r>
              <w:t>INF.8 and paragraphs 19-22 of ECE/TRANS/WP.15/AC.1/146/Add.1 of the spring 2017</w:t>
            </w:r>
            <w:r w:rsidRPr="002D0F34">
              <w:t xml:space="preserve"> session</w:t>
            </w:r>
            <w:r>
              <w:t>.</w:t>
            </w:r>
          </w:p>
        </w:tc>
      </w:tr>
      <w:tr w:rsidR="00DE4750" w:rsidRPr="00AE331E" w:rsidTr="00021DCA">
        <w:trPr>
          <w:jc w:val="center"/>
        </w:trPr>
        <w:tc>
          <w:tcPr>
            <w:tcW w:w="9082" w:type="dxa"/>
            <w:shd w:val="clear" w:color="auto" w:fill="auto"/>
          </w:tcPr>
          <w:p w:rsidR="00DE4750" w:rsidRPr="00D43932" w:rsidRDefault="00DE4750" w:rsidP="00021DCA">
            <w:pPr>
              <w:rPr>
                <w:lang w:val="en-US"/>
              </w:rPr>
            </w:pPr>
          </w:p>
        </w:tc>
      </w:tr>
    </w:tbl>
    <w:p w:rsidR="00DE4750" w:rsidRPr="0037099C" w:rsidRDefault="00DE4750" w:rsidP="00DE4750">
      <w:pPr>
        <w:pStyle w:val="HChG"/>
        <w:rPr>
          <w:lang w:val="nl-NL"/>
        </w:rPr>
      </w:pPr>
      <w:r>
        <w:tab/>
      </w:r>
      <w:r>
        <w:tab/>
      </w:r>
      <w:r w:rsidRPr="00042219">
        <w:t>Introduction</w:t>
      </w:r>
    </w:p>
    <w:p w:rsidR="00DE4750" w:rsidRDefault="00DE4750" w:rsidP="00DE4750">
      <w:pPr>
        <w:pStyle w:val="SingleTxtG"/>
        <w:rPr>
          <w:rFonts w:eastAsiaTheme="minorEastAsia"/>
          <w:lang w:val="en-US" w:eastAsia="zh-CN"/>
        </w:rPr>
      </w:pPr>
      <w:r>
        <w:rPr>
          <w:rFonts w:eastAsiaTheme="minorEastAsia"/>
          <w:lang w:val="en-US" w:eastAsia="zh-CN"/>
        </w:rPr>
        <w:t>1.</w:t>
      </w:r>
      <w:r>
        <w:rPr>
          <w:rFonts w:eastAsiaTheme="minorEastAsia"/>
          <w:lang w:val="en-US" w:eastAsia="zh-CN"/>
        </w:rPr>
        <w:tab/>
        <w:t>D</w:t>
      </w:r>
      <w:r w:rsidRPr="00576C71">
        <w:rPr>
          <w:rFonts w:eastAsiaTheme="minorEastAsia"/>
          <w:lang w:val="en-US" w:eastAsia="zh-CN"/>
        </w:rPr>
        <w:t xml:space="preserve">iscussions </w:t>
      </w:r>
      <w:r>
        <w:rPr>
          <w:rFonts w:eastAsiaTheme="minorEastAsia"/>
          <w:lang w:val="en-US" w:eastAsia="zh-CN"/>
        </w:rPr>
        <w:t xml:space="preserve">during the spring 2017 session in </w:t>
      </w:r>
      <w:r w:rsidR="00C22F9A">
        <w:rPr>
          <w:rFonts w:eastAsiaTheme="minorEastAsia"/>
          <w:lang w:val="en-US" w:eastAsia="zh-CN"/>
        </w:rPr>
        <w:t xml:space="preserve">the </w:t>
      </w:r>
      <w:r>
        <w:rPr>
          <w:rFonts w:eastAsiaTheme="minorEastAsia"/>
          <w:lang w:val="en-US" w:eastAsia="zh-CN"/>
        </w:rPr>
        <w:t>W</w:t>
      </w:r>
      <w:r w:rsidRPr="00576C71">
        <w:rPr>
          <w:rFonts w:eastAsiaTheme="minorEastAsia"/>
          <w:lang w:val="en-US" w:eastAsia="zh-CN"/>
        </w:rPr>
        <w:t xml:space="preserve">orking </w:t>
      </w:r>
      <w:r>
        <w:rPr>
          <w:rFonts w:eastAsiaTheme="minorEastAsia"/>
          <w:lang w:val="en-US" w:eastAsia="zh-CN"/>
        </w:rPr>
        <w:t>G</w:t>
      </w:r>
      <w:r w:rsidRPr="00576C71">
        <w:rPr>
          <w:rFonts w:eastAsiaTheme="minorEastAsia"/>
          <w:lang w:val="en-US" w:eastAsia="zh-CN"/>
        </w:rPr>
        <w:t>roup on</w:t>
      </w:r>
      <w:r>
        <w:rPr>
          <w:rFonts w:eastAsiaTheme="minorEastAsia"/>
          <w:lang w:val="en-US" w:eastAsia="zh-CN"/>
        </w:rPr>
        <w:t xml:space="preserve"> Tanks about</w:t>
      </w:r>
      <w:r w:rsidRPr="00576C71">
        <w:rPr>
          <w:rFonts w:eastAsiaTheme="minorEastAsia"/>
          <w:lang w:val="en-US" w:eastAsia="zh-CN"/>
        </w:rPr>
        <w:t xml:space="preserve"> document </w:t>
      </w:r>
      <w:r>
        <w:t>ECE/TRANS/WP.15/AC.1/</w:t>
      </w:r>
      <w:r w:rsidRPr="00CD267B">
        <w:t>2017/20</w:t>
      </w:r>
      <w:r>
        <w:rPr>
          <w:rFonts w:eastAsiaTheme="minorEastAsia"/>
          <w:lang w:val="en-US" w:eastAsia="zh-CN"/>
        </w:rPr>
        <w:t xml:space="preserve">, where the question has been asked </w:t>
      </w:r>
      <w:proofErr w:type="gramStart"/>
      <w:r>
        <w:rPr>
          <w:rFonts w:eastAsiaTheme="minorEastAsia"/>
          <w:lang w:val="en-US" w:eastAsia="zh-CN"/>
        </w:rPr>
        <w:t xml:space="preserve">whether </w:t>
      </w:r>
      <w:r w:rsidRPr="00576C71">
        <w:rPr>
          <w:rFonts w:eastAsiaTheme="minorEastAsia"/>
          <w:lang w:val="en-US" w:eastAsia="zh-CN"/>
        </w:rPr>
        <w:t xml:space="preserve"> </w:t>
      </w:r>
      <w:r w:rsidRPr="00576C71">
        <w:rPr>
          <w:rFonts w:eastAsiaTheme="minorEastAsia"/>
          <w:lang w:val="en-US" w:eastAsia="zh-CN"/>
        </w:rPr>
        <w:lastRenderedPageBreak/>
        <w:t>a</w:t>
      </w:r>
      <w:proofErr w:type="gramEnd"/>
      <w:r w:rsidRPr="00576C71">
        <w:rPr>
          <w:rFonts w:eastAsiaTheme="minorEastAsia"/>
          <w:lang w:val="en-US" w:eastAsia="zh-CN"/>
        </w:rPr>
        <w:t xml:space="preserve"> circular shell with a section taken out </w:t>
      </w:r>
      <w:r>
        <w:rPr>
          <w:rFonts w:eastAsiaTheme="minorEastAsia"/>
          <w:lang w:val="en-US" w:eastAsia="zh-CN"/>
        </w:rPr>
        <w:t>i</w:t>
      </w:r>
      <w:r w:rsidRPr="00576C71">
        <w:rPr>
          <w:rFonts w:eastAsiaTheme="minorEastAsia"/>
          <w:lang w:val="en-US" w:eastAsia="zh-CN"/>
        </w:rPr>
        <w:t>s still a circular shell or another shape</w:t>
      </w:r>
      <w:r>
        <w:rPr>
          <w:rFonts w:eastAsiaTheme="minorEastAsia"/>
          <w:lang w:val="en-US" w:eastAsia="zh-CN"/>
        </w:rPr>
        <w:t>d</w:t>
      </w:r>
      <w:r w:rsidRPr="00576C71">
        <w:rPr>
          <w:rFonts w:eastAsiaTheme="minorEastAsia"/>
          <w:lang w:val="en-US" w:eastAsia="zh-CN"/>
        </w:rPr>
        <w:t xml:space="preserve"> shell, it was concluded that 6.8.2.1.18 left room for </w:t>
      </w:r>
      <w:r>
        <w:rPr>
          <w:rFonts w:eastAsiaTheme="minorEastAsia"/>
          <w:lang w:val="en-US" w:eastAsia="zh-CN"/>
        </w:rPr>
        <w:t xml:space="preserve">different </w:t>
      </w:r>
      <w:r w:rsidRPr="00576C71">
        <w:rPr>
          <w:rFonts w:eastAsiaTheme="minorEastAsia"/>
          <w:lang w:val="en-US" w:eastAsia="zh-CN"/>
        </w:rPr>
        <w:t>interpretation</w:t>
      </w:r>
      <w:r>
        <w:rPr>
          <w:rFonts w:eastAsiaTheme="minorEastAsia"/>
          <w:lang w:val="en-US" w:eastAsia="zh-CN"/>
        </w:rPr>
        <w:t>s</w:t>
      </w:r>
      <w:r w:rsidRPr="00576C71">
        <w:rPr>
          <w:rFonts w:eastAsiaTheme="minorEastAsia"/>
          <w:lang w:val="en-US" w:eastAsia="zh-CN"/>
        </w:rPr>
        <w:t>. It was also said that technical progress should not be hindered and that deviations from the radii and convexity should be possible locally if proven to deliver and equal level of safety.</w:t>
      </w:r>
    </w:p>
    <w:p w:rsidR="00DE4750" w:rsidRPr="00576C71" w:rsidRDefault="00DE4750" w:rsidP="00DE4750">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Proposal</w:t>
      </w:r>
    </w:p>
    <w:p w:rsidR="00DE4750" w:rsidRPr="00576C71" w:rsidRDefault="00DE4750" w:rsidP="00DE4750">
      <w:pPr>
        <w:pStyle w:val="SingleTxtG"/>
        <w:rPr>
          <w:rFonts w:eastAsiaTheme="minorEastAsia"/>
          <w:lang w:val="en-US" w:eastAsia="zh-CN"/>
        </w:rPr>
      </w:pPr>
      <w:r>
        <w:rPr>
          <w:rFonts w:eastAsiaTheme="minorEastAsia"/>
          <w:lang w:val="en-US" w:eastAsia="zh-CN"/>
        </w:rPr>
        <w:t>2.</w:t>
      </w:r>
      <w:r>
        <w:rPr>
          <w:rFonts w:eastAsiaTheme="minorEastAsia"/>
          <w:lang w:val="en-US" w:eastAsia="zh-CN"/>
        </w:rPr>
        <w:tab/>
      </w:r>
      <w:r w:rsidRPr="00576C71">
        <w:rPr>
          <w:rFonts w:eastAsiaTheme="minorEastAsia"/>
          <w:lang w:val="en-US" w:eastAsia="zh-CN"/>
        </w:rPr>
        <w:t xml:space="preserve">Introduce a new </w:t>
      </w:r>
      <w:r>
        <w:rPr>
          <w:rFonts w:eastAsiaTheme="minorEastAsia"/>
          <w:lang w:val="en-US" w:eastAsia="zh-CN"/>
        </w:rPr>
        <w:t>paragraph</w:t>
      </w:r>
      <w:r w:rsidRPr="00576C71">
        <w:rPr>
          <w:rFonts w:eastAsiaTheme="minorEastAsia"/>
          <w:lang w:val="en-US" w:eastAsia="zh-CN"/>
        </w:rPr>
        <w:t xml:space="preserve"> 6.8.2.1.29 to read:</w:t>
      </w:r>
    </w:p>
    <w:p w:rsidR="00DE4750" w:rsidRPr="00DE4750" w:rsidRDefault="00DE4750" w:rsidP="00DE4750">
      <w:pPr>
        <w:pStyle w:val="SingleTxtG"/>
        <w:rPr>
          <w:rFonts w:eastAsiaTheme="minorEastAsia"/>
          <w:i/>
          <w:lang w:val="en-US" w:eastAsia="zh-CN"/>
        </w:rPr>
      </w:pPr>
      <w:r w:rsidRPr="00DE4750">
        <w:rPr>
          <w:rFonts w:eastAsiaTheme="minorEastAsia"/>
          <w:i/>
          <w:lang w:val="en-US" w:eastAsia="zh-CN"/>
        </w:rPr>
        <w:t xml:space="preserve">“Disregarding the requirements of 6.8.2.1.18 the cross sectional shape of shells of 6.8.2.1.14(a) may contain local recesses or protrusions such as sumps, cut-outs or recessed manhole constructions. They may be constructed of flat or shaped (concave or convex) sheet metal. Dents and other unintended deformations shall not be regarded as recesses or protrusions.” </w:t>
      </w:r>
    </w:p>
    <w:p w:rsidR="00DE4750" w:rsidRPr="00576C71" w:rsidRDefault="00DE4750" w:rsidP="00DE4750">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rsidR="00DE4750" w:rsidRPr="00576C71" w:rsidRDefault="00DE4750" w:rsidP="00DE4750">
      <w:pPr>
        <w:pStyle w:val="SingleTxtG"/>
        <w:rPr>
          <w:rFonts w:eastAsiaTheme="minorEastAsia"/>
          <w:lang w:val="en-US" w:eastAsia="zh-CN"/>
        </w:rPr>
      </w:pPr>
      <w:r>
        <w:rPr>
          <w:rFonts w:eastAsiaTheme="minorEastAsia"/>
          <w:lang w:val="en-US" w:eastAsia="zh-CN"/>
        </w:rPr>
        <w:t>3.</w:t>
      </w:r>
      <w:r>
        <w:rPr>
          <w:rFonts w:eastAsiaTheme="minorEastAsia"/>
          <w:lang w:val="en-US" w:eastAsia="zh-CN"/>
        </w:rPr>
        <w:tab/>
      </w:r>
      <w:r w:rsidRPr="00576C71">
        <w:rPr>
          <w:rFonts w:eastAsiaTheme="minorEastAsia"/>
          <w:lang w:val="en-US" w:eastAsia="zh-CN"/>
        </w:rPr>
        <w:t>The discussion concerning the circular shell with the inversed section over the 5</w:t>
      </w:r>
      <w:r w:rsidRPr="00576C71">
        <w:rPr>
          <w:rFonts w:eastAsiaTheme="minorEastAsia"/>
          <w:vertAlign w:val="superscript"/>
          <w:lang w:val="en-US" w:eastAsia="zh-CN"/>
        </w:rPr>
        <w:t>th</w:t>
      </w:r>
      <w:r w:rsidRPr="00576C71">
        <w:rPr>
          <w:rFonts w:eastAsiaTheme="minorEastAsia"/>
          <w:lang w:val="en-US" w:eastAsia="zh-CN"/>
        </w:rPr>
        <w:t xml:space="preserve"> wheel of the semi-trailer fired new discussions on the reading of 6.8.2.1.18 and its fo</w:t>
      </w:r>
      <w:r>
        <w:rPr>
          <w:rFonts w:eastAsiaTheme="minorEastAsia"/>
          <w:lang w:val="en-US" w:eastAsia="zh-CN"/>
        </w:rPr>
        <w:t>ot</w:t>
      </w:r>
      <w:r w:rsidRPr="00576C71">
        <w:rPr>
          <w:rFonts w:eastAsiaTheme="minorEastAsia"/>
          <w:lang w:val="en-US" w:eastAsia="zh-CN"/>
        </w:rPr>
        <w:t>note</w:t>
      </w:r>
      <w:r>
        <w:rPr>
          <w:rFonts w:eastAsiaTheme="minorEastAsia"/>
          <w:lang w:val="en-US" w:eastAsia="zh-CN"/>
        </w:rPr>
        <w:t xml:space="preserve"> 2</w:t>
      </w:r>
      <w:r w:rsidRPr="00576C71">
        <w:rPr>
          <w:rFonts w:eastAsiaTheme="minorEastAsia"/>
          <w:lang w:val="en-US" w:eastAsia="zh-CN"/>
        </w:rPr>
        <w:t xml:space="preserve">. Working </w:t>
      </w:r>
      <w:r>
        <w:rPr>
          <w:rFonts w:eastAsiaTheme="minorEastAsia"/>
          <w:lang w:val="en-US" w:eastAsia="zh-CN"/>
        </w:rPr>
        <w:t>G</w:t>
      </w:r>
      <w:r w:rsidRPr="00576C71">
        <w:rPr>
          <w:rFonts w:eastAsiaTheme="minorEastAsia"/>
          <w:lang w:val="en-US" w:eastAsia="zh-CN"/>
        </w:rPr>
        <w:t xml:space="preserve">roup </w:t>
      </w:r>
      <w:r>
        <w:rPr>
          <w:rFonts w:eastAsiaTheme="minorEastAsia"/>
          <w:lang w:val="en-US" w:eastAsia="zh-CN"/>
        </w:rPr>
        <w:t>2</w:t>
      </w:r>
      <w:r w:rsidRPr="00576C71">
        <w:rPr>
          <w:rFonts w:eastAsiaTheme="minorEastAsia"/>
          <w:lang w:val="en-US" w:eastAsia="zh-CN"/>
        </w:rPr>
        <w:t xml:space="preserve"> of CEN TC 296 made several observations concerning deviatio</w:t>
      </w:r>
      <w:r>
        <w:rPr>
          <w:rFonts w:eastAsiaTheme="minorEastAsia"/>
          <w:lang w:val="en-US" w:eastAsia="zh-CN"/>
        </w:rPr>
        <w:t>ns from 6.8.2.1.18 and its foot</w:t>
      </w:r>
      <w:r w:rsidRPr="00576C71">
        <w:rPr>
          <w:rFonts w:eastAsiaTheme="minorEastAsia"/>
          <w:lang w:val="en-US" w:eastAsia="zh-CN"/>
        </w:rPr>
        <w:t>note</w:t>
      </w:r>
      <w:r>
        <w:rPr>
          <w:rFonts w:eastAsiaTheme="minorEastAsia"/>
          <w:lang w:val="en-US" w:eastAsia="zh-CN"/>
        </w:rPr>
        <w:t xml:space="preserve"> 2</w:t>
      </w:r>
      <w:r w:rsidRPr="00576C71">
        <w:rPr>
          <w:rFonts w:eastAsiaTheme="minorEastAsia"/>
          <w:lang w:val="en-US" w:eastAsia="zh-CN"/>
        </w:rPr>
        <w:t>. For instance</w:t>
      </w:r>
      <w:r>
        <w:rPr>
          <w:rFonts w:eastAsiaTheme="minorEastAsia"/>
          <w:lang w:val="en-US" w:eastAsia="zh-CN"/>
        </w:rPr>
        <w:t>,</w:t>
      </w:r>
      <w:r w:rsidRPr="00576C71">
        <w:rPr>
          <w:rFonts w:eastAsiaTheme="minorEastAsia"/>
          <w:lang w:val="en-US" w:eastAsia="zh-CN"/>
        </w:rPr>
        <w:t xml:space="preserve"> for many decades tanks for petroleum products </w:t>
      </w:r>
      <w:r>
        <w:rPr>
          <w:rFonts w:eastAsiaTheme="minorEastAsia"/>
          <w:lang w:val="en-US" w:eastAsia="zh-CN"/>
        </w:rPr>
        <w:t>have been</w:t>
      </w:r>
      <w:r w:rsidRPr="00576C71">
        <w:rPr>
          <w:rFonts w:eastAsiaTheme="minorEastAsia"/>
          <w:lang w:val="en-US" w:eastAsia="zh-CN"/>
        </w:rPr>
        <w:t xml:space="preserve"> equipped with sumps made of flat material. Also so called “cut outs” are required to allow for housing of valves and me</w:t>
      </w:r>
      <w:r>
        <w:rPr>
          <w:rFonts w:eastAsiaTheme="minorEastAsia"/>
          <w:lang w:val="en-US" w:eastAsia="zh-CN"/>
        </w:rPr>
        <w:t>asu</w:t>
      </w:r>
      <w:r w:rsidRPr="00576C71">
        <w:rPr>
          <w:rFonts w:eastAsiaTheme="minorEastAsia"/>
          <w:lang w:val="en-US" w:eastAsia="zh-CN"/>
        </w:rPr>
        <w:t>ring devices within the contours of tank vehicles of small fixed tanks for delivery transport.</w:t>
      </w:r>
    </w:p>
    <w:p w:rsidR="00DE4750" w:rsidRPr="00576C71" w:rsidRDefault="00DE4750" w:rsidP="00DE4750">
      <w:pPr>
        <w:pStyle w:val="SingleTxtG"/>
        <w:rPr>
          <w:rFonts w:eastAsiaTheme="minorEastAsia"/>
          <w:lang w:val="en-US" w:eastAsia="zh-CN"/>
        </w:rPr>
      </w:pPr>
      <w:r>
        <w:rPr>
          <w:rFonts w:eastAsiaTheme="minorEastAsia"/>
          <w:lang w:val="en-US" w:eastAsia="zh-CN"/>
        </w:rPr>
        <w:t>4.</w:t>
      </w:r>
      <w:r>
        <w:rPr>
          <w:rFonts w:eastAsiaTheme="minorEastAsia"/>
          <w:lang w:val="en-US" w:eastAsia="zh-CN"/>
        </w:rPr>
        <w:tab/>
      </w:r>
      <w:r w:rsidRPr="00576C71">
        <w:rPr>
          <w:rFonts w:eastAsiaTheme="minorEastAsia"/>
          <w:lang w:val="en-US" w:eastAsia="zh-CN"/>
        </w:rPr>
        <w:t xml:space="preserve">This proposal reflects the outcome of the </w:t>
      </w:r>
      <w:r>
        <w:rPr>
          <w:rFonts w:eastAsiaTheme="minorEastAsia"/>
          <w:lang w:val="en-US" w:eastAsia="zh-CN"/>
        </w:rPr>
        <w:t>discussion in the</w:t>
      </w:r>
      <w:r w:rsidRPr="00576C71">
        <w:rPr>
          <w:rFonts w:eastAsiaTheme="minorEastAsia"/>
          <w:lang w:val="en-US" w:eastAsia="zh-CN"/>
        </w:rPr>
        <w:t xml:space="preserve"> </w:t>
      </w:r>
      <w:r>
        <w:rPr>
          <w:rFonts w:eastAsiaTheme="minorEastAsia"/>
          <w:lang w:val="en-US" w:eastAsia="zh-CN"/>
        </w:rPr>
        <w:t>W</w:t>
      </w:r>
      <w:r w:rsidRPr="00576C71">
        <w:rPr>
          <w:rFonts w:eastAsiaTheme="minorEastAsia"/>
          <w:lang w:val="en-US" w:eastAsia="zh-CN"/>
        </w:rPr>
        <w:t xml:space="preserve">orking </w:t>
      </w:r>
      <w:r>
        <w:rPr>
          <w:rFonts w:eastAsiaTheme="minorEastAsia"/>
          <w:lang w:val="en-US" w:eastAsia="zh-CN"/>
        </w:rPr>
        <w:t>G</w:t>
      </w:r>
      <w:r w:rsidRPr="00576C71">
        <w:rPr>
          <w:rFonts w:eastAsiaTheme="minorEastAsia"/>
          <w:lang w:val="en-US" w:eastAsia="zh-CN"/>
        </w:rPr>
        <w:t xml:space="preserve">roup </w:t>
      </w:r>
      <w:r>
        <w:rPr>
          <w:rFonts w:eastAsiaTheme="minorEastAsia"/>
          <w:lang w:val="en-US" w:eastAsia="zh-CN"/>
        </w:rPr>
        <w:t xml:space="preserve">on Tanks </w:t>
      </w:r>
      <w:proofErr w:type="gramStart"/>
      <w:r>
        <w:rPr>
          <w:rFonts w:eastAsiaTheme="minorEastAsia"/>
          <w:lang w:val="en-US" w:eastAsia="zh-CN"/>
        </w:rPr>
        <w:t xml:space="preserve">during </w:t>
      </w:r>
      <w:r w:rsidRPr="00576C71">
        <w:rPr>
          <w:rFonts w:eastAsiaTheme="minorEastAsia"/>
          <w:lang w:val="en-US" w:eastAsia="zh-CN"/>
        </w:rPr>
        <w:t xml:space="preserve"> the</w:t>
      </w:r>
      <w:proofErr w:type="gramEnd"/>
      <w:r w:rsidRPr="00576C71">
        <w:rPr>
          <w:rFonts w:eastAsiaTheme="minorEastAsia"/>
          <w:lang w:val="en-US" w:eastAsia="zh-CN"/>
        </w:rPr>
        <w:t xml:space="preserve"> March 2017 session (see item </w:t>
      </w:r>
      <w:r>
        <w:rPr>
          <w:rFonts w:eastAsiaTheme="minorEastAsia"/>
          <w:lang w:val="en-US" w:eastAsia="zh-CN"/>
        </w:rPr>
        <w:t>6</w:t>
      </w:r>
      <w:r w:rsidRPr="00576C71">
        <w:rPr>
          <w:rFonts w:eastAsiaTheme="minorEastAsia"/>
          <w:lang w:val="en-US" w:eastAsia="zh-CN"/>
        </w:rPr>
        <w:t xml:space="preserve"> of the report</w:t>
      </w:r>
      <w:r>
        <w:rPr>
          <w:rFonts w:eastAsiaTheme="minorEastAsia"/>
          <w:lang w:val="en-US" w:eastAsia="zh-CN"/>
        </w:rPr>
        <w:t xml:space="preserve"> </w:t>
      </w:r>
      <w:r>
        <w:t>ECE/TRANS/WP.15/AC.1/146/Add.1</w:t>
      </w:r>
      <w:r w:rsidRPr="00576C71">
        <w:rPr>
          <w:rFonts w:eastAsiaTheme="minorEastAsia"/>
          <w:lang w:val="en-US" w:eastAsia="zh-CN"/>
        </w:rPr>
        <w:t xml:space="preserve">) and the observations made in </w:t>
      </w:r>
      <w:r>
        <w:rPr>
          <w:rFonts w:eastAsiaTheme="minorEastAsia"/>
          <w:lang w:val="en-US" w:eastAsia="zh-CN"/>
        </w:rPr>
        <w:t>W</w:t>
      </w:r>
      <w:r w:rsidRPr="00576C71">
        <w:rPr>
          <w:rFonts w:eastAsiaTheme="minorEastAsia"/>
          <w:lang w:val="en-US" w:eastAsia="zh-CN"/>
        </w:rPr>
        <w:t xml:space="preserve">orking </w:t>
      </w:r>
      <w:r>
        <w:rPr>
          <w:rFonts w:eastAsiaTheme="minorEastAsia"/>
          <w:lang w:val="en-US" w:eastAsia="zh-CN"/>
        </w:rPr>
        <w:t>G</w:t>
      </w:r>
      <w:r w:rsidRPr="00576C71">
        <w:rPr>
          <w:rFonts w:eastAsiaTheme="minorEastAsia"/>
          <w:lang w:val="en-US" w:eastAsia="zh-CN"/>
        </w:rPr>
        <w:t xml:space="preserve">roup </w:t>
      </w:r>
      <w:r>
        <w:rPr>
          <w:rFonts w:eastAsiaTheme="minorEastAsia"/>
          <w:lang w:val="en-US" w:eastAsia="zh-CN"/>
        </w:rPr>
        <w:t>2</w:t>
      </w:r>
      <w:r w:rsidRPr="00576C71">
        <w:rPr>
          <w:rFonts w:eastAsiaTheme="minorEastAsia"/>
          <w:lang w:val="en-US" w:eastAsia="zh-CN"/>
        </w:rPr>
        <w:t xml:space="preserve"> of CEN TC 296. Adoption is necessary to allow the new revision of EN 13094, containing amendments allowing recessions and protrusions on gravity discharge shells, to be adopted </w:t>
      </w:r>
      <w:r>
        <w:rPr>
          <w:rFonts w:eastAsiaTheme="minorEastAsia"/>
          <w:lang w:val="en-US" w:eastAsia="zh-CN"/>
        </w:rPr>
        <w:t>as a</w:t>
      </w:r>
      <w:r w:rsidRPr="00576C71">
        <w:rPr>
          <w:rFonts w:eastAsiaTheme="minorEastAsia"/>
          <w:lang w:val="en-US" w:eastAsia="zh-CN"/>
        </w:rPr>
        <w:t xml:space="preserve"> reference</w:t>
      </w:r>
      <w:r>
        <w:rPr>
          <w:rFonts w:eastAsiaTheme="minorEastAsia"/>
          <w:lang w:val="en-US" w:eastAsia="zh-CN"/>
        </w:rPr>
        <w:t xml:space="preserve"> in RID/ADR</w:t>
      </w:r>
      <w:r w:rsidRPr="00576C71">
        <w:rPr>
          <w:rFonts w:eastAsiaTheme="minorEastAsia"/>
          <w:lang w:val="en-US" w:eastAsia="zh-CN"/>
        </w:rPr>
        <w:t>.</w:t>
      </w:r>
    </w:p>
    <w:p w:rsidR="00DE4750" w:rsidRPr="00576C71" w:rsidRDefault="00DE4750" w:rsidP="00DE4750">
      <w:pPr>
        <w:pStyle w:val="SingleTxtG"/>
        <w:rPr>
          <w:rFonts w:eastAsiaTheme="minorEastAsia"/>
          <w:lang w:val="en-US" w:eastAsia="zh-CN"/>
        </w:rPr>
      </w:pPr>
      <w:r>
        <w:rPr>
          <w:rFonts w:eastAsiaTheme="minorEastAsia"/>
          <w:lang w:val="en-US" w:eastAsia="zh-CN"/>
        </w:rPr>
        <w:t>5.</w:t>
      </w:r>
      <w:r>
        <w:rPr>
          <w:rFonts w:eastAsiaTheme="minorEastAsia"/>
          <w:lang w:val="en-US" w:eastAsia="zh-CN"/>
        </w:rPr>
        <w:tab/>
      </w:r>
      <w:r w:rsidRPr="00576C71">
        <w:rPr>
          <w:rFonts w:eastAsiaTheme="minorEastAsia"/>
          <w:lang w:val="en-US" w:eastAsia="zh-CN"/>
        </w:rPr>
        <w:t xml:space="preserve">The revised standard EN 13094, yet in the approval process, will contain sufficient details to </w:t>
      </w:r>
      <w:r>
        <w:rPr>
          <w:rFonts w:eastAsiaTheme="minorEastAsia"/>
          <w:lang w:val="en-US" w:eastAsia="zh-CN"/>
        </w:rPr>
        <w:t>regulate the correct application of recesses and protrusions, such as size, placing in a protected area, use of plate thicknesses and calculation (FEM) to checks stresses in the construction. If wished for these details, these can also be included in the regulation itself.</w:t>
      </w:r>
      <w:r w:rsidRPr="00576C71">
        <w:rPr>
          <w:rFonts w:eastAsiaTheme="minorEastAsia"/>
          <w:lang w:val="en-US" w:eastAsia="zh-CN"/>
        </w:rPr>
        <w:t xml:space="preserve"> </w:t>
      </w:r>
      <w:r w:rsidRPr="00576C71">
        <w:rPr>
          <w:rFonts w:eastAsiaTheme="minorEastAsia"/>
          <w:lang w:val="en-US" w:eastAsia="zh-CN"/>
        </w:rPr>
        <w:br/>
        <w:t>As this amendment will offer new options</w:t>
      </w:r>
      <w:r>
        <w:rPr>
          <w:rFonts w:eastAsiaTheme="minorEastAsia"/>
          <w:lang w:val="en-US" w:eastAsia="zh-CN"/>
        </w:rPr>
        <w:t>,</w:t>
      </w:r>
      <w:r w:rsidRPr="00576C71">
        <w:rPr>
          <w:rFonts w:eastAsiaTheme="minorEastAsia"/>
          <w:lang w:val="en-US" w:eastAsia="zh-CN"/>
        </w:rPr>
        <w:t xml:space="preserve"> existing tanks are not affected and a transitional measure is not necessary.</w:t>
      </w:r>
    </w:p>
    <w:p w:rsidR="00FA16BB" w:rsidRPr="00FA16BB" w:rsidRDefault="00FA16BB" w:rsidP="00FA16BB">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FA16BB" w:rsidRPr="00FA16BB" w:rsidSect="009D2A5B">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F1BA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E4750">
      <w:rPr>
        <w:b/>
        <w:noProof/>
        <w:sz w:val="18"/>
      </w:rPr>
      <w:t>15</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A8207E" w:rsidRPr="00C563BF" w:rsidRDefault="00A8207E" w:rsidP="00C563BF">
      <w:pPr>
        <w:pStyle w:val="FootnoteText"/>
        <w:ind w:left="1418" w:hanging="284"/>
        <w:jc w:val="both"/>
        <w:rPr>
          <w:lang w:val="fr-CH"/>
        </w:rPr>
      </w:pPr>
      <w:r w:rsidRPr="00C563BF">
        <w:rPr>
          <w:rStyle w:val="FootnoteReference"/>
          <w:sz w:val="20"/>
        </w:rPr>
        <w:footnoteRef/>
      </w:r>
      <w:r>
        <w:tab/>
        <w:t>In accordance with the programme of work of the Inland Transport Committee for 2016-2017, (ECE/TRANS/2016/28/Add.1 (9.2)).</w:t>
      </w:r>
    </w:p>
  </w:footnote>
  <w:footnote w:id="3">
    <w:p w:rsidR="00A8207E" w:rsidRPr="00C563BF" w:rsidRDefault="00A8207E" w:rsidP="00C563BF">
      <w:pPr>
        <w:pStyle w:val="FootnoteText"/>
        <w:ind w:left="1418" w:hanging="284"/>
        <w:jc w:val="both"/>
        <w:rPr>
          <w:lang w:val="fr-CH"/>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t>7</w:t>
      </w:r>
      <w:r w:rsidRPr="00561474">
        <w:t>/</w:t>
      </w:r>
      <w:r w:rsidR="00DE4750">
        <w:t>40</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Header"/>
    </w:pPr>
    <w:r w:rsidRPr="009D2A5B">
      <w:t>ECE/TRANS/WP.15/AC.1/201</w:t>
    </w:r>
    <w:r>
      <w:t>7</w:t>
    </w:r>
    <w:r w:rsidRPr="009D2A5B">
      <w:t>/</w:t>
    </w:r>
    <w:r w:rsidR="00DE4750">
      <w:t>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Header"/>
      <w:jc w:val="right"/>
    </w:pPr>
    <w:r w:rsidRPr="009D2A5B">
      <w:t>ECE/TRANS/WP.15/AC.1/201</w:t>
    </w:r>
    <w:r>
      <w:t>7</w:t>
    </w:r>
    <w:r w:rsidRPr="009D2A5B">
      <w:t>/</w:t>
    </w:r>
    <w:r>
      <w:t>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1"/>
  </w:num>
  <w:num w:numId="15">
    <w:abstractNumId w:val="14"/>
  </w:num>
  <w:num w:numId="16">
    <w:abstractNumId w:val="11"/>
  </w:num>
  <w:num w:numId="17">
    <w:abstractNumId w:val="18"/>
  </w:num>
  <w:num w:numId="18">
    <w:abstractNumId w:val="23"/>
  </w:num>
  <w:num w:numId="19">
    <w:abstractNumId w:val="22"/>
  </w:num>
  <w:num w:numId="20">
    <w:abstractNumId w:val="12"/>
  </w:num>
  <w:num w:numId="21">
    <w:abstractNumId w:val="15"/>
  </w:num>
  <w:num w:numId="22">
    <w:abstractNumId w:val="20"/>
  </w:num>
  <w:num w:numId="23">
    <w:abstractNumId w:val="13"/>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13DE"/>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D230B"/>
    <w:rsid w:val="000E0415"/>
    <w:rsid w:val="001103AA"/>
    <w:rsid w:val="0011666B"/>
    <w:rsid w:val="001208E2"/>
    <w:rsid w:val="0012611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0853"/>
    <w:rsid w:val="00302B8D"/>
    <w:rsid w:val="00302E18"/>
    <w:rsid w:val="00312506"/>
    <w:rsid w:val="003229D8"/>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95D15"/>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611CF"/>
    <w:rsid w:val="007629C8"/>
    <w:rsid w:val="00764081"/>
    <w:rsid w:val="007674FA"/>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E0678"/>
    <w:rsid w:val="008E7526"/>
    <w:rsid w:val="00901B81"/>
    <w:rsid w:val="0092212D"/>
    <w:rsid w:val="009223CA"/>
    <w:rsid w:val="00940F93"/>
    <w:rsid w:val="0094558F"/>
    <w:rsid w:val="0094766B"/>
    <w:rsid w:val="00961690"/>
    <w:rsid w:val="009760F3"/>
    <w:rsid w:val="009A0E8D"/>
    <w:rsid w:val="009B1518"/>
    <w:rsid w:val="009B192C"/>
    <w:rsid w:val="009B26E7"/>
    <w:rsid w:val="009B6669"/>
    <w:rsid w:val="009C3EED"/>
    <w:rsid w:val="009C454F"/>
    <w:rsid w:val="009D2A5B"/>
    <w:rsid w:val="00A00A3F"/>
    <w:rsid w:val="00A01489"/>
    <w:rsid w:val="00A2358C"/>
    <w:rsid w:val="00A3009E"/>
    <w:rsid w:val="00A3026E"/>
    <w:rsid w:val="00A338F1"/>
    <w:rsid w:val="00A43545"/>
    <w:rsid w:val="00A72F22"/>
    <w:rsid w:val="00A7360F"/>
    <w:rsid w:val="00A748A6"/>
    <w:rsid w:val="00A769F4"/>
    <w:rsid w:val="00A776B4"/>
    <w:rsid w:val="00A81407"/>
    <w:rsid w:val="00A8207E"/>
    <w:rsid w:val="00A9093D"/>
    <w:rsid w:val="00A9142D"/>
    <w:rsid w:val="00A94361"/>
    <w:rsid w:val="00AA293C"/>
    <w:rsid w:val="00AB25C8"/>
    <w:rsid w:val="00AD13BA"/>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2F9A"/>
    <w:rsid w:val="00C255AF"/>
    <w:rsid w:val="00C30C61"/>
    <w:rsid w:val="00C3172E"/>
    <w:rsid w:val="00C35502"/>
    <w:rsid w:val="00C40B11"/>
    <w:rsid w:val="00C4527F"/>
    <w:rsid w:val="00C463DD"/>
    <w:rsid w:val="00C4724C"/>
    <w:rsid w:val="00C563BF"/>
    <w:rsid w:val="00C629A0"/>
    <w:rsid w:val="00C64629"/>
    <w:rsid w:val="00C745C3"/>
    <w:rsid w:val="00C76F8B"/>
    <w:rsid w:val="00C92461"/>
    <w:rsid w:val="00CB3E03"/>
    <w:rsid w:val="00CE4A8F"/>
    <w:rsid w:val="00CF1BAD"/>
    <w:rsid w:val="00D2031B"/>
    <w:rsid w:val="00D25FE2"/>
    <w:rsid w:val="00D43252"/>
    <w:rsid w:val="00D47EEA"/>
    <w:rsid w:val="00D550D4"/>
    <w:rsid w:val="00D773DF"/>
    <w:rsid w:val="00D872AC"/>
    <w:rsid w:val="00D9255F"/>
    <w:rsid w:val="00D95303"/>
    <w:rsid w:val="00D978C6"/>
    <w:rsid w:val="00DA3C1C"/>
    <w:rsid w:val="00DD29BD"/>
    <w:rsid w:val="00DE1D53"/>
    <w:rsid w:val="00DE4750"/>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1389"/>
    <w:rsid w:val="00ED7A2A"/>
    <w:rsid w:val="00EE1FD0"/>
    <w:rsid w:val="00EE6B3A"/>
    <w:rsid w:val="00EF1D7F"/>
    <w:rsid w:val="00F31E5F"/>
    <w:rsid w:val="00F32BB7"/>
    <w:rsid w:val="00F47EDC"/>
    <w:rsid w:val="00F6100A"/>
    <w:rsid w:val="00F63C9D"/>
    <w:rsid w:val="00F66565"/>
    <w:rsid w:val="00F75A16"/>
    <w:rsid w:val="00F77976"/>
    <w:rsid w:val="00F852F4"/>
    <w:rsid w:val="00F92A22"/>
    <w:rsid w:val="00F93781"/>
    <w:rsid w:val="00FA16BB"/>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B0FA95"/>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0061-FD0E-4C3F-A2A9-304CF1DB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2990</Characters>
  <Application>Microsoft Office Word</Application>
  <DocSecurity>0</DocSecurity>
  <Lines>67</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2017-06-28T07:18:00Z</cp:lastPrinted>
  <dcterms:created xsi:type="dcterms:W3CDTF">2017-06-28T09:51:00Z</dcterms:created>
  <dcterms:modified xsi:type="dcterms:W3CDTF">2017-06-30T13:47:00Z</dcterms:modified>
</cp:coreProperties>
</file>