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495D15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0509A7">
              <w:t>7</w:t>
            </w:r>
            <w:r>
              <w:t>/</w:t>
            </w:r>
            <w:r w:rsidR="00495D15">
              <w:t>37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212D43" w:rsidP="00B11BB4">
            <w:pPr>
              <w:suppressAutoHyphens w:val="0"/>
            </w:pPr>
            <w:r>
              <w:t>30</w:t>
            </w:r>
            <w:r w:rsidR="00EE1FD0">
              <w:t xml:space="preserve"> June</w:t>
            </w:r>
            <w:r w:rsidR="001B13A5">
              <w:t xml:space="preserve"> 201</w:t>
            </w:r>
            <w:r w:rsidR="001208E2">
              <w:t>7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1208E2" w:rsidP="00BB7CD1">
      <w:r>
        <w:t>Geneva</w:t>
      </w:r>
      <w:r w:rsidR="00BB7CD1">
        <w:t xml:space="preserve">, </w:t>
      </w:r>
      <w:r w:rsidR="00AE08DA">
        <w:t>1</w:t>
      </w:r>
      <w:r>
        <w:t>9</w:t>
      </w:r>
      <w:r w:rsidR="00BB7CD1">
        <w:t>–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0509A7">
        <w:t>7</w:t>
      </w:r>
    </w:p>
    <w:p w:rsidR="00B175D8" w:rsidRDefault="00B175D8" w:rsidP="00B175D8">
      <w:r>
        <w:t xml:space="preserve">Item </w:t>
      </w:r>
      <w:r w:rsidR="00302B8D">
        <w:t>5 (b)</w:t>
      </w:r>
      <w:r>
        <w:t xml:space="preserve"> of the provisional agenda</w:t>
      </w:r>
    </w:p>
    <w:p w:rsidR="00FA6DA6" w:rsidRDefault="00302B8D" w:rsidP="00302B8D">
      <w:pPr>
        <w:rPr>
          <w:b/>
          <w:bCs/>
        </w:rPr>
      </w:pPr>
      <w:r w:rsidRPr="00302B8D">
        <w:rPr>
          <w:b/>
          <w:bCs/>
        </w:rPr>
        <w:t>Proposals for amendments to RID/ADR/</w:t>
      </w:r>
      <w:r>
        <w:rPr>
          <w:b/>
          <w:bCs/>
        </w:rPr>
        <w:t>ADN:</w:t>
      </w:r>
    </w:p>
    <w:p w:rsidR="00302B8D" w:rsidRPr="00302B8D" w:rsidRDefault="00302B8D" w:rsidP="00302B8D">
      <w:pPr>
        <w:rPr>
          <w:b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proposals</w:t>
      </w:r>
    </w:p>
    <w:p w:rsidR="00C3172E" w:rsidRPr="00302B8D" w:rsidRDefault="00C3172E" w:rsidP="00C3172E">
      <w:pPr>
        <w:pStyle w:val="HChG"/>
      </w:pPr>
      <w:r w:rsidRPr="00302B8D">
        <w:tab/>
      </w:r>
      <w:r w:rsidRPr="00302B8D">
        <w:tab/>
      </w:r>
      <w:r w:rsidR="00495D15" w:rsidRPr="00B56B4E">
        <w:rPr>
          <w:rFonts w:eastAsia="Calibri"/>
        </w:rPr>
        <w:t>1.1</w:t>
      </w:r>
      <w:r w:rsidR="00495D15">
        <w:rPr>
          <w:rFonts w:eastAsia="Calibri"/>
        </w:rPr>
        <w:t>.3.6.3</w:t>
      </w:r>
      <w:r w:rsidR="00495D15" w:rsidRPr="00B56B4E">
        <w:rPr>
          <w:rFonts w:eastAsia="Calibri"/>
        </w:rPr>
        <w:t xml:space="preserve"> – </w:t>
      </w:r>
      <w:r w:rsidR="00AE7945">
        <w:rPr>
          <w:rFonts w:eastAsia="Calibri"/>
        </w:rPr>
        <w:t>C</w:t>
      </w:r>
      <w:bookmarkStart w:id="0" w:name="_GoBack"/>
      <w:bookmarkEnd w:id="0"/>
      <w:r w:rsidR="00495D15" w:rsidRPr="00A17836">
        <w:rPr>
          <w:rFonts w:eastAsia="Calibri"/>
        </w:rPr>
        <w:t>larification</w:t>
      </w:r>
      <w:r w:rsidR="00495D15">
        <w:rPr>
          <w:rFonts w:eastAsia="Calibri"/>
        </w:rPr>
        <w:t xml:space="preserve"> </w:t>
      </w:r>
      <w:r w:rsidR="00495D15" w:rsidRPr="00A17836">
        <w:rPr>
          <w:rFonts w:eastAsia="Calibri"/>
        </w:rPr>
        <w:t>of</w:t>
      </w:r>
      <w:r w:rsidR="00495D15">
        <w:rPr>
          <w:rFonts w:eastAsia="Calibri"/>
        </w:rPr>
        <w:t xml:space="preserve"> </w:t>
      </w:r>
      <w:r w:rsidR="00495D15" w:rsidRPr="00B56B4E">
        <w:rPr>
          <w:rFonts w:eastAsia="Calibri"/>
        </w:rPr>
        <w:t>“</w:t>
      </w:r>
      <w:r w:rsidR="00495D15" w:rsidRPr="00A17836">
        <w:rPr>
          <w:rFonts w:eastAsia="Calibri"/>
        </w:rPr>
        <w:t>gross</w:t>
      </w:r>
      <w:r w:rsidR="00495D15">
        <w:rPr>
          <w:rFonts w:eastAsia="Calibri"/>
        </w:rPr>
        <w:t xml:space="preserve"> </w:t>
      </w:r>
      <w:r w:rsidR="00495D15" w:rsidRPr="00A17836">
        <w:rPr>
          <w:rFonts w:eastAsia="Calibri"/>
        </w:rPr>
        <w:t>mass</w:t>
      </w:r>
      <w:r w:rsidR="00495D15" w:rsidRPr="00B56B4E">
        <w:rPr>
          <w:rFonts w:eastAsia="Calibri"/>
        </w:rPr>
        <w:t>”</w:t>
      </w:r>
    </w:p>
    <w:p w:rsidR="00C3172E" w:rsidRDefault="00C3172E" w:rsidP="00C3172E">
      <w:pPr>
        <w:pStyle w:val="H1G"/>
        <w:rPr>
          <w:b w:val="0"/>
          <w:sz w:val="20"/>
        </w:rPr>
      </w:pPr>
      <w:r>
        <w:tab/>
      </w:r>
      <w:r>
        <w:tab/>
      </w:r>
      <w:r w:rsidR="0043040E">
        <w:t>T</w:t>
      </w:r>
      <w:r>
        <w:t xml:space="preserve">ransmitted by </w:t>
      </w:r>
      <w:r w:rsidR="0043040E">
        <w:t xml:space="preserve">the Government of </w:t>
      </w:r>
      <w:r w:rsidR="00495D15">
        <w:t>Austria</w:t>
      </w:r>
      <w:r w:rsidR="00C563BF" w:rsidRPr="00C563BF">
        <w:rPr>
          <w:rStyle w:val="FootnoteReference"/>
          <w:sz w:val="20"/>
        </w:rPr>
        <w:footnoteReference w:id="2"/>
      </w:r>
      <w:r w:rsidR="00C563BF" w:rsidRPr="00C563BF">
        <w:rPr>
          <w:b w:val="0"/>
          <w:sz w:val="20"/>
          <w:vertAlign w:val="superscript"/>
        </w:rPr>
        <w:t>,</w:t>
      </w:r>
      <w:r w:rsidR="00C563BF">
        <w:rPr>
          <w:b w:val="0"/>
          <w:vertAlign w:val="superscript"/>
        </w:rPr>
        <w:t xml:space="preserve"> </w:t>
      </w:r>
      <w:r w:rsidR="00C563BF" w:rsidRPr="00C563BF">
        <w:rPr>
          <w:rStyle w:val="FootnoteReference"/>
          <w:b w:val="0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302B8D" w:rsidRPr="008137C6" w:rsidTr="009C19A5">
        <w:trPr>
          <w:jc w:val="center"/>
        </w:trPr>
        <w:tc>
          <w:tcPr>
            <w:tcW w:w="9082" w:type="dxa"/>
            <w:shd w:val="clear" w:color="auto" w:fill="auto"/>
          </w:tcPr>
          <w:p w:rsidR="00302B8D" w:rsidRPr="008137C6" w:rsidRDefault="00302B8D" w:rsidP="009C19A5">
            <w:pPr>
              <w:spacing w:before="240" w:after="120"/>
              <w:ind w:left="255"/>
              <w:rPr>
                <w:i/>
                <w:sz w:val="24"/>
              </w:rPr>
            </w:pPr>
            <w:r w:rsidRPr="008137C6">
              <w:rPr>
                <w:i/>
                <w:sz w:val="24"/>
              </w:rPr>
              <w:t>Summary</w:t>
            </w:r>
          </w:p>
        </w:tc>
      </w:tr>
      <w:tr w:rsidR="00302B8D" w:rsidRPr="008137C6" w:rsidTr="009C19A5">
        <w:trPr>
          <w:jc w:val="center"/>
        </w:trPr>
        <w:tc>
          <w:tcPr>
            <w:tcW w:w="9082" w:type="dxa"/>
            <w:shd w:val="clear" w:color="auto" w:fill="auto"/>
          </w:tcPr>
          <w:p w:rsidR="00302B8D" w:rsidRPr="008137C6" w:rsidRDefault="00302B8D" w:rsidP="009C19A5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8137C6">
              <w:rPr>
                <w:b/>
              </w:rPr>
              <w:t>Executive summary:</w:t>
            </w:r>
            <w:r w:rsidRPr="008137C6">
              <w:tab/>
            </w:r>
            <w:r w:rsidR="00495D15" w:rsidRPr="00B56B4E">
              <w:rPr>
                <w:rFonts w:eastAsia="Calibri"/>
              </w:rPr>
              <w:t xml:space="preserve">The aim of this proposal is to </w:t>
            </w:r>
            <w:r w:rsidR="00495D15" w:rsidRPr="00905974">
              <w:rPr>
                <w:rFonts w:eastAsia="Calibri"/>
              </w:rPr>
              <w:t>clar</w:t>
            </w:r>
            <w:r w:rsidR="00495D15" w:rsidRPr="00B56B4E">
              <w:rPr>
                <w:rFonts w:eastAsia="Calibri"/>
              </w:rPr>
              <w:t xml:space="preserve">ify the </w:t>
            </w:r>
            <w:r w:rsidR="00495D15" w:rsidRPr="00905974">
              <w:rPr>
                <w:rFonts w:eastAsia="Calibri"/>
              </w:rPr>
              <w:t>meaning</w:t>
            </w:r>
            <w:r w:rsidR="00495D15" w:rsidRPr="00B56B4E">
              <w:rPr>
                <w:rFonts w:eastAsia="Calibri"/>
              </w:rPr>
              <w:t xml:space="preserve"> of </w:t>
            </w:r>
            <w:r w:rsidR="00495D15" w:rsidRPr="006C1229">
              <w:rPr>
                <w:rFonts w:eastAsia="Calibri"/>
              </w:rPr>
              <w:t>“</w:t>
            </w:r>
            <w:r w:rsidR="00495D15" w:rsidRPr="00905974">
              <w:rPr>
                <w:rFonts w:eastAsia="Calibri"/>
              </w:rPr>
              <w:t>For</w:t>
            </w:r>
            <w:r w:rsidR="00495D15">
              <w:rPr>
                <w:rFonts w:eastAsia="Calibri"/>
              </w:rPr>
              <w:t xml:space="preserve"> </w:t>
            </w:r>
            <w:r w:rsidR="00495D15" w:rsidRPr="00905974">
              <w:rPr>
                <w:rFonts w:eastAsia="Calibri"/>
              </w:rPr>
              <w:t>articles</w:t>
            </w:r>
            <w:r w:rsidR="00495D15">
              <w:rPr>
                <w:rFonts w:eastAsia="Calibri"/>
              </w:rPr>
              <w:t xml:space="preserve">, </w:t>
            </w:r>
            <w:r w:rsidR="00495D15" w:rsidRPr="00905974">
              <w:rPr>
                <w:rFonts w:eastAsia="Calibri"/>
              </w:rPr>
              <w:t>gross mass</w:t>
            </w:r>
            <w:r w:rsidR="00495D15" w:rsidRPr="006C1229">
              <w:rPr>
                <w:rFonts w:eastAsia="Calibri"/>
              </w:rPr>
              <w:t>”</w:t>
            </w:r>
            <w:r w:rsidR="00495D15" w:rsidRPr="00B56B4E">
              <w:rPr>
                <w:rFonts w:eastAsia="Calibri"/>
              </w:rPr>
              <w:t xml:space="preserve"> </w:t>
            </w:r>
            <w:r w:rsidR="00495D15">
              <w:rPr>
                <w:rFonts w:eastAsia="Calibri"/>
              </w:rPr>
              <w:t xml:space="preserve">in </w:t>
            </w:r>
            <w:r w:rsidR="00495D15" w:rsidRPr="006C1229">
              <w:rPr>
                <w:rFonts w:eastAsia="Calibri"/>
              </w:rPr>
              <w:t xml:space="preserve">1.1.3.6.3 </w:t>
            </w:r>
            <w:r w:rsidR="00495D15">
              <w:rPr>
                <w:rFonts w:eastAsia="Calibri"/>
              </w:rPr>
              <w:t>RID/ADR</w:t>
            </w:r>
          </w:p>
        </w:tc>
      </w:tr>
      <w:tr w:rsidR="00302B8D" w:rsidRPr="008137C6" w:rsidTr="009C19A5">
        <w:trPr>
          <w:jc w:val="center"/>
        </w:trPr>
        <w:tc>
          <w:tcPr>
            <w:tcW w:w="9082" w:type="dxa"/>
            <w:shd w:val="clear" w:color="auto" w:fill="auto"/>
          </w:tcPr>
          <w:p w:rsidR="00302B8D" w:rsidRPr="008137C6" w:rsidRDefault="00302B8D" w:rsidP="009C19A5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8137C6">
              <w:rPr>
                <w:b/>
              </w:rPr>
              <w:t>Action to be taken:</w:t>
            </w:r>
            <w:r w:rsidRPr="008137C6">
              <w:rPr>
                <w:b/>
              </w:rPr>
              <w:tab/>
            </w:r>
            <w:r w:rsidR="00495D15">
              <w:rPr>
                <w:rFonts w:eastAsia="Calibri"/>
              </w:rPr>
              <w:t xml:space="preserve">Interpretation </w:t>
            </w:r>
            <w:r w:rsidR="00495D15" w:rsidRPr="00905974">
              <w:rPr>
                <w:rFonts w:eastAsia="Calibri"/>
              </w:rPr>
              <w:t>and</w:t>
            </w:r>
            <w:r w:rsidR="00495D15">
              <w:rPr>
                <w:rFonts w:eastAsia="Calibri"/>
              </w:rPr>
              <w:t xml:space="preserve"> potential </w:t>
            </w:r>
            <w:r w:rsidR="00495D15" w:rsidRPr="00905974">
              <w:rPr>
                <w:rFonts w:eastAsia="Calibri"/>
              </w:rPr>
              <w:t xml:space="preserve">improvement of </w:t>
            </w:r>
            <w:r w:rsidR="00495D15" w:rsidRPr="006C1229">
              <w:rPr>
                <w:rFonts w:eastAsia="Calibri"/>
              </w:rPr>
              <w:t xml:space="preserve">1.1.3.6.3 </w:t>
            </w:r>
            <w:r w:rsidR="00495D15" w:rsidRPr="00497084">
              <w:rPr>
                <w:rFonts w:eastAsia="Calibri"/>
              </w:rPr>
              <w:t>RID/ADR</w:t>
            </w:r>
          </w:p>
        </w:tc>
      </w:tr>
      <w:tr w:rsidR="00302B8D" w:rsidRPr="008137C6" w:rsidTr="009C19A5">
        <w:trPr>
          <w:jc w:val="center"/>
        </w:trPr>
        <w:tc>
          <w:tcPr>
            <w:tcW w:w="9082" w:type="dxa"/>
            <w:shd w:val="clear" w:color="auto" w:fill="auto"/>
          </w:tcPr>
          <w:p w:rsidR="00302B8D" w:rsidRPr="008137C6" w:rsidRDefault="00302B8D" w:rsidP="009C19A5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</w:rPr>
            </w:pPr>
          </w:p>
        </w:tc>
      </w:tr>
      <w:tr w:rsidR="00302B8D" w:rsidRPr="008137C6" w:rsidTr="009C19A5">
        <w:trPr>
          <w:trHeight w:val="63"/>
          <w:jc w:val="center"/>
        </w:trPr>
        <w:tc>
          <w:tcPr>
            <w:tcW w:w="9082" w:type="dxa"/>
            <w:shd w:val="clear" w:color="auto" w:fill="auto"/>
          </w:tcPr>
          <w:p w:rsidR="00302B8D" w:rsidRPr="008137C6" w:rsidRDefault="00302B8D" w:rsidP="009C19A5"/>
        </w:tc>
      </w:tr>
    </w:tbl>
    <w:p w:rsidR="00302B8D" w:rsidRPr="002C3A2B" w:rsidRDefault="00302B8D" w:rsidP="00302B8D">
      <w:pPr>
        <w:pStyle w:val="HChG"/>
      </w:pPr>
      <w:r>
        <w:tab/>
      </w:r>
      <w:r>
        <w:tab/>
        <w:t>Introduction</w:t>
      </w:r>
    </w:p>
    <w:p w:rsidR="00495D15" w:rsidRPr="00497084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B56B4E">
        <w:rPr>
          <w:rFonts w:eastAsia="Calibri"/>
        </w:rPr>
        <w:t>1.</w:t>
      </w:r>
      <w:r w:rsidRPr="00B56B4E">
        <w:rPr>
          <w:rFonts w:eastAsia="Calibri"/>
        </w:rPr>
        <w:tab/>
      </w:r>
      <w:r>
        <w:rPr>
          <w:rFonts w:eastAsia="Calibri"/>
        </w:rPr>
        <w:t xml:space="preserve">The </w:t>
      </w:r>
      <w:r w:rsidRPr="00A17836">
        <w:rPr>
          <w:rFonts w:eastAsia="Calibri"/>
        </w:rPr>
        <w:t>text</w:t>
      </w:r>
      <w:r>
        <w:rPr>
          <w:rFonts w:eastAsia="Calibri"/>
        </w:rPr>
        <w:t xml:space="preserve"> after </w:t>
      </w:r>
      <w:r w:rsidRPr="00905974">
        <w:rPr>
          <w:rFonts w:eastAsia="Calibri"/>
        </w:rPr>
        <w:t xml:space="preserve">the table </w:t>
      </w:r>
      <w:r>
        <w:rPr>
          <w:rFonts w:eastAsia="Calibri"/>
        </w:rPr>
        <w:t xml:space="preserve">in </w:t>
      </w:r>
      <w:r w:rsidRPr="00497084">
        <w:rPr>
          <w:rFonts w:eastAsia="Calibri"/>
        </w:rPr>
        <w:t xml:space="preserve">1.1.3.6.3 </w:t>
      </w:r>
      <w:r>
        <w:rPr>
          <w:rFonts w:eastAsia="Calibri"/>
        </w:rPr>
        <w:t xml:space="preserve">of </w:t>
      </w:r>
      <w:r w:rsidRPr="00497084">
        <w:rPr>
          <w:rFonts w:eastAsia="Calibri"/>
        </w:rPr>
        <w:t>RID/ADR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states that "maximum</w:t>
      </w:r>
      <w:r w:rsidRPr="00497084">
        <w:rPr>
          <w:rFonts w:eastAsia="Calibri"/>
        </w:rPr>
        <w:t xml:space="preserve"> total</w:t>
      </w:r>
      <w:r w:rsidRPr="00905974">
        <w:rPr>
          <w:rFonts w:eastAsia="Calibri"/>
        </w:rPr>
        <w:t xml:space="preserve"> quantity</w:t>
      </w:r>
      <w:r w:rsidRPr="00497084">
        <w:rPr>
          <w:rFonts w:eastAsia="Calibri"/>
        </w:rPr>
        <w:t xml:space="preserve"> per</w:t>
      </w:r>
      <w:r w:rsidRPr="00905974">
        <w:rPr>
          <w:rFonts w:eastAsia="Calibri"/>
        </w:rPr>
        <w:t xml:space="preserve"> transport unit</w:t>
      </w:r>
      <w:r w:rsidRPr="00497084">
        <w:rPr>
          <w:rFonts w:eastAsia="Calibri"/>
        </w:rPr>
        <w:t xml:space="preserve">" </w:t>
      </w:r>
      <w:r>
        <w:rPr>
          <w:rFonts w:eastAsia="Calibri"/>
        </w:rPr>
        <w:t>in</w:t>
      </w:r>
      <w:r w:rsidRPr="00905974">
        <w:rPr>
          <w:rFonts w:eastAsia="Calibri"/>
        </w:rPr>
        <w:t xml:space="preserve"> the table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„means</w:t>
      </w:r>
      <w:r w:rsidRPr="00497084">
        <w:rPr>
          <w:rFonts w:eastAsia="Calibri"/>
        </w:rPr>
        <w:t>:</w:t>
      </w:r>
    </w:p>
    <w:p w:rsidR="00495D15" w:rsidRDefault="00495D15" w:rsidP="00495D15">
      <w:pPr>
        <w:spacing w:after="120"/>
        <w:ind w:left="1134" w:right="113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497084">
        <w:rPr>
          <w:rFonts w:eastAsia="Calibri"/>
        </w:rPr>
        <w:t>-</w:t>
      </w:r>
      <w:r>
        <w:rPr>
          <w:rFonts w:eastAsia="Calibri"/>
        </w:rPr>
        <w:tab/>
      </w:r>
      <w:r w:rsidRPr="00905974">
        <w:rPr>
          <w:rFonts w:eastAsia="Calibri"/>
        </w:rPr>
        <w:t>For articles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</w:t>
      </w:r>
      <w:r w:rsidRPr="00905974">
        <w:rPr>
          <w:rFonts w:eastAsia="Calibri"/>
          <w:u w:val="single"/>
        </w:rPr>
        <w:t>gross</w:t>
      </w:r>
      <w:r w:rsidRPr="00905974">
        <w:rPr>
          <w:rFonts w:eastAsia="Calibri"/>
        </w:rPr>
        <w:t xml:space="preserve"> mass</w:t>
      </w:r>
      <w:r w:rsidRPr="00497084">
        <w:rPr>
          <w:rFonts w:eastAsia="Calibri"/>
        </w:rPr>
        <w:t xml:space="preserve"> in</w:t>
      </w:r>
      <w:r w:rsidRPr="00905974">
        <w:rPr>
          <w:rFonts w:eastAsia="Calibri"/>
        </w:rPr>
        <w:t xml:space="preserve"> kilograms</w:t>
      </w:r>
      <w:r>
        <w:rPr>
          <w:rFonts w:eastAsia="Calibri"/>
        </w:rPr>
        <w:t>“</w:t>
      </w:r>
      <w:proofErr w:type="gramStart"/>
      <w:r>
        <w:rPr>
          <w:rFonts w:eastAsia="Calibri"/>
        </w:rPr>
        <w:t>„</w:t>
      </w:r>
      <w:r w:rsidRPr="00497084">
        <w:rPr>
          <w:rFonts w:eastAsia="Calibri"/>
        </w:rPr>
        <w:t>(</w:t>
      </w:r>
      <w:proofErr w:type="gramEnd"/>
      <w:r w:rsidRPr="00905974">
        <w:rPr>
          <w:rFonts w:eastAsia="Calibri"/>
        </w:rPr>
        <w:t>for articles of</w:t>
      </w:r>
      <w:r w:rsidRPr="00497084">
        <w:rPr>
          <w:rFonts w:eastAsia="Calibri"/>
        </w:rPr>
        <w:t xml:space="preserve"> Class 1,</w:t>
      </w:r>
      <w:r w:rsidRPr="00905974">
        <w:rPr>
          <w:rFonts w:eastAsia="Calibri"/>
        </w:rPr>
        <w:t xml:space="preserve"> </w:t>
      </w:r>
      <w:r w:rsidRPr="00905974">
        <w:rPr>
          <w:rFonts w:eastAsia="Calibri"/>
          <w:u w:val="single"/>
        </w:rPr>
        <w:t>net</w:t>
      </w:r>
      <w:r w:rsidRPr="00905974">
        <w:rPr>
          <w:rFonts w:eastAsia="Calibri"/>
        </w:rPr>
        <w:t xml:space="preserve"> mass</w:t>
      </w:r>
      <w:r w:rsidRPr="00497084">
        <w:rPr>
          <w:rFonts w:eastAsia="Calibri"/>
        </w:rPr>
        <w:t xml:space="preserve"> in</w:t>
      </w:r>
      <w:r w:rsidRPr="00905974">
        <w:rPr>
          <w:rFonts w:eastAsia="Calibri"/>
        </w:rPr>
        <w:t xml:space="preserve"> kilograms of the</w:t>
      </w:r>
      <w:r>
        <w:rPr>
          <w:rFonts w:eastAsia="Calibri"/>
        </w:rPr>
        <w:t xml:space="preserve"> </w:t>
      </w:r>
      <w:r w:rsidRPr="00497084">
        <w:rPr>
          <w:rFonts w:eastAsia="Calibri"/>
        </w:rPr>
        <w:t>explosive</w:t>
      </w:r>
      <w:r w:rsidRPr="00905974">
        <w:rPr>
          <w:rFonts w:eastAsia="Calibri"/>
        </w:rPr>
        <w:t xml:space="preserve"> substance</w:t>
      </w:r>
      <w:r w:rsidRPr="00497084">
        <w:rPr>
          <w:rFonts w:eastAsia="Calibri"/>
        </w:rPr>
        <w:t>;</w:t>
      </w:r>
    </w:p>
    <w:p w:rsidR="00495D15" w:rsidRPr="00497084" w:rsidRDefault="00495D15" w:rsidP="00495D15">
      <w:pPr>
        <w:spacing w:after="120"/>
        <w:ind w:left="1134" w:right="1134"/>
        <w:jc w:val="both"/>
        <w:rPr>
          <w:rFonts w:eastAsia="Calibri"/>
        </w:rPr>
      </w:pPr>
      <w:proofErr w:type="gramStart"/>
      <w:r w:rsidRPr="00905974">
        <w:rPr>
          <w:rFonts w:eastAsia="Calibri"/>
        </w:rPr>
        <w:lastRenderedPageBreak/>
        <w:t>for</w:t>
      </w:r>
      <w:proofErr w:type="gramEnd"/>
      <w:r w:rsidRPr="00905974">
        <w:rPr>
          <w:rFonts w:eastAsia="Calibri"/>
        </w:rPr>
        <w:t xml:space="preserve"> dangerous goods</w:t>
      </w:r>
      <w:r w:rsidRPr="00497084">
        <w:rPr>
          <w:rFonts w:eastAsia="Calibri"/>
        </w:rPr>
        <w:t xml:space="preserve"> in </w:t>
      </w:r>
      <w:r w:rsidRPr="00905974">
        <w:rPr>
          <w:rFonts w:eastAsia="Calibri"/>
        </w:rPr>
        <w:t xml:space="preserve">machinery and equipment specified </w:t>
      </w:r>
      <w:r w:rsidRPr="00497084">
        <w:rPr>
          <w:rFonts w:eastAsia="Calibri"/>
        </w:rPr>
        <w:t>in</w:t>
      </w:r>
      <w:r w:rsidRPr="00905974">
        <w:rPr>
          <w:rFonts w:eastAsia="Calibri"/>
        </w:rPr>
        <w:t xml:space="preserve"> this</w:t>
      </w:r>
      <w:r w:rsidRPr="00497084">
        <w:rPr>
          <w:rFonts w:eastAsia="Calibri"/>
        </w:rPr>
        <w:t xml:space="preserve"> Annex,</w:t>
      </w:r>
      <w:r w:rsidRPr="00905974">
        <w:rPr>
          <w:rFonts w:eastAsia="Calibri"/>
        </w:rPr>
        <w:t xml:space="preserve"> the</w:t>
      </w:r>
      <w:r w:rsidRPr="00497084">
        <w:rPr>
          <w:rFonts w:eastAsia="Calibri"/>
        </w:rPr>
        <w:t xml:space="preserve"> total</w:t>
      </w:r>
      <w:r w:rsidRPr="00905974">
        <w:rPr>
          <w:rFonts w:eastAsia="Calibri"/>
        </w:rPr>
        <w:t xml:space="preserve"> </w:t>
      </w:r>
      <w:r w:rsidRPr="00905974">
        <w:rPr>
          <w:rFonts w:eastAsia="Calibri"/>
          <w:u w:val="single"/>
        </w:rPr>
        <w:t>quantity of dangerous goods contained</w:t>
      </w:r>
      <w:r w:rsidRPr="00905974">
        <w:rPr>
          <w:rFonts w:eastAsia="Calibri"/>
        </w:rPr>
        <w:t xml:space="preserve"> therein</w:t>
      </w:r>
      <w:r w:rsidRPr="00497084">
        <w:rPr>
          <w:rFonts w:eastAsia="Calibri"/>
        </w:rPr>
        <w:t xml:space="preserve"> in</w:t>
      </w:r>
      <w:r w:rsidRPr="00905974">
        <w:rPr>
          <w:rFonts w:eastAsia="Calibri"/>
        </w:rPr>
        <w:t xml:space="preserve"> kilograms or litres as appropriate</w:t>
      </w:r>
      <w:r w:rsidRPr="00497084">
        <w:rPr>
          <w:rFonts w:eastAsia="Calibri"/>
        </w:rPr>
        <w:t>);</w:t>
      </w:r>
    </w:p>
    <w:p w:rsidR="00495D15" w:rsidRPr="00497084" w:rsidRDefault="00495D15" w:rsidP="00495D15">
      <w:pPr>
        <w:spacing w:after="120"/>
        <w:ind w:left="1134" w:right="113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497084">
        <w:rPr>
          <w:rFonts w:eastAsia="Calibri"/>
        </w:rPr>
        <w:t>-</w:t>
      </w:r>
      <w:r>
        <w:rPr>
          <w:rFonts w:eastAsia="Calibri"/>
        </w:rPr>
        <w:tab/>
      </w:r>
      <w:r w:rsidRPr="00905974">
        <w:rPr>
          <w:rFonts w:eastAsia="Calibri"/>
        </w:rPr>
        <w:t>For solids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liquefied gases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refrigerated liquefied gases and dissolved gases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</w:t>
      </w:r>
      <w:r w:rsidRPr="00905974">
        <w:rPr>
          <w:rFonts w:eastAsia="Calibri"/>
          <w:u w:val="single"/>
        </w:rPr>
        <w:t>net</w:t>
      </w:r>
      <w:r w:rsidRPr="00905974">
        <w:rPr>
          <w:rFonts w:eastAsia="Calibri"/>
        </w:rPr>
        <w:t xml:space="preserve"> mass</w:t>
      </w:r>
      <w:r w:rsidRPr="00497084">
        <w:rPr>
          <w:rFonts w:eastAsia="Calibri"/>
        </w:rPr>
        <w:t xml:space="preserve"> in</w:t>
      </w:r>
      <w:r w:rsidRPr="00905974">
        <w:rPr>
          <w:rFonts w:eastAsia="Calibri"/>
        </w:rPr>
        <w:t xml:space="preserve"> kilograms</w:t>
      </w:r>
      <w:r w:rsidRPr="00497084">
        <w:rPr>
          <w:rFonts w:eastAsia="Calibri"/>
        </w:rPr>
        <w:t>;</w:t>
      </w:r>
    </w:p>
    <w:p w:rsidR="00495D15" w:rsidRPr="00497084" w:rsidRDefault="00495D15" w:rsidP="00495D15">
      <w:pPr>
        <w:spacing w:after="120"/>
        <w:ind w:left="1134" w:right="113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497084">
        <w:rPr>
          <w:rFonts w:eastAsia="Calibri"/>
        </w:rPr>
        <w:t>-</w:t>
      </w:r>
      <w:r>
        <w:rPr>
          <w:rFonts w:eastAsia="Calibri"/>
        </w:rPr>
        <w:tab/>
      </w:r>
      <w:r w:rsidRPr="00905974">
        <w:rPr>
          <w:rFonts w:eastAsia="Calibri"/>
        </w:rPr>
        <w:t>For liquids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the</w:t>
      </w:r>
      <w:r w:rsidRPr="00497084">
        <w:rPr>
          <w:rFonts w:eastAsia="Calibri"/>
        </w:rPr>
        <w:t xml:space="preserve"> total</w:t>
      </w:r>
      <w:r w:rsidRPr="00905974">
        <w:rPr>
          <w:rFonts w:eastAsia="Calibri"/>
          <w:lang w:val="en-BZ"/>
        </w:rPr>
        <w:t xml:space="preserve"> </w:t>
      </w:r>
      <w:r w:rsidRPr="00905974">
        <w:rPr>
          <w:rFonts w:eastAsia="Calibri"/>
          <w:u w:val="single"/>
          <w:lang w:val="en-BZ"/>
        </w:rPr>
        <w:t>quantity</w:t>
      </w:r>
      <w:r w:rsidRPr="00905974">
        <w:rPr>
          <w:rFonts w:eastAsia="Calibri"/>
          <w:u w:val="single"/>
        </w:rPr>
        <w:t xml:space="preserve"> of dangerous goods contained</w:t>
      </w:r>
      <w:r w:rsidRPr="00497084">
        <w:rPr>
          <w:rFonts w:eastAsia="Calibri"/>
        </w:rPr>
        <w:t xml:space="preserve"> in</w:t>
      </w:r>
      <w:r w:rsidRPr="00905974">
        <w:rPr>
          <w:rFonts w:eastAsia="Calibri"/>
        </w:rPr>
        <w:t xml:space="preserve"> litres</w:t>
      </w:r>
      <w:r w:rsidRPr="00497084">
        <w:rPr>
          <w:rFonts w:eastAsia="Calibri"/>
        </w:rPr>
        <w:t>;</w:t>
      </w:r>
    </w:p>
    <w:p w:rsidR="00495D15" w:rsidRPr="00B56B4E" w:rsidRDefault="00495D15" w:rsidP="00495D15">
      <w:pPr>
        <w:spacing w:after="120"/>
        <w:ind w:left="1134" w:right="113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497084">
        <w:rPr>
          <w:rFonts w:eastAsia="Calibri"/>
        </w:rPr>
        <w:t>-</w:t>
      </w:r>
      <w:r>
        <w:rPr>
          <w:rFonts w:eastAsia="Calibri"/>
        </w:rPr>
        <w:tab/>
      </w:r>
      <w:r w:rsidRPr="00905974">
        <w:rPr>
          <w:rFonts w:eastAsia="Calibri"/>
        </w:rPr>
        <w:t>For compressed gases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adsorbed gases and chemicals under pressure</w:t>
      </w:r>
      <w:r w:rsidRPr="00497084">
        <w:rPr>
          <w:rFonts w:eastAsia="Calibri"/>
        </w:rPr>
        <w:t>,</w:t>
      </w:r>
      <w:r w:rsidRPr="00905974">
        <w:rPr>
          <w:rFonts w:eastAsia="Calibri"/>
        </w:rPr>
        <w:t xml:space="preserve"> the water </w:t>
      </w:r>
      <w:r w:rsidRPr="00905974">
        <w:rPr>
          <w:rFonts w:eastAsia="Calibri"/>
          <w:u w:val="single"/>
        </w:rPr>
        <w:t>capacity of the receptacle</w:t>
      </w:r>
      <w:r w:rsidRPr="00497084">
        <w:rPr>
          <w:rFonts w:eastAsia="Calibri"/>
        </w:rPr>
        <w:t xml:space="preserve"> in</w:t>
      </w:r>
      <w:r w:rsidRPr="00905974">
        <w:rPr>
          <w:rFonts w:eastAsia="Calibri"/>
        </w:rPr>
        <w:t xml:space="preserve"> litres</w:t>
      </w:r>
      <w:proofErr w:type="gramStart"/>
      <w:r w:rsidRPr="00497084">
        <w:rPr>
          <w:rFonts w:eastAsia="Calibri"/>
        </w:rPr>
        <w:t>.</w:t>
      </w:r>
      <w:r>
        <w:rPr>
          <w:rFonts w:eastAsia="Calibri"/>
        </w:rPr>
        <w:t>“</w:t>
      </w:r>
      <w:proofErr w:type="gramEnd"/>
      <w:r>
        <w:rPr>
          <w:rFonts w:eastAsia="Calibri"/>
        </w:rPr>
        <w:t xml:space="preserve"> </w:t>
      </w:r>
    </w:p>
    <w:p w:rsidR="00495D15" w:rsidRPr="00B56B4E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B56B4E">
        <w:rPr>
          <w:rFonts w:eastAsia="Calibri"/>
        </w:rPr>
        <w:t>2.</w:t>
      </w:r>
      <w:r w:rsidRPr="00B56B4E">
        <w:rPr>
          <w:rFonts w:eastAsia="Calibri"/>
        </w:rPr>
        <w:tab/>
      </w:r>
      <w:r>
        <w:rPr>
          <w:rFonts w:eastAsia="Calibri"/>
        </w:rPr>
        <w:t>In</w:t>
      </w:r>
      <w:r w:rsidRPr="00905974">
        <w:rPr>
          <w:rFonts w:eastAsia="Calibri"/>
        </w:rPr>
        <w:t xml:space="preserve"> general and</w:t>
      </w:r>
      <w:r>
        <w:rPr>
          <w:rFonts w:eastAsia="Calibri"/>
        </w:rPr>
        <w:t xml:space="preserve"> also in RID</w:t>
      </w:r>
      <w:r w:rsidRPr="00905974">
        <w:rPr>
          <w:rFonts w:eastAsia="Calibri"/>
        </w:rPr>
        <w:t xml:space="preserve"> and</w:t>
      </w:r>
      <w:r>
        <w:rPr>
          <w:rFonts w:eastAsia="Calibri"/>
        </w:rPr>
        <w:t xml:space="preserve"> ADR</w:t>
      </w:r>
      <w:r w:rsidRPr="00905974">
        <w:rPr>
          <w:rFonts w:eastAsia="Calibri"/>
        </w:rPr>
        <w:t xml:space="preserve"> gross mass means the sum of net </w:t>
      </w:r>
      <w:r>
        <w:rPr>
          <w:rFonts w:eastAsia="Calibri"/>
        </w:rPr>
        <w:t xml:space="preserve">mass </w:t>
      </w:r>
      <w:r w:rsidRPr="00905974">
        <w:rPr>
          <w:rFonts w:eastAsia="Calibri"/>
        </w:rPr>
        <w:t>and tare mass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(see</w:t>
      </w:r>
      <w:r>
        <w:rPr>
          <w:rFonts w:eastAsia="Calibri"/>
        </w:rPr>
        <w:t xml:space="preserve"> e.g.</w:t>
      </w:r>
      <w:r w:rsidRPr="00905974">
        <w:rPr>
          <w:rFonts w:eastAsia="Calibri"/>
        </w:rPr>
        <w:t xml:space="preserve"> the definitions of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„package</w:t>
      </w:r>
      <w:r>
        <w:rPr>
          <w:rFonts w:eastAsia="Calibri"/>
        </w:rPr>
        <w:t>“ in</w:t>
      </w:r>
      <w:r w:rsidRPr="00905974">
        <w:rPr>
          <w:rFonts w:eastAsia="Calibri"/>
        </w:rPr>
        <w:t xml:space="preserve"> combination with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„mass of package</w:t>
      </w:r>
      <w:r>
        <w:rPr>
          <w:rFonts w:eastAsia="Calibri"/>
        </w:rPr>
        <w:t>“</w:t>
      </w:r>
      <w:r w:rsidRPr="00905974">
        <w:rPr>
          <w:rFonts w:eastAsia="Calibri"/>
        </w:rPr>
        <w:t xml:space="preserve"> or of</w:t>
      </w:r>
      <w:r>
        <w:rPr>
          <w:rFonts w:eastAsia="Calibri"/>
        </w:rPr>
        <w:t xml:space="preserve"> </w:t>
      </w:r>
      <w:r w:rsidRPr="00A05C63">
        <w:rPr>
          <w:rFonts w:eastAsia="Calibri"/>
        </w:rPr>
        <w:t>"Maximum</w:t>
      </w:r>
      <w:r w:rsidRPr="00905974">
        <w:rPr>
          <w:rFonts w:eastAsia="Calibri"/>
        </w:rPr>
        <w:t xml:space="preserve"> permissible gross mass</w:t>
      </w:r>
      <w:r w:rsidRPr="00A05C63">
        <w:rPr>
          <w:rFonts w:eastAsia="Calibri"/>
        </w:rPr>
        <w:t>"</w:t>
      </w:r>
      <w:r>
        <w:rPr>
          <w:rFonts w:eastAsia="Calibri"/>
        </w:rPr>
        <w:t xml:space="preserve"> in 1.2</w:t>
      </w:r>
      <w:r w:rsidRPr="00905974">
        <w:rPr>
          <w:rFonts w:eastAsia="Calibri"/>
        </w:rPr>
        <w:t xml:space="preserve"> and</w:t>
      </w:r>
      <w:r>
        <w:rPr>
          <w:rFonts w:eastAsia="Calibri"/>
        </w:rPr>
        <w:t xml:space="preserve"> 6.7).</w:t>
      </w:r>
    </w:p>
    <w:p w:rsidR="00495D15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B56B4E">
        <w:rPr>
          <w:rFonts w:eastAsia="Calibri"/>
        </w:rPr>
        <w:t>3.</w:t>
      </w:r>
      <w:r w:rsidRPr="00B56B4E">
        <w:rPr>
          <w:rFonts w:eastAsia="Calibri"/>
        </w:rPr>
        <w:tab/>
      </w:r>
      <w:r>
        <w:rPr>
          <w:rFonts w:eastAsia="Calibri"/>
        </w:rPr>
        <w:t>In 1.1.3.6.3</w:t>
      </w:r>
      <w:r w:rsidRPr="00905974">
        <w:rPr>
          <w:rFonts w:eastAsia="Calibri"/>
        </w:rPr>
        <w:t xml:space="preserve"> the tare mass is neglected</w:t>
      </w:r>
      <w:r>
        <w:rPr>
          <w:rFonts w:eastAsia="Calibri"/>
        </w:rPr>
        <w:t xml:space="preserve"> in</w:t>
      </w:r>
      <w:r w:rsidRPr="00905974">
        <w:rPr>
          <w:rFonts w:eastAsia="Calibri"/>
        </w:rPr>
        <w:t xml:space="preserve"> most of the cases</w:t>
      </w:r>
      <w:r>
        <w:rPr>
          <w:rFonts w:eastAsia="Calibri"/>
        </w:rPr>
        <w:t>.</w:t>
      </w:r>
      <w:r w:rsidRPr="00905974">
        <w:rPr>
          <w:rFonts w:eastAsia="Calibri"/>
        </w:rPr>
        <w:t xml:space="preserve"> Only for articles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(which</w:t>
      </w:r>
      <w:r>
        <w:rPr>
          <w:rFonts w:eastAsia="Calibri"/>
        </w:rPr>
        <w:t xml:space="preserve"> do not</w:t>
      </w:r>
      <w:r w:rsidRPr="00905974">
        <w:rPr>
          <w:rFonts w:eastAsia="Calibri"/>
        </w:rPr>
        <w:t xml:space="preserve"> belong to class</w:t>
      </w:r>
      <w:r>
        <w:rPr>
          <w:rFonts w:eastAsia="Calibri"/>
        </w:rPr>
        <w:t xml:space="preserve"> 1</w:t>
      </w:r>
      <w:r w:rsidRPr="00905974">
        <w:rPr>
          <w:rFonts w:eastAsia="Calibri"/>
        </w:rPr>
        <w:t xml:space="preserve"> and are</w:t>
      </w:r>
      <w:r>
        <w:rPr>
          <w:rFonts w:eastAsia="Calibri"/>
        </w:rPr>
        <w:t xml:space="preserve"> not</w:t>
      </w:r>
      <w:r w:rsidRPr="00905974">
        <w:rPr>
          <w:rFonts w:eastAsia="Calibri"/>
        </w:rPr>
        <w:t xml:space="preserve"> machinery or equipment</w:t>
      </w:r>
      <w:r>
        <w:rPr>
          <w:rFonts w:eastAsia="Calibri"/>
        </w:rPr>
        <w:t>)</w:t>
      </w:r>
      <w:r w:rsidRPr="00905974">
        <w:rPr>
          <w:rFonts w:eastAsia="Calibri"/>
        </w:rPr>
        <w:t xml:space="preserve"> the gross mass is</w:t>
      </w:r>
      <w:r>
        <w:rPr>
          <w:rFonts w:eastAsia="Calibri"/>
        </w:rPr>
        <w:t xml:space="preserve"> relevant.</w:t>
      </w:r>
    </w:p>
    <w:p w:rsidR="00495D15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B56B4E">
        <w:rPr>
          <w:rFonts w:eastAsia="Calibri"/>
        </w:rPr>
        <w:t>4.</w:t>
      </w:r>
      <w:r w:rsidRPr="00B56B4E">
        <w:rPr>
          <w:rFonts w:eastAsia="Calibri"/>
        </w:rPr>
        <w:tab/>
      </w:r>
      <w:r>
        <w:rPr>
          <w:rFonts w:eastAsia="Calibri"/>
        </w:rPr>
        <w:t>This</w:t>
      </w:r>
      <w:r w:rsidRPr="00905974">
        <w:rPr>
          <w:rFonts w:eastAsia="Calibri"/>
        </w:rPr>
        <w:t xml:space="preserve"> leads to the interpretation that</w:t>
      </w:r>
      <w:r>
        <w:rPr>
          <w:rFonts w:eastAsia="Calibri"/>
        </w:rPr>
        <w:t xml:space="preserve"> not</w:t>
      </w:r>
      <w:r w:rsidRPr="00905974">
        <w:rPr>
          <w:rFonts w:eastAsia="Calibri"/>
        </w:rPr>
        <w:t xml:space="preserve"> the correct terminus </w:t>
      </w:r>
      <w:proofErr w:type="spellStart"/>
      <w:r w:rsidRPr="00905974">
        <w:rPr>
          <w:rFonts w:eastAsia="Calibri"/>
        </w:rPr>
        <w:t>technicus</w:t>
      </w:r>
      <w:proofErr w:type="spellEnd"/>
      <w:r w:rsidRPr="00905974">
        <w:rPr>
          <w:rFonts w:eastAsia="Calibri"/>
        </w:rPr>
        <w:t xml:space="preserve"> of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„gross mass</w:t>
      </w:r>
      <w:proofErr w:type="gramStart"/>
      <w:r>
        <w:rPr>
          <w:rFonts w:eastAsia="Calibri"/>
        </w:rPr>
        <w:t>“</w:t>
      </w:r>
      <w:r w:rsidRPr="00905974">
        <w:rPr>
          <w:rFonts w:eastAsia="Calibri"/>
        </w:rPr>
        <w:t xml:space="preserve"> is</w:t>
      </w:r>
      <w:proofErr w:type="gramEnd"/>
      <w:r w:rsidRPr="00905974">
        <w:rPr>
          <w:rFonts w:eastAsia="Calibri"/>
        </w:rPr>
        <w:t xml:space="preserve"> meant</w:t>
      </w:r>
      <w:r>
        <w:rPr>
          <w:rFonts w:eastAsia="Calibri"/>
        </w:rPr>
        <w:t xml:space="preserve"> but</w:t>
      </w:r>
      <w:r w:rsidRPr="00905974">
        <w:rPr>
          <w:rFonts w:eastAsia="Calibri"/>
        </w:rPr>
        <w:t xml:space="preserve"> the</w:t>
      </w:r>
      <w:r>
        <w:rPr>
          <w:rFonts w:eastAsia="Calibri"/>
        </w:rPr>
        <w:t xml:space="preserve"> total</w:t>
      </w:r>
      <w:r w:rsidRPr="00905974">
        <w:rPr>
          <w:rFonts w:eastAsia="Calibri"/>
        </w:rPr>
        <w:t xml:space="preserve"> mass of the article alone</w:t>
      </w:r>
      <w:r>
        <w:rPr>
          <w:rFonts w:eastAsia="Calibri"/>
        </w:rPr>
        <w:t>,</w:t>
      </w:r>
      <w:r w:rsidRPr="00905974">
        <w:rPr>
          <w:rFonts w:eastAsia="Calibri"/>
        </w:rPr>
        <w:t xml:space="preserve"> consisting of the dangerous goods and their containment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(see</w:t>
      </w:r>
      <w:r>
        <w:rPr>
          <w:rFonts w:eastAsia="Calibri"/>
        </w:rPr>
        <w:t xml:space="preserve"> also SP 636 b), P 903 (2), P 909 (4)). </w:t>
      </w:r>
    </w:p>
    <w:p w:rsidR="00495D15" w:rsidRPr="00B56B4E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B56B4E">
        <w:rPr>
          <w:rFonts w:eastAsia="Calibri"/>
        </w:rPr>
        <w:t>5.</w:t>
      </w:r>
      <w:r w:rsidRPr="00B56B4E">
        <w:rPr>
          <w:rFonts w:eastAsia="Calibri"/>
        </w:rPr>
        <w:tab/>
      </w:r>
      <w:r>
        <w:rPr>
          <w:rFonts w:eastAsia="Calibri"/>
        </w:rPr>
        <w:t>Austria</w:t>
      </w:r>
      <w:r w:rsidRPr="00905974">
        <w:rPr>
          <w:rFonts w:eastAsia="Calibri"/>
        </w:rPr>
        <w:t xml:space="preserve"> asks the</w:t>
      </w:r>
      <w:r>
        <w:rPr>
          <w:rFonts w:eastAsia="Calibri"/>
        </w:rPr>
        <w:t xml:space="preserve"> Joint Meeting</w:t>
      </w:r>
      <w:r w:rsidRPr="00905974">
        <w:rPr>
          <w:rFonts w:eastAsia="Calibri"/>
        </w:rPr>
        <w:t xml:space="preserve"> for its intention for using</w:t>
      </w:r>
      <w:r>
        <w:rPr>
          <w:rFonts w:eastAsia="Calibri"/>
        </w:rPr>
        <w:t xml:space="preserve"> </w:t>
      </w:r>
      <w:r w:rsidRPr="00905974">
        <w:rPr>
          <w:rFonts w:eastAsia="Calibri"/>
        </w:rPr>
        <w:t>„gross mass</w:t>
      </w:r>
      <w:r>
        <w:rPr>
          <w:rFonts w:eastAsia="Calibri"/>
        </w:rPr>
        <w:t>“ in 1.1.3.6.3</w:t>
      </w:r>
      <w:r w:rsidRPr="00905974">
        <w:rPr>
          <w:rFonts w:eastAsia="Calibri"/>
        </w:rPr>
        <w:t xml:space="preserve"> and proposes two ways to better</w:t>
      </w:r>
      <w:r>
        <w:rPr>
          <w:rFonts w:eastAsia="Calibri"/>
        </w:rPr>
        <w:t xml:space="preserve"> express</w:t>
      </w:r>
      <w:r w:rsidRPr="00905974">
        <w:rPr>
          <w:rFonts w:eastAsia="Calibri"/>
        </w:rPr>
        <w:t xml:space="preserve"> this accordingly</w:t>
      </w:r>
      <w:r>
        <w:rPr>
          <w:rFonts w:eastAsia="Calibri"/>
        </w:rPr>
        <w:t>.</w:t>
      </w:r>
    </w:p>
    <w:p w:rsidR="00495D15" w:rsidRPr="00B56B4E" w:rsidRDefault="00495D15" w:rsidP="00495D1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/>
          <w:b/>
          <w:sz w:val="28"/>
        </w:rPr>
      </w:pPr>
      <w:r w:rsidRPr="00B56B4E">
        <w:rPr>
          <w:rFonts w:eastAsia="Calibri"/>
          <w:b/>
          <w:sz w:val="28"/>
        </w:rPr>
        <w:tab/>
      </w:r>
      <w:r w:rsidRPr="00B56B4E">
        <w:rPr>
          <w:rFonts w:eastAsia="Calibri"/>
          <w:b/>
          <w:sz w:val="28"/>
        </w:rPr>
        <w:tab/>
        <w:t>Proposal</w:t>
      </w:r>
      <w:r>
        <w:rPr>
          <w:rFonts w:eastAsia="Calibri"/>
          <w:b/>
          <w:sz w:val="28"/>
        </w:rPr>
        <w:t>s</w:t>
      </w:r>
    </w:p>
    <w:p w:rsidR="00495D15" w:rsidRPr="00693BFB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693BFB">
        <w:rPr>
          <w:rFonts w:eastAsia="Calibri"/>
        </w:rPr>
        <w:t>6.</w:t>
      </w:r>
      <w:r w:rsidRPr="00693BFB">
        <w:rPr>
          <w:rFonts w:eastAsia="Calibri"/>
        </w:rPr>
        <w:tab/>
      </w:r>
      <w:r>
        <w:rPr>
          <w:rFonts w:eastAsia="Calibri"/>
        </w:rPr>
        <w:t>Option</w:t>
      </w:r>
      <w:r w:rsidRPr="00693BFB">
        <w:rPr>
          <w:rFonts w:eastAsia="Calibri"/>
        </w:rPr>
        <w:t xml:space="preserve"> 1 </w:t>
      </w:r>
      <w:r w:rsidRPr="00905974">
        <w:rPr>
          <w:rFonts w:eastAsia="Calibri"/>
        </w:rPr>
        <w:t>(including the packaging</w:t>
      </w:r>
      <w:r w:rsidRPr="00693BFB">
        <w:rPr>
          <w:rFonts w:eastAsia="Calibri"/>
        </w:rPr>
        <w:t>)</w:t>
      </w:r>
    </w:p>
    <w:p w:rsidR="00495D15" w:rsidRPr="00693BFB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693BFB">
        <w:rPr>
          <w:rFonts w:eastAsia="Calibri"/>
        </w:rPr>
        <w:t xml:space="preserve">Insert in 1.1.3.6.3 RID/ADR after </w:t>
      </w:r>
      <w:r w:rsidRPr="00905974">
        <w:rPr>
          <w:rFonts w:eastAsia="Calibri"/>
        </w:rPr>
        <w:t>„gross mass</w:t>
      </w:r>
      <w:r>
        <w:rPr>
          <w:rFonts w:eastAsia="Calibri"/>
        </w:rPr>
        <w:t xml:space="preserve"> in</w:t>
      </w:r>
      <w:r w:rsidRPr="00905974">
        <w:rPr>
          <w:rFonts w:eastAsia="Calibri"/>
        </w:rPr>
        <w:t xml:space="preserve"> kilograms</w:t>
      </w:r>
      <w:r w:rsidRPr="00693BFB">
        <w:rPr>
          <w:rFonts w:eastAsia="Calibri"/>
        </w:rPr>
        <w:t>“:</w:t>
      </w:r>
    </w:p>
    <w:p w:rsidR="00495D15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905974">
        <w:rPr>
          <w:rFonts w:eastAsia="Calibri"/>
        </w:rPr>
        <w:t>“</w:t>
      </w:r>
      <w:proofErr w:type="gramStart"/>
      <w:r w:rsidRPr="00905974">
        <w:rPr>
          <w:rFonts w:eastAsia="Calibri"/>
        </w:rPr>
        <w:t>of</w:t>
      </w:r>
      <w:proofErr w:type="gramEnd"/>
      <w:r w:rsidRPr="00905974">
        <w:rPr>
          <w:rFonts w:eastAsia="Calibri"/>
        </w:rPr>
        <w:t xml:space="preserve"> the articles and their </w:t>
      </w:r>
      <w:proofErr w:type="spellStart"/>
      <w:r w:rsidRPr="00905974">
        <w:rPr>
          <w:rFonts w:eastAsia="Calibri"/>
        </w:rPr>
        <w:t>packagings</w:t>
      </w:r>
      <w:proofErr w:type="spellEnd"/>
      <w:r w:rsidRPr="00693BFB">
        <w:rPr>
          <w:rFonts w:eastAsia="Calibri"/>
        </w:rPr>
        <w:t>”</w:t>
      </w:r>
    </w:p>
    <w:p w:rsidR="00495D15" w:rsidRPr="00905974" w:rsidRDefault="00495D15" w:rsidP="00495D15">
      <w:pPr>
        <w:spacing w:after="120"/>
        <w:ind w:left="1134" w:right="1134"/>
        <w:jc w:val="both"/>
        <w:rPr>
          <w:rFonts w:eastAsia="Calibri"/>
        </w:rPr>
      </w:pPr>
      <w:r>
        <w:rPr>
          <w:rFonts w:eastAsia="Calibri"/>
        </w:rPr>
        <w:t>7</w:t>
      </w:r>
      <w:r w:rsidRPr="00B56B4E">
        <w:rPr>
          <w:rFonts w:eastAsia="Calibri"/>
        </w:rPr>
        <w:t>.</w:t>
      </w:r>
      <w:r w:rsidRPr="00B56B4E">
        <w:rPr>
          <w:rFonts w:eastAsia="Calibri"/>
        </w:rPr>
        <w:tab/>
      </w:r>
      <w:r>
        <w:rPr>
          <w:rFonts w:eastAsia="Calibri"/>
        </w:rPr>
        <w:t xml:space="preserve">Option 2 </w:t>
      </w:r>
      <w:r w:rsidRPr="00905974">
        <w:rPr>
          <w:rFonts w:eastAsia="Calibri"/>
        </w:rPr>
        <w:t>(excluding the packaging</w:t>
      </w:r>
      <w:r>
        <w:rPr>
          <w:rFonts w:eastAsia="Calibri"/>
        </w:rPr>
        <w:t>)</w:t>
      </w:r>
    </w:p>
    <w:p w:rsidR="00495D15" w:rsidRPr="00B56B4E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905974">
        <w:rPr>
          <w:rFonts w:eastAsia="Calibri"/>
        </w:rPr>
        <w:t>Replace</w:t>
      </w:r>
      <w:r w:rsidRPr="00B56B4E">
        <w:rPr>
          <w:rFonts w:eastAsia="Calibri"/>
        </w:rPr>
        <w:t xml:space="preserve"> </w:t>
      </w:r>
      <w:r w:rsidRPr="00905974">
        <w:rPr>
          <w:rFonts w:eastAsia="Calibri"/>
        </w:rPr>
        <w:t>„gross mass</w:t>
      </w:r>
      <w:r>
        <w:rPr>
          <w:rFonts w:eastAsia="Calibri"/>
        </w:rPr>
        <w:t xml:space="preserve"> </w:t>
      </w:r>
      <w:r w:rsidRPr="003569DA">
        <w:rPr>
          <w:rFonts w:eastAsia="Calibri"/>
        </w:rPr>
        <w:t>in</w:t>
      </w:r>
      <w:r w:rsidRPr="00905974">
        <w:rPr>
          <w:rFonts w:eastAsia="Calibri"/>
        </w:rPr>
        <w:t xml:space="preserve"> kilograms</w:t>
      </w:r>
      <w:proofErr w:type="gramStart"/>
      <w:r>
        <w:rPr>
          <w:rFonts w:eastAsia="Calibri"/>
        </w:rPr>
        <w:t>“ in</w:t>
      </w:r>
      <w:proofErr w:type="gramEnd"/>
      <w:r>
        <w:rPr>
          <w:rFonts w:eastAsia="Calibri"/>
        </w:rPr>
        <w:t xml:space="preserve"> 1.1.3.6.3 RID/ADR</w:t>
      </w:r>
      <w:r w:rsidRPr="00905974">
        <w:rPr>
          <w:rFonts w:eastAsia="Calibri"/>
        </w:rPr>
        <w:t xml:space="preserve"> by</w:t>
      </w:r>
      <w:r>
        <w:rPr>
          <w:rFonts w:eastAsia="Calibri"/>
        </w:rPr>
        <w:t xml:space="preserve">“ </w:t>
      </w:r>
      <w:r w:rsidRPr="00B56B4E">
        <w:rPr>
          <w:rFonts w:eastAsia="Calibri"/>
        </w:rPr>
        <w:t>:</w:t>
      </w:r>
    </w:p>
    <w:p w:rsidR="00495D15" w:rsidRPr="00B56B4E" w:rsidRDefault="00495D15" w:rsidP="00495D15">
      <w:pPr>
        <w:spacing w:after="120"/>
        <w:ind w:left="1134" w:right="1134"/>
        <w:jc w:val="both"/>
        <w:rPr>
          <w:rFonts w:eastAsia="Calibri"/>
        </w:rPr>
      </w:pPr>
      <w:r w:rsidRPr="00B56B4E">
        <w:rPr>
          <w:rFonts w:eastAsia="Calibri"/>
        </w:rPr>
        <w:t>“</w:t>
      </w:r>
      <w:proofErr w:type="gramStart"/>
      <w:r>
        <w:rPr>
          <w:rFonts w:eastAsia="Calibri"/>
        </w:rPr>
        <w:t>total</w:t>
      </w:r>
      <w:proofErr w:type="gramEnd"/>
      <w:r w:rsidRPr="00905974">
        <w:rPr>
          <w:rFonts w:eastAsia="Calibri"/>
        </w:rPr>
        <w:t xml:space="preserve"> mass</w:t>
      </w:r>
      <w:r>
        <w:rPr>
          <w:rFonts w:eastAsia="Calibri"/>
        </w:rPr>
        <w:t xml:space="preserve"> </w:t>
      </w:r>
      <w:r w:rsidRPr="003569DA">
        <w:rPr>
          <w:rFonts w:eastAsia="Calibri"/>
        </w:rPr>
        <w:t>in</w:t>
      </w:r>
      <w:r w:rsidRPr="00905974">
        <w:rPr>
          <w:rFonts w:eastAsia="Calibri"/>
        </w:rPr>
        <w:t xml:space="preserve"> kilograms of the articles without their </w:t>
      </w:r>
      <w:proofErr w:type="spellStart"/>
      <w:r w:rsidRPr="00905974">
        <w:rPr>
          <w:rFonts w:eastAsia="Calibri"/>
        </w:rPr>
        <w:t>packagings</w:t>
      </w:r>
      <w:proofErr w:type="spellEnd"/>
      <w:r w:rsidRPr="00905974">
        <w:rPr>
          <w:rFonts w:eastAsia="Calibri"/>
        </w:rPr>
        <w:t xml:space="preserve"> and handling devices</w:t>
      </w:r>
      <w:r w:rsidRPr="00B56B4E">
        <w:rPr>
          <w:rFonts w:eastAsia="Calibri"/>
        </w:rPr>
        <w:t>”</w:t>
      </w:r>
      <w:r>
        <w:rPr>
          <w:rFonts w:eastAsia="Calibri"/>
        </w:rPr>
        <w:t>.</w:t>
      </w:r>
    </w:p>
    <w:p w:rsidR="00495D15" w:rsidRPr="00B56B4E" w:rsidRDefault="00495D15" w:rsidP="00495D15">
      <w:pPr>
        <w:spacing w:before="240"/>
        <w:ind w:left="1134" w:right="1134"/>
        <w:jc w:val="center"/>
        <w:rPr>
          <w:rFonts w:eastAsia="Calibri"/>
          <w:u w:val="single"/>
        </w:rPr>
      </w:pPr>
      <w:r w:rsidRPr="00B56B4E">
        <w:rPr>
          <w:rFonts w:eastAsia="Calibri"/>
          <w:u w:val="single"/>
        </w:rPr>
        <w:tab/>
      </w:r>
      <w:r w:rsidRPr="00B56B4E">
        <w:rPr>
          <w:rFonts w:eastAsia="Calibri"/>
          <w:u w:val="single"/>
        </w:rPr>
        <w:tab/>
      </w:r>
      <w:r w:rsidRPr="00B56B4E">
        <w:rPr>
          <w:rFonts w:eastAsia="Calibri"/>
          <w:u w:val="single"/>
        </w:rPr>
        <w:tab/>
      </w:r>
    </w:p>
    <w:sectPr w:rsidR="00495D15" w:rsidRPr="00B56B4E" w:rsidSect="009D2A5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35" w:rsidRDefault="00AE6935"/>
  </w:endnote>
  <w:endnote w:type="continuationSeparator" w:id="0">
    <w:p w:rsidR="00AE6935" w:rsidRDefault="00AE6935"/>
  </w:endnote>
  <w:endnote w:type="continuationNotice" w:id="1">
    <w:p w:rsidR="00AE6935" w:rsidRDefault="00AE6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E8771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E794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E8771C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E8771C" w:rsidRPr="009D2A5B">
      <w:rPr>
        <w:b/>
        <w:sz w:val="18"/>
      </w:rPr>
      <w:fldChar w:fldCharType="separate"/>
    </w:r>
    <w:r w:rsidR="00302B8D">
      <w:rPr>
        <w:b/>
        <w:noProof/>
        <w:sz w:val="18"/>
      </w:rPr>
      <w:t>3</w:t>
    </w:r>
    <w:r w:rsidR="00E8771C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35" w:rsidRPr="000B175B" w:rsidRDefault="00AE69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6935" w:rsidRPr="00FC68B7" w:rsidRDefault="00AE69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6935" w:rsidRDefault="00AE6935"/>
  </w:footnote>
  <w:footnote w:id="2">
    <w:p w:rsidR="00C563BF" w:rsidRPr="00C563BF" w:rsidRDefault="00C563BF" w:rsidP="00C563BF">
      <w:pPr>
        <w:pStyle w:val="FootnoteText"/>
        <w:ind w:left="1418" w:hanging="284"/>
        <w:jc w:val="both"/>
        <w:rPr>
          <w:lang w:val="fr-CH"/>
        </w:rPr>
      </w:pPr>
      <w:r w:rsidRPr="00C563BF">
        <w:rPr>
          <w:rStyle w:val="FootnoteReference"/>
          <w:sz w:val="20"/>
        </w:rPr>
        <w:footnoteRef/>
      </w:r>
      <w:r>
        <w:tab/>
        <w:t>In accordance with the programme of work of the Inland Transport Committee for 2016-2017, (ECE/TRANS/2016/28/Add.1 (9.2)).</w:t>
      </w:r>
    </w:p>
  </w:footnote>
  <w:footnote w:id="3">
    <w:p w:rsidR="00C563BF" w:rsidRPr="00C563BF" w:rsidRDefault="00C563BF" w:rsidP="00C563BF">
      <w:pPr>
        <w:pStyle w:val="FootnoteText"/>
        <w:ind w:left="1418" w:hanging="284"/>
        <w:jc w:val="both"/>
        <w:rPr>
          <w:lang w:val="fr-CH"/>
        </w:rPr>
      </w:pPr>
      <w:r w:rsidRPr="00C563BF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495D15">
        <w:t>7</w:t>
      </w:r>
      <w:r w:rsidRPr="00561474">
        <w:t>/</w:t>
      </w:r>
      <w:r w:rsidR="00495D15">
        <w:t>37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Header"/>
    </w:pPr>
    <w:r w:rsidRPr="009D2A5B">
      <w:t>ECE/TRANS/WP.15/AC.1/201</w:t>
    </w:r>
    <w:r w:rsidR="000509A7">
      <w:t>7</w:t>
    </w:r>
    <w:r w:rsidRPr="009D2A5B">
      <w:t>/</w:t>
    </w:r>
    <w:r w:rsidR="00495D15">
      <w:t>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Header"/>
      <w:jc w:val="right"/>
    </w:pPr>
    <w:r w:rsidRPr="009D2A5B">
      <w:t>ECE/TRANS/WP.15/AC.1/201</w:t>
    </w:r>
    <w:r w:rsidR="00312506">
      <w:t>7</w:t>
    </w:r>
    <w:r w:rsidRPr="009D2A5B">
      <w:t>/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13DE"/>
    <w:rsid w:val="00034A36"/>
    <w:rsid w:val="00037F90"/>
    <w:rsid w:val="00046B1F"/>
    <w:rsid w:val="000509A7"/>
    <w:rsid w:val="00050F6B"/>
    <w:rsid w:val="0005583C"/>
    <w:rsid w:val="00057E97"/>
    <w:rsid w:val="00072C8C"/>
    <w:rsid w:val="000733B5"/>
    <w:rsid w:val="00080491"/>
    <w:rsid w:val="0008179C"/>
    <w:rsid w:val="0008181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E0415"/>
    <w:rsid w:val="001103AA"/>
    <w:rsid w:val="0011666B"/>
    <w:rsid w:val="001208E2"/>
    <w:rsid w:val="00155068"/>
    <w:rsid w:val="00165F3A"/>
    <w:rsid w:val="0017587F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2D43"/>
    <w:rsid w:val="00267F5F"/>
    <w:rsid w:val="00277C12"/>
    <w:rsid w:val="00286B4D"/>
    <w:rsid w:val="002A603B"/>
    <w:rsid w:val="002D4643"/>
    <w:rsid w:val="002D4B6C"/>
    <w:rsid w:val="002F175C"/>
    <w:rsid w:val="00300853"/>
    <w:rsid w:val="00302B8D"/>
    <w:rsid w:val="00302E18"/>
    <w:rsid w:val="00312506"/>
    <w:rsid w:val="003229D8"/>
    <w:rsid w:val="00352709"/>
    <w:rsid w:val="00371178"/>
    <w:rsid w:val="00371194"/>
    <w:rsid w:val="00381475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8397A"/>
    <w:rsid w:val="00495D15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611CF"/>
    <w:rsid w:val="007629C8"/>
    <w:rsid w:val="007674FA"/>
    <w:rsid w:val="0077047D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21A5"/>
    <w:rsid w:val="008679D9"/>
    <w:rsid w:val="00871389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E0678"/>
    <w:rsid w:val="008E7526"/>
    <w:rsid w:val="00901B81"/>
    <w:rsid w:val="0092212D"/>
    <w:rsid w:val="009223CA"/>
    <w:rsid w:val="00940F93"/>
    <w:rsid w:val="0094558F"/>
    <w:rsid w:val="00961690"/>
    <w:rsid w:val="009760F3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43545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E08DA"/>
    <w:rsid w:val="00AE6935"/>
    <w:rsid w:val="00AE7945"/>
    <w:rsid w:val="00AF3993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B7CD1"/>
    <w:rsid w:val="00BC3FA0"/>
    <w:rsid w:val="00BC74E9"/>
    <w:rsid w:val="00BD4443"/>
    <w:rsid w:val="00BF68A8"/>
    <w:rsid w:val="00C10FE6"/>
    <w:rsid w:val="00C11A03"/>
    <w:rsid w:val="00C22C0C"/>
    <w:rsid w:val="00C255AF"/>
    <w:rsid w:val="00C30C61"/>
    <w:rsid w:val="00C3172E"/>
    <w:rsid w:val="00C35502"/>
    <w:rsid w:val="00C40B11"/>
    <w:rsid w:val="00C4527F"/>
    <w:rsid w:val="00C463DD"/>
    <w:rsid w:val="00C4724C"/>
    <w:rsid w:val="00C563BF"/>
    <w:rsid w:val="00C629A0"/>
    <w:rsid w:val="00C64629"/>
    <w:rsid w:val="00C745C3"/>
    <w:rsid w:val="00C76F8B"/>
    <w:rsid w:val="00C92461"/>
    <w:rsid w:val="00CB3E03"/>
    <w:rsid w:val="00CE4A8F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1D53"/>
    <w:rsid w:val="00DF0F1A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8771C"/>
    <w:rsid w:val="00E96630"/>
    <w:rsid w:val="00EC106A"/>
    <w:rsid w:val="00EC1E8A"/>
    <w:rsid w:val="00ED7A2A"/>
    <w:rsid w:val="00EE1FD0"/>
    <w:rsid w:val="00EE6B3A"/>
    <w:rsid w:val="00EF1D7F"/>
    <w:rsid w:val="00F31E5F"/>
    <w:rsid w:val="00F32BB7"/>
    <w:rsid w:val="00F47EDC"/>
    <w:rsid w:val="00F6100A"/>
    <w:rsid w:val="00F63C9D"/>
    <w:rsid w:val="00F66565"/>
    <w:rsid w:val="00F75A16"/>
    <w:rsid w:val="00F852F4"/>
    <w:rsid w:val="00F92A22"/>
    <w:rsid w:val="00F93781"/>
    <w:rsid w:val="00FA6DA6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8B4A669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2371-D98B-4CC9-896A-F0374CB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2017-06-02T11:39:00Z</cp:lastPrinted>
  <dcterms:created xsi:type="dcterms:W3CDTF">2017-06-28T07:12:00Z</dcterms:created>
  <dcterms:modified xsi:type="dcterms:W3CDTF">2017-06-30T12:37:00Z</dcterms:modified>
</cp:coreProperties>
</file>