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B14AD8">
            <w:pPr>
              <w:suppressAutoHyphens w:val="0"/>
              <w:spacing w:after="20"/>
              <w:jc w:val="right"/>
            </w:pPr>
            <w:r w:rsidRPr="00B11BB4">
              <w:rPr>
                <w:sz w:val="40"/>
              </w:rPr>
              <w:t>ECE</w:t>
            </w:r>
            <w:r>
              <w:t>/TRANS/WP.15/AC.1/201</w:t>
            </w:r>
            <w:r w:rsidR="000509A7">
              <w:t>7</w:t>
            </w:r>
            <w:r>
              <w:t>/</w:t>
            </w:r>
            <w:r w:rsidR="007A4FC2">
              <w:t>3</w:t>
            </w:r>
            <w:r w:rsidR="00B14AD8">
              <w:t>3</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426D2C" w:rsidP="00B11BB4">
            <w:pPr>
              <w:suppressAutoHyphens w:val="0"/>
            </w:pPr>
            <w:r>
              <w:t>6</w:t>
            </w:r>
            <w:r w:rsidR="000B4293">
              <w:t xml:space="preserve"> July</w:t>
            </w:r>
            <w:r w:rsidR="001B13A5">
              <w:t xml:space="preserve"> 201</w:t>
            </w:r>
            <w:r w:rsidR="001208E2">
              <w:t>7</w:t>
            </w:r>
          </w:p>
          <w:p w:rsidR="00B56E9C" w:rsidRDefault="009D2A5B" w:rsidP="0039377E">
            <w:pPr>
              <w:suppressAutoHyphens w:val="0"/>
            </w:pPr>
            <w:r>
              <w:t xml:space="preserve">Original: </w:t>
            </w:r>
            <w:r w:rsidR="0094558F">
              <w:t xml:space="preserve"> </w:t>
            </w:r>
            <w:r w:rsidR="00CF3A08">
              <w:t xml:space="preserve">English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F65AE4">
        <w:t>-</w:t>
      </w:r>
      <w:r>
        <w:t>29</w:t>
      </w:r>
      <w:r w:rsidR="00F66565">
        <w:t xml:space="preserve"> </w:t>
      </w:r>
      <w:r>
        <w:t>September</w:t>
      </w:r>
      <w:r w:rsidR="00BB7CD1">
        <w:t xml:space="preserve"> 201</w:t>
      </w:r>
      <w:r w:rsidR="000509A7">
        <w:t>7</w:t>
      </w:r>
    </w:p>
    <w:p w:rsidR="0004238C" w:rsidRPr="00617F6C" w:rsidRDefault="0004238C" w:rsidP="0004238C">
      <w:r w:rsidRPr="00617F6C">
        <w:t xml:space="preserve">Item </w:t>
      </w:r>
      <w:proofErr w:type="gramStart"/>
      <w:r w:rsidR="00617F6C" w:rsidRPr="00617F6C">
        <w:t>7</w:t>
      </w:r>
      <w:proofErr w:type="gramEnd"/>
      <w:r w:rsidRPr="00617F6C">
        <w:t xml:space="preserve"> of the provisional agenda</w:t>
      </w:r>
    </w:p>
    <w:p w:rsidR="00FA6DA6" w:rsidRPr="0039377E" w:rsidRDefault="00617F6C" w:rsidP="0004238C">
      <w:pPr>
        <w:rPr>
          <w:b/>
        </w:rPr>
      </w:pPr>
      <w:r w:rsidRPr="00617F6C">
        <w:rPr>
          <w:b/>
          <w:bCs/>
        </w:rPr>
        <w:t>Reports of informal working groups</w:t>
      </w:r>
      <w:r>
        <w:rPr>
          <w:b/>
          <w:bCs/>
        </w:rPr>
        <w:t xml:space="preserve"> </w:t>
      </w:r>
    </w:p>
    <w:p w:rsidR="00617F6C" w:rsidRPr="00617F6C" w:rsidRDefault="00C3172E" w:rsidP="0004238C">
      <w:pPr>
        <w:pStyle w:val="HChG"/>
      </w:pPr>
      <w:r>
        <w:tab/>
      </w:r>
      <w:r>
        <w:tab/>
      </w:r>
      <w:r w:rsidR="00617F6C">
        <w:t>Report of the informal working group on alternative methods for periodic inspections</w:t>
      </w:r>
    </w:p>
    <w:p w:rsidR="00C3172E" w:rsidRPr="00EE168C" w:rsidRDefault="00617F6C" w:rsidP="0004238C">
      <w:pPr>
        <w:pStyle w:val="HChG"/>
      </w:pPr>
      <w:r>
        <w:rPr>
          <w:lang w:val="en-US"/>
        </w:rPr>
        <w:tab/>
      </w:r>
      <w:r>
        <w:rPr>
          <w:lang w:val="en-US"/>
        </w:rPr>
        <w:tab/>
      </w:r>
      <w:r w:rsidR="00B14AD8" w:rsidRPr="004A6537">
        <w:rPr>
          <w:lang w:val="en-US"/>
        </w:rPr>
        <w:t xml:space="preserve">Alternative </w:t>
      </w:r>
      <w:r w:rsidR="00B14AD8">
        <w:rPr>
          <w:lang w:val="en-US"/>
        </w:rPr>
        <w:t>m</w:t>
      </w:r>
      <w:r w:rsidR="00B14AD8" w:rsidRPr="004A6537">
        <w:rPr>
          <w:lang w:val="en-US"/>
        </w:rPr>
        <w:t>ethod</w:t>
      </w:r>
      <w:r w:rsidR="00B14AD8">
        <w:rPr>
          <w:lang w:val="en-US"/>
        </w:rPr>
        <w:t>s</w:t>
      </w:r>
      <w:r w:rsidR="00B14AD8" w:rsidRPr="004A6537">
        <w:rPr>
          <w:lang w:val="en-US"/>
        </w:rPr>
        <w:t xml:space="preserve"> for </w:t>
      </w:r>
      <w:r w:rsidR="00B14AD8">
        <w:rPr>
          <w:lang w:val="en-US"/>
        </w:rPr>
        <w:t>periodic i</w:t>
      </w:r>
      <w:r w:rsidR="00B14AD8" w:rsidRPr="00B84440">
        <w:rPr>
          <w:lang w:val="en-US"/>
        </w:rPr>
        <w:t xml:space="preserve">nspection </w:t>
      </w:r>
      <w:r w:rsidR="00B14AD8">
        <w:rPr>
          <w:lang w:val="en-US"/>
        </w:rPr>
        <w:t>of refillable pressure receptacles</w:t>
      </w:r>
    </w:p>
    <w:p w:rsidR="00C3172E" w:rsidRDefault="00C3172E" w:rsidP="00C3172E">
      <w:pPr>
        <w:pStyle w:val="H1G"/>
        <w:rPr>
          <w:b w:val="0"/>
          <w:sz w:val="20"/>
        </w:rPr>
      </w:pPr>
      <w:r>
        <w:tab/>
      </w:r>
      <w:r>
        <w:tab/>
      </w:r>
      <w:r w:rsidR="00B14AD8" w:rsidRPr="001528B1">
        <w:t>Transmitted by the European Liquefied Petroleum Gas Association (AEGPL)</w:t>
      </w:r>
      <w:r w:rsidR="00B14AD8">
        <w:t xml:space="preserve"> on behalf of the informal working group on alternative methods for periodic inspections</w:t>
      </w:r>
      <w:r w:rsidR="00C563BF" w:rsidRPr="00C563BF">
        <w:rPr>
          <w:rStyle w:val="FootnoteReference"/>
          <w:sz w:val="20"/>
        </w:rPr>
        <w:footnoteReference w:id="2"/>
      </w:r>
      <w:r w:rsidR="00C563BF" w:rsidRPr="00C563BF">
        <w:rPr>
          <w:b w:val="0"/>
          <w:sz w:val="20"/>
          <w:vertAlign w:val="superscript"/>
        </w:rPr>
        <w:t>,</w:t>
      </w:r>
      <w:r w:rsidR="00C563BF">
        <w:rPr>
          <w:b w:val="0"/>
          <w:vertAlign w:val="superscript"/>
        </w:rPr>
        <w:t xml:space="preserve"> </w:t>
      </w:r>
      <w:r w:rsidR="00C563BF" w:rsidRPr="00C563BF">
        <w:rPr>
          <w:rStyle w:val="FootnoteReference"/>
          <w:b w:val="0"/>
          <w:sz w:val="20"/>
        </w:rPr>
        <w:footnoteReference w:customMarkFollows="1" w:id="3"/>
        <w:t>**</w:t>
      </w:r>
    </w:p>
    <w:p w:rsidR="0004238C" w:rsidRDefault="0004238C">
      <w:pPr>
        <w:suppressAutoHyphens w:val="0"/>
        <w:spacing w:line="240" w:lineRule="auto"/>
        <w:rPr>
          <w:b/>
          <w:sz w:val="24"/>
        </w:rPr>
      </w:pPr>
      <w:r>
        <w:rPr>
          <w:b/>
          <w:sz w:val="24"/>
        </w:rPr>
        <w:br w:type="page"/>
      </w:r>
    </w:p>
    <w:p w:rsidR="00B14AD8" w:rsidRPr="001B64BA" w:rsidRDefault="00B14AD8" w:rsidP="00B14AD8">
      <w:pPr>
        <w:pStyle w:val="HChG"/>
        <w:rPr>
          <w:lang w:val="en-US"/>
        </w:rPr>
      </w:pPr>
      <w:r>
        <w:rPr>
          <w:lang w:val="en-US"/>
        </w:rPr>
        <w:lastRenderedPageBreak/>
        <w:tab/>
      </w:r>
      <w:r>
        <w:rPr>
          <w:lang w:val="en-US"/>
        </w:rPr>
        <w:tab/>
        <w:t>Introduction</w:t>
      </w:r>
    </w:p>
    <w:p w:rsidR="00B14AD8" w:rsidRDefault="00617F6C" w:rsidP="00B14AD8">
      <w:pPr>
        <w:pStyle w:val="SingleTxtG"/>
        <w:rPr>
          <w:lang w:val="en-US"/>
        </w:rPr>
      </w:pPr>
      <w:r>
        <w:rPr>
          <w:lang w:val="en-US"/>
        </w:rPr>
        <w:t>1.</w:t>
      </w:r>
      <w:r>
        <w:rPr>
          <w:lang w:val="en-US"/>
        </w:rPr>
        <w:tab/>
        <w:t>The informal</w:t>
      </w:r>
      <w:r w:rsidR="00B14AD8" w:rsidRPr="003D4D66">
        <w:rPr>
          <w:lang w:val="en-US"/>
        </w:rPr>
        <w:t xml:space="preserve"> </w:t>
      </w:r>
      <w:r>
        <w:rPr>
          <w:lang w:val="en-US"/>
        </w:rPr>
        <w:t>w</w:t>
      </w:r>
      <w:r w:rsidR="00B14AD8" w:rsidRPr="003D4D66">
        <w:rPr>
          <w:lang w:val="en-US"/>
        </w:rPr>
        <w:t xml:space="preserve">orking </w:t>
      </w:r>
      <w:r>
        <w:rPr>
          <w:lang w:val="en-US"/>
        </w:rPr>
        <w:t>g</w:t>
      </w:r>
      <w:r w:rsidR="00B14AD8" w:rsidRPr="003D4D66">
        <w:rPr>
          <w:lang w:val="en-US"/>
        </w:rPr>
        <w:t xml:space="preserve">roup on </w:t>
      </w:r>
      <w:r>
        <w:rPr>
          <w:lang w:val="en-US"/>
        </w:rPr>
        <w:t>a</w:t>
      </w:r>
      <w:r w:rsidR="00B14AD8" w:rsidRPr="003D4D66">
        <w:rPr>
          <w:lang w:val="en-US"/>
        </w:rPr>
        <w:t xml:space="preserve">lternative </w:t>
      </w:r>
      <w:r>
        <w:rPr>
          <w:lang w:val="en-US"/>
        </w:rPr>
        <w:t>m</w:t>
      </w:r>
      <w:r w:rsidR="00B14AD8" w:rsidRPr="003D4D66">
        <w:rPr>
          <w:lang w:val="en-US"/>
        </w:rPr>
        <w:t xml:space="preserve">ethods for </w:t>
      </w:r>
      <w:r>
        <w:rPr>
          <w:lang w:val="en-US"/>
        </w:rPr>
        <w:t>p</w:t>
      </w:r>
      <w:r w:rsidR="00B14AD8" w:rsidRPr="003D4D66">
        <w:rPr>
          <w:lang w:val="en-US"/>
        </w:rPr>
        <w:t xml:space="preserve">eriodic </w:t>
      </w:r>
      <w:r>
        <w:rPr>
          <w:lang w:val="en-US"/>
        </w:rPr>
        <w:t>i</w:t>
      </w:r>
      <w:r w:rsidR="00B14AD8" w:rsidRPr="003D4D66">
        <w:rPr>
          <w:lang w:val="en-US"/>
        </w:rPr>
        <w:t>nspections of refillable pressure receptacles met in Paris</w:t>
      </w:r>
      <w:r>
        <w:rPr>
          <w:lang w:val="en-US"/>
        </w:rPr>
        <w:t xml:space="preserve"> from 3-4</w:t>
      </w:r>
      <w:r w:rsidR="00B14AD8" w:rsidRPr="003D4D66">
        <w:rPr>
          <w:lang w:val="en-US"/>
        </w:rPr>
        <w:t xml:space="preserve"> May 2017.</w:t>
      </w:r>
      <w:r>
        <w:rPr>
          <w:lang w:val="en-US"/>
        </w:rPr>
        <w:t xml:space="preserve"> It discussed the concerns</w:t>
      </w:r>
      <w:r w:rsidR="00986931">
        <w:rPr>
          <w:lang w:val="en-US"/>
        </w:rPr>
        <w:t xml:space="preserve"> that </w:t>
      </w:r>
      <w:proofErr w:type="gramStart"/>
      <w:r w:rsidR="00986931">
        <w:rPr>
          <w:lang w:val="en-US"/>
        </w:rPr>
        <w:t>were</w:t>
      </w:r>
      <w:r w:rsidR="00B14AD8">
        <w:rPr>
          <w:lang w:val="en-US"/>
        </w:rPr>
        <w:t xml:space="preserve"> </w:t>
      </w:r>
      <w:r>
        <w:rPr>
          <w:lang w:val="en-US"/>
        </w:rPr>
        <w:t>expressed</w:t>
      </w:r>
      <w:proofErr w:type="gramEnd"/>
      <w:r w:rsidRPr="003D4D66">
        <w:rPr>
          <w:lang w:val="en-US"/>
        </w:rPr>
        <w:t xml:space="preserve"> </w:t>
      </w:r>
      <w:r w:rsidR="00B14AD8" w:rsidRPr="003D4D66">
        <w:rPr>
          <w:lang w:val="en-US"/>
        </w:rPr>
        <w:t>at the spring 2017 session of the Joint Meeting held in Bern</w:t>
      </w:r>
      <w:r>
        <w:rPr>
          <w:lang w:val="en-US"/>
        </w:rPr>
        <w:t>, and offered explanations to the questions raised</w:t>
      </w:r>
      <w:r w:rsidR="00986931">
        <w:rPr>
          <w:lang w:val="en-US"/>
        </w:rPr>
        <w:t xml:space="preserve">. </w:t>
      </w:r>
      <w:r>
        <w:rPr>
          <w:lang w:val="en-US"/>
        </w:rPr>
        <w:t>A</w:t>
      </w:r>
      <w:r w:rsidR="00B14AD8" w:rsidRPr="003D4D66">
        <w:rPr>
          <w:lang w:val="en-US"/>
        </w:rPr>
        <w:t xml:space="preserve"> general provision </w:t>
      </w:r>
      <w:r w:rsidR="000B4293">
        <w:rPr>
          <w:lang w:val="en-US"/>
        </w:rPr>
        <w:t xml:space="preserve">is proposed </w:t>
      </w:r>
      <w:r w:rsidR="00B14AD8" w:rsidRPr="003D4D66">
        <w:rPr>
          <w:lang w:val="en-US"/>
        </w:rPr>
        <w:t>in Proposal 1</w:t>
      </w:r>
      <w:r w:rsidR="0062377A">
        <w:rPr>
          <w:lang w:val="en-US"/>
        </w:rPr>
        <w:t>, and</w:t>
      </w:r>
      <w:r w:rsidR="00986931">
        <w:rPr>
          <w:lang w:val="en-US"/>
        </w:rPr>
        <w:t xml:space="preserve"> </w:t>
      </w:r>
      <w:r w:rsidR="00CF3A08">
        <w:rPr>
          <w:lang w:val="en-US"/>
        </w:rPr>
        <w:t>a</w:t>
      </w:r>
      <w:r w:rsidR="00CF3A08" w:rsidRPr="003D4D66">
        <w:rPr>
          <w:lang w:val="en-US"/>
        </w:rPr>
        <w:t xml:space="preserve"> </w:t>
      </w:r>
      <w:r w:rsidR="00B14AD8" w:rsidRPr="003D4D66">
        <w:rPr>
          <w:lang w:val="en-US"/>
        </w:rPr>
        <w:t>specific provision dedicated to Over-Moulded Cylinders</w:t>
      </w:r>
      <w:r w:rsidR="00CF3A08">
        <w:rPr>
          <w:lang w:val="en-US"/>
        </w:rPr>
        <w:t xml:space="preserve"> (OMC) </w:t>
      </w:r>
      <w:r>
        <w:rPr>
          <w:lang w:val="en-US"/>
        </w:rPr>
        <w:t xml:space="preserve">is proposed in </w:t>
      </w:r>
      <w:r w:rsidR="00986931">
        <w:rPr>
          <w:lang w:val="en-US"/>
        </w:rPr>
        <w:t>P</w:t>
      </w:r>
      <w:r>
        <w:rPr>
          <w:lang w:val="en-US"/>
        </w:rPr>
        <w:t>roposal 2.</w:t>
      </w:r>
    </w:p>
    <w:p w:rsidR="00B14AD8" w:rsidRDefault="000173A7" w:rsidP="00B14AD8">
      <w:pPr>
        <w:pStyle w:val="SingleTxtG"/>
        <w:rPr>
          <w:i/>
          <w:lang w:val="en-US"/>
        </w:rPr>
      </w:pPr>
      <w:r w:rsidRPr="009E660A">
        <w:rPr>
          <w:i/>
          <w:lang w:val="en-US"/>
        </w:rPr>
        <w:t>Note:</w:t>
      </w:r>
      <w:r w:rsidR="00B14AD8" w:rsidRPr="00D30EFA">
        <w:rPr>
          <w:i/>
          <w:lang w:val="en-US"/>
        </w:rPr>
        <w:t xml:space="preserve"> </w:t>
      </w:r>
      <w:r w:rsidR="000C686C" w:rsidRPr="00D30EFA">
        <w:rPr>
          <w:i/>
          <w:lang w:val="en-US"/>
        </w:rPr>
        <w:t>Former</w:t>
      </w:r>
      <w:r w:rsidR="00B14AD8" w:rsidRPr="009E660A">
        <w:rPr>
          <w:i/>
          <w:lang w:val="en-US"/>
        </w:rPr>
        <w:t xml:space="preserve"> Proposal 2 of </w:t>
      </w:r>
      <w:r w:rsidR="00617F6C">
        <w:rPr>
          <w:i/>
          <w:lang w:val="en-US"/>
        </w:rPr>
        <w:t>informal document INF.9 (Spring 2017 session)</w:t>
      </w:r>
      <w:r w:rsidR="00986931">
        <w:rPr>
          <w:i/>
          <w:lang w:val="en-US"/>
        </w:rPr>
        <w:t xml:space="preserve"> </w:t>
      </w:r>
      <w:r w:rsidR="00B14AD8" w:rsidRPr="009E660A">
        <w:rPr>
          <w:i/>
          <w:lang w:val="en-US"/>
        </w:rPr>
        <w:t xml:space="preserve">has been postponed, see </w:t>
      </w:r>
      <w:r w:rsidR="00617F6C">
        <w:rPr>
          <w:i/>
          <w:lang w:val="en-US"/>
        </w:rPr>
        <w:t>section B of Part I below.</w:t>
      </w:r>
    </w:p>
    <w:p w:rsidR="00175081" w:rsidRDefault="00175081" w:rsidP="00175081">
      <w:pPr>
        <w:pStyle w:val="HChG"/>
      </w:pPr>
      <w:r w:rsidRPr="008B08AE">
        <w:tab/>
      </w:r>
      <w:r>
        <w:t>I</w:t>
      </w:r>
      <w:r w:rsidRPr="008B08AE">
        <w:t>.</w:t>
      </w:r>
      <w:r w:rsidRPr="008B08AE">
        <w:tab/>
      </w:r>
      <w:r>
        <w:t>Discussion</w:t>
      </w:r>
    </w:p>
    <w:p w:rsidR="00175081" w:rsidRPr="00673C82" w:rsidRDefault="00175081" w:rsidP="00175081">
      <w:pPr>
        <w:pStyle w:val="H1G"/>
      </w:pPr>
      <w:r w:rsidRPr="00673C82">
        <w:tab/>
        <w:t>A.</w:t>
      </w:r>
      <w:r w:rsidRPr="00673C82">
        <w:tab/>
      </w:r>
      <w:r w:rsidRPr="001834C3">
        <w:rPr>
          <w:lang w:val="en-US"/>
        </w:rPr>
        <w:t>Concerns about Proposal 1 of</w:t>
      </w:r>
      <w:r>
        <w:rPr>
          <w:lang w:val="en-US"/>
        </w:rPr>
        <w:t xml:space="preserve"> informal document INF.9 (Spring 2017 session)</w:t>
      </w:r>
    </w:p>
    <w:p w:rsidR="00B14AD8" w:rsidRPr="0039377E" w:rsidRDefault="00175081" w:rsidP="0039377E">
      <w:pPr>
        <w:pStyle w:val="H1G"/>
        <w:rPr>
          <w:lang w:val="en-US"/>
        </w:rPr>
      </w:pPr>
      <w:r w:rsidRPr="0039377E">
        <w:tab/>
      </w:r>
      <w:r w:rsidRPr="0039377E">
        <w:rPr>
          <w:lang w:val="en-US"/>
        </w:rPr>
        <w:t>1.</w:t>
      </w:r>
      <w:r w:rsidRPr="0039377E">
        <w:rPr>
          <w:lang w:val="en-US"/>
        </w:rPr>
        <w:tab/>
      </w:r>
      <w:r w:rsidR="00B14AD8" w:rsidRPr="0039377E">
        <w:rPr>
          <w:lang w:val="en-US"/>
        </w:rPr>
        <w:t xml:space="preserve">Scope of the statistical tests (tests </w:t>
      </w:r>
      <w:r w:rsidRPr="0039377E">
        <w:rPr>
          <w:lang w:val="en-US"/>
        </w:rPr>
        <w:t>and</w:t>
      </w:r>
      <w:r w:rsidR="00B14AD8" w:rsidRPr="0039377E">
        <w:rPr>
          <w:lang w:val="en-US"/>
        </w:rPr>
        <w:t xml:space="preserve"> cylinders)</w:t>
      </w:r>
    </w:p>
    <w:p w:rsidR="00B14AD8" w:rsidRPr="004F6ED8" w:rsidRDefault="00CF3A08" w:rsidP="0039377E">
      <w:pPr>
        <w:pStyle w:val="Bullet1G"/>
        <w:numPr>
          <w:ilvl w:val="0"/>
          <w:numId w:val="0"/>
        </w:numPr>
        <w:ind w:left="1080"/>
        <w:rPr>
          <w:b/>
        </w:rPr>
      </w:pPr>
      <w:r>
        <w:rPr>
          <w:lang w:val="en-US"/>
        </w:rPr>
        <w:t>2</w:t>
      </w:r>
      <w:r w:rsidR="00B32242">
        <w:rPr>
          <w:lang w:val="en-US"/>
        </w:rPr>
        <w:t>.</w:t>
      </w:r>
      <w:r w:rsidR="00B32242">
        <w:rPr>
          <w:lang w:val="en-US"/>
        </w:rPr>
        <w:tab/>
      </w:r>
      <w:r w:rsidR="00175081">
        <w:rPr>
          <w:lang w:val="en-US"/>
        </w:rPr>
        <w:t xml:space="preserve">The informal working group accepted that </w:t>
      </w:r>
      <w:r w:rsidR="00B14AD8" w:rsidRPr="004F6ED8">
        <w:rPr>
          <w:lang w:val="en-US"/>
        </w:rPr>
        <w:t xml:space="preserve">ADR 6.2.1.6.1 checks (a to e) be reduced to b </w:t>
      </w:r>
      <w:r w:rsidR="002E4249">
        <w:rPr>
          <w:lang w:val="en-US"/>
        </w:rPr>
        <w:t>and</w:t>
      </w:r>
      <w:r w:rsidR="00B14AD8" w:rsidRPr="004F6ED8">
        <w:rPr>
          <w:lang w:val="en-US"/>
        </w:rPr>
        <w:t xml:space="preserve"> d only.</w:t>
      </w:r>
      <w:r w:rsidR="002E4249">
        <w:rPr>
          <w:lang w:val="en-US"/>
        </w:rPr>
        <w:t xml:space="preserve"> </w:t>
      </w:r>
      <w:r w:rsidR="00175081">
        <w:rPr>
          <w:lang w:val="en-US"/>
        </w:rPr>
        <w:t>(</w:t>
      </w:r>
      <w:r w:rsidR="00175081" w:rsidRPr="0039377E">
        <w:t>See paragraph 6.2.3.5.3 of proposal 1)</w:t>
      </w:r>
      <w:r w:rsidR="00B14AD8" w:rsidRPr="0039377E">
        <w:t>.</w:t>
      </w:r>
      <w:r w:rsidR="00B14AD8" w:rsidRPr="004F6ED8">
        <w:rPr>
          <w:b/>
        </w:rPr>
        <w:t xml:space="preserve"> </w:t>
      </w:r>
    </w:p>
    <w:p w:rsidR="000B4293" w:rsidRDefault="00CF3A08" w:rsidP="0039377E">
      <w:pPr>
        <w:pStyle w:val="Bullet1G"/>
        <w:numPr>
          <w:ilvl w:val="0"/>
          <w:numId w:val="0"/>
        </w:numPr>
        <w:ind w:left="1080"/>
        <w:rPr>
          <w:lang w:val="en-US"/>
        </w:rPr>
      </w:pPr>
      <w:r>
        <w:rPr>
          <w:lang w:val="en-US"/>
        </w:rPr>
        <w:t>3</w:t>
      </w:r>
      <w:r w:rsidR="00175081">
        <w:rPr>
          <w:lang w:val="en-US"/>
        </w:rPr>
        <w:t>.</w:t>
      </w:r>
      <w:r w:rsidR="00175081">
        <w:rPr>
          <w:lang w:val="en-US"/>
        </w:rPr>
        <w:tab/>
      </w:r>
      <w:r>
        <w:rPr>
          <w:lang w:val="en-US"/>
        </w:rPr>
        <w:t>The group accepted to be more rigorous about the scope dealing with cylinders and the scope dealing with tests (see proposal 1)</w:t>
      </w:r>
      <w:r w:rsidR="000B4293">
        <w:rPr>
          <w:lang w:val="en-US"/>
        </w:rPr>
        <w:t>.</w:t>
      </w:r>
    </w:p>
    <w:p w:rsidR="00B14AD8" w:rsidRPr="0039377E" w:rsidRDefault="00CF3A08" w:rsidP="0039377E">
      <w:pPr>
        <w:pStyle w:val="Bullet1G"/>
        <w:numPr>
          <w:ilvl w:val="0"/>
          <w:numId w:val="0"/>
        </w:numPr>
        <w:ind w:left="1080"/>
      </w:pPr>
      <w:r>
        <w:rPr>
          <w:lang w:val="en-US"/>
        </w:rPr>
        <w:t>4</w:t>
      </w:r>
      <w:r w:rsidR="00175081">
        <w:rPr>
          <w:lang w:val="en-US"/>
        </w:rPr>
        <w:t>.</w:t>
      </w:r>
      <w:r w:rsidR="00175081">
        <w:rPr>
          <w:lang w:val="en-US"/>
        </w:rPr>
        <w:tab/>
        <w:t>Regarding the r</w:t>
      </w:r>
      <w:r w:rsidR="002E4249">
        <w:rPr>
          <w:lang w:val="en-US"/>
        </w:rPr>
        <w:t>emark</w:t>
      </w:r>
      <w:r w:rsidR="00175081">
        <w:rPr>
          <w:lang w:val="en-US"/>
        </w:rPr>
        <w:t xml:space="preserve"> that i</w:t>
      </w:r>
      <w:r w:rsidR="00B14AD8" w:rsidRPr="004F6ED8">
        <w:rPr>
          <w:lang w:val="en-US"/>
        </w:rPr>
        <w:t>mposing limits of applications today w</w:t>
      </w:r>
      <w:r>
        <w:rPr>
          <w:lang w:val="en-US"/>
        </w:rPr>
        <w:t>ould</w:t>
      </w:r>
      <w:r w:rsidR="00B14AD8" w:rsidRPr="004F6ED8">
        <w:rPr>
          <w:lang w:val="en-US"/>
        </w:rPr>
        <w:t xml:space="preserve"> lead to future demands of exemption</w:t>
      </w:r>
      <w:r w:rsidR="000173A7">
        <w:rPr>
          <w:lang w:val="en-US"/>
        </w:rPr>
        <w:t xml:space="preserve">, </w:t>
      </w:r>
      <w:r w:rsidR="000173A7" w:rsidRPr="0039377E">
        <w:t>only</w:t>
      </w:r>
      <w:r w:rsidR="00B14AD8" w:rsidRPr="0039377E">
        <w:t xml:space="preserve"> checks b and d are proposed because they are the most likely possible checks to be subject to substitution.</w:t>
      </w:r>
    </w:p>
    <w:p w:rsidR="00B14AD8" w:rsidRPr="004F6ED8" w:rsidRDefault="0039377E" w:rsidP="0039377E">
      <w:pPr>
        <w:pStyle w:val="H1G"/>
        <w:rPr>
          <w:lang w:val="en-US"/>
        </w:rPr>
      </w:pPr>
      <w:r>
        <w:rPr>
          <w:lang w:val="en-US"/>
        </w:rPr>
        <w:tab/>
      </w:r>
      <w:r w:rsidR="00B32242">
        <w:rPr>
          <w:lang w:val="en-US"/>
        </w:rPr>
        <w:t>2</w:t>
      </w:r>
      <w:r w:rsidR="00175081" w:rsidRPr="0039377E">
        <w:rPr>
          <w:lang w:val="en-US"/>
        </w:rPr>
        <w:t>.</w:t>
      </w:r>
      <w:r w:rsidR="00175081">
        <w:rPr>
          <w:lang w:val="en-US"/>
        </w:rPr>
        <w:tab/>
      </w:r>
      <w:r w:rsidR="0062377A">
        <w:rPr>
          <w:lang w:val="en-US"/>
        </w:rPr>
        <w:t>Wording improvement: «Inadequate</w:t>
      </w:r>
      <w:r w:rsidR="00B14AD8" w:rsidRPr="004F6ED8">
        <w:rPr>
          <w:lang w:val="en-US"/>
        </w:rPr>
        <w:t xml:space="preserve">» to be deleted or changed </w:t>
      </w:r>
    </w:p>
    <w:p w:rsidR="00175081" w:rsidRPr="004F6ED8" w:rsidRDefault="00CF3A08" w:rsidP="0039377E">
      <w:pPr>
        <w:pStyle w:val="Bullet1G"/>
        <w:numPr>
          <w:ilvl w:val="0"/>
          <w:numId w:val="0"/>
        </w:numPr>
        <w:ind w:left="1080"/>
        <w:rPr>
          <w:lang w:val="en-US"/>
        </w:rPr>
      </w:pPr>
      <w:r>
        <w:rPr>
          <w:lang w:val="en-US"/>
        </w:rPr>
        <w:t>5</w:t>
      </w:r>
      <w:r w:rsidR="00175081">
        <w:rPr>
          <w:lang w:val="en-US"/>
        </w:rPr>
        <w:t>.</w:t>
      </w:r>
      <w:r w:rsidR="00175081">
        <w:rPr>
          <w:lang w:val="en-US"/>
        </w:rPr>
        <w:tab/>
        <w:t>The informal working group agreed that this word should be deleted.</w:t>
      </w:r>
    </w:p>
    <w:p w:rsidR="00B14AD8" w:rsidRPr="004F6ED8" w:rsidRDefault="0039377E" w:rsidP="0039377E">
      <w:pPr>
        <w:pStyle w:val="H1G"/>
        <w:rPr>
          <w:lang w:val="en-US"/>
        </w:rPr>
      </w:pPr>
      <w:r>
        <w:rPr>
          <w:lang w:val="en-US"/>
        </w:rPr>
        <w:tab/>
      </w:r>
      <w:r w:rsidR="00B32242">
        <w:rPr>
          <w:lang w:val="en-US"/>
        </w:rPr>
        <w:t>3</w:t>
      </w:r>
      <w:r w:rsidR="00175081" w:rsidRPr="0039377E">
        <w:rPr>
          <w:lang w:val="en-US"/>
        </w:rPr>
        <w:t>.</w:t>
      </w:r>
      <w:r w:rsidR="00175081">
        <w:rPr>
          <w:lang w:val="en-US"/>
        </w:rPr>
        <w:tab/>
      </w:r>
      <w:r w:rsidR="00B14AD8" w:rsidRPr="004F6ED8">
        <w:rPr>
          <w:lang w:val="en-US"/>
        </w:rPr>
        <w:t xml:space="preserve">Proposal to link such alternatives methods to life duration (by design / service life), and degradation monitoring </w:t>
      </w:r>
    </w:p>
    <w:p w:rsidR="00B14AD8" w:rsidRDefault="00CF3A08" w:rsidP="0039377E">
      <w:pPr>
        <w:pStyle w:val="Bullet1G"/>
        <w:numPr>
          <w:ilvl w:val="0"/>
          <w:numId w:val="0"/>
        </w:numPr>
        <w:ind w:left="1080"/>
      </w:pPr>
      <w:r>
        <w:t>6</w:t>
      </w:r>
      <w:r w:rsidR="00175081" w:rsidRPr="0039377E">
        <w:t>.</w:t>
      </w:r>
      <w:r w:rsidR="00175081" w:rsidRPr="0039377E">
        <w:tab/>
        <w:t xml:space="preserve">The group accepted this proposal (see </w:t>
      </w:r>
      <w:r w:rsidR="002E4249">
        <w:t>Proposal 1)</w:t>
      </w:r>
    </w:p>
    <w:p w:rsidR="00B32242" w:rsidRPr="00673C82" w:rsidRDefault="00B32242" w:rsidP="00B32242">
      <w:pPr>
        <w:pStyle w:val="H1G"/>
      </w:pPr>
      <w:r w:rsidRPr="00673C82">
        <w:tab/>
      </w:r>
      <w:r>
        <w:t>B</w:t>
      </w:r>
      <w:r w:rsidRPr="00673C82">
        <w:t>.</w:t>
      </w:r>
      <w:r w:rsidRPr="00673C82">
        <w:tab/>
      </w:r>
      <w:r w:rsidRPr="004F6ED8">
        <w:rPr>
          <w:lang w:val="en-US"/>
        </w:rPr>
        <w:t>Concerns about Proposal 2 of</w:t>
      </w:r>
      <w:r>
        <w:rPr>
          <w:lang w:val="en-US"/>
        </w:rPr>
        <w:t xml:space="preserve"> informal document INF.9 (Spring 2017 session)</w:t>
      </w:r>
    </w:p>
    <w:p w:rsidR="00B14AD8" w:rsidRPr="005D45E3" w:rsidRDefault="00CF3A08" w:rsidP="004F6ED8">
      <w:pPr>
        <w:pStyle w:val="SingleTxtG"/>
        <w:rPr>
          <w:lang w:val="en-US"/>
        </w:rPr>
      </w:pPr>
      <w:r>
        <w:rPr>
          <w:lang w:val="en-US"/>
        </w:rPr>
        <w:t>7</w:t>
      </w:r>
      <w:r w:rsidR="00B32242">
        <w:rPr>
          <w:lang w:val="en-US"/>
        </w:rPr>
        <w:t>.</w:t>
      </w:r>
      <w:r w:rsidR="00B32242">
        <w:rPr>
          <w:lang w:val="en-US"/>
        </w:rPr>
        <w:tab/>
      </w:r>
      <w:r w:rsidR="00F909AE">
        <w:rPr>
          <w:lang w:val="en-US"/>
        </w:rPr>
        <w:t>During the last Joint Meeting session, views were expressed that the informal</w:t>
      </w:r>
      <w:r w:rsidR="00F909AE" w:rsidRPr="005D45E3">
        <w:rPr>
          <w:lang w:val="en-US"/>
        </w:rPr>
        <w:t xml:space="preserve"> </w:t>
      </w:r>
      <w:r w:rsidR="00B14AD8" w:rsidRPr="005D45E3">
        <w:rPr>
          <w:lang w:val="en-US"/>
        </w:rPr>
        <w:t>working group would have to deal with proposal 2 by considering that a general provision sh</w:t>
      </w:r>
      <w:r w:rsidR="00F909AE">
        <w:rPr>
          <w:lang w:val="en-US"/>
        </w:rPr>
        <w:t>ould</w:t>
      </w:r>
      <w:r w:rsidR="00B14AD8" w:rsidRPr="005D45E3">
        <w:rPr>
          <w:lang w:val="en-US"/>
        </w:rPr>
        <w:t xml:space="preserve"> include general principles and regulat</w:t>
      </w:r>
      <w:r w:rsidR="00F909AE">
        <w:rPr>
          <w:lang w:val="en-US"/>
        </w:rPr>
        <w:t>ory</w:t>
      </w:r>
      <w:r w:rsidR="00B14AD8" w:rsidRPr="005D45E3">
        <w:rPr>
          <w:lang w:val="en-US"/>
        </w:rPr>
        <w:t xml:space="preserve"> clauses. All technical details </w:t>
      </w:r>
      <w:r w:rsidR="00F909AE">
        <w:rPr>
          <w:lang w:val="en-US"/>
        </w:rPr>
        <w:t>would</w:t>
      </w:r>
      <w:r w:rsidR="00B14AD8" w:rsidRPr="005D45E3">
        <w:rPr>
          <w:lang w:val="en-US"/>
        </w:rPr>
        <w:t xml:space="preserve"> be included in technical guidelines.</w:t>
      </w:r>
    </w:p>
    <w:p w:rsidR="00B14AD8" w:rsidRPr="0039377E" w:rsidRDefault="00CF3A08" w:rsidP="0039377E">
      <w:pPr>
        <w:pStyle w:val="Bullet1G"/>
        <w:numPr>
          <w:ilvl w:val="0"/>
          <w:numId w:val="0"/>
        </w:numPr>
        <w:ind w:left="1134"/>
      </w:pPr>
      <w:r>
        <w:t>8</w:t>
      </w:r>
      <w:r w:rsidR="00F909AE" w:rsidRPr="0039377E">
        <w:t>.</w:t>
      </w:r>
      <w:r w:rsidR="00F909AE" w:rsidRPr="0039377E">
        <w:tab/>
      </w:r>
      <w:r w:rsidR="00B14AD8" w:rsidRPr="0039377E">
        <w:t xml:space="preserve">After discussion, the </w:t>
      </w:r>
      <w:r w:rsidR="002253D8">
        <w:t xml:space="preserve">informal </w:t>
      </w:r>
      <w:r w:rsidR="00B14AD8" w:rsidRPr="0039377E">
        <w:t xml:space="preserve">working group considers that Proposal 2 is not to be rejected but is not ready for submission to the </w:t>
      </w:r>
      <w:r w:rsidR="00F909AE">
        <w:t>Joint Meeting. In this respect:</w:t>
      </w:r>
    </w:p>
    <w:p w:rsidR="00B14AD8" w:rsidRPr="0039377E" w:rsidRDefault="00F909AE" w:rsidP="0039377E">
      <w:pPr>
        <w:pStyle w:val="Bullet1G"/>
        <w:numPr>
          <w:ilvl w:val="0"/>
          <w:numId w:val="0"/>
        </w:numPr>
        <w:ind w:left="1701"/>
      </w:pPr>
      <w:r w:rsidRPr="0039377E">
        <w:t>(a)</w:t>
      </w:r>
      <w:r w:rsidRPr="0039377E">
        <w:tab/>
      </w:r>
      <w:r w:rsidR="00B14AD8" w:rsidRPr="0039377E">
        <w:t>Essential general principles have then been introduced in the proposal 1 of this document</w:t>
      </w:r>
      <w:r>
        <w:t>;</w:t>
      </w:r>
    </w:p>
    <w:p w:rsidR="00B14AD8" w:rsidRPr="0039377E" w:rsidRDefault="00F909AE" w:rsidP="0039377E">
      <w:pPr>
        <w:pStyle w:val="Bullet1G"/>
        <w:numPr>
          <w:ilvl w:val="0"/>
          <w:numId w:val="0"/>
        </w:numPr>
        <w:ind w:left="2268"/>
      </w:pPr>
      <w:r w:rsidRPr="0039377E">
        <w:t>(b)</w:t>
      </w:r>
      <w:r w:rsidRPr="0039377E">
        <w:tab/>
      </w:r>
      <w:r w:rsidR="00CF3A08">
        <w:t>The informal working</w:t>
      </w:r>
      <w:r>
        <w:t xml:space="preserve"> group</w:t>
      </w:r>
      <w:r w:rsidR="000B4293">
        <w:t xml:space="preserve"> </w:t>
      </w:r>
      <w:r w:rsidR="00B14AD8" w:rsidRPr="0039377E">
        <w:t>recommends that:</w:t>
      </w:r>
    </w:p>
    <w:p w:rsidR="00B14AD8" w:rsidRPr="0039377E" w:rsidRDefault="00F909AE" w:rsidP="0039377E">
      <w:pPr>
        <w:pStyle w:val="Bullet1G"/>
        <w:numPr>
          <w:ilvl w:val="0"/>
          <w:numId w:val="0"/>
        </w:numPr>
        <w:ind w:left="2835"/>
      </w:pPr>
      <w:r>
        <w:lastRenderedPageBreak/>
        <w:t>(i)</w:t>
      </w:r>
      <w:r>
        <w:tab/>
      </w:r>
      <w:r w:rsidR="00B14AD8" w:rsidRPr="0039377E">
        <w:t xml:space="preserve">The </w:t>
      </w:r>
      <w:r>
        <w:t>Joint Meeting</w:t>
      </w:r>
      <w:r w:rsidRPr="0039377E">
        <w:t xml:space="preserve"> </w:t>
      </w:r>
      <w:r w:rsidR="00B14AD8" w:rsidRPr="0039377E">
        <w:t xml:space="preserve">invite the relevant committee </w:t>
      </w:r>
      <w:r w:rsidR="002253D8">
        <w:t xml:space="preserve">of standardization organizations </w:t>
      </w:r>
      <w:r w:rsidR="00B14AD8" w:rsidRPr="0039377E">
        <w:t>(CEN or ISO</w:t>
      </w:r>
      <w:r>
        <w:t>,</w:t>
      </w:r>
      <w:r w:rsidR="00B14AD8" w:rsidRPr="0039377E">
        <w:t xml:space="preserve"> to be determined) to consider commencing a New Work Item to produce a technical document that would specify the points identified in Proposal 1 based on the text to be found in Proposal 2 of </w:t>
      </w:r>
      <w:r>
        <w:t>informal document INF.9 (Spring 2017 session)</w:t>
      </w:r>
      <w:r w:rsidR="00B14AD8" w:rsidRPr="0039377E">
        <w:t xml:space="preserve">, as a starting point for </w:t>
      </w:r>
      <w:r>
        <w:t>such</w:t>
      </w:r>
      <w:r w:rsidRPr="0039377E">
        <w:t xml:space="preserve"> </w:t>
      </w:r>
      <w:r w:rsidR="00B14AD8" w:rsidRPr="0039377E">
        <w:t>work</w:t>
      </w:r>
      <w:r>
        <w:t>; or</w:t>
      </w:r>
    </w:p>
    <w:p w:rsidR="00B14AD8" w:rsidRPr="0039377E" w:rsidRDefault="00F909AE" w:rsidP="0039377E">
      <w:pPr>
        <w:pStyle w:val="Bullet1G"/>
        <w:numPr>
          <w:ilvl w:val="0"/>
          <w:numId w:val="0"/>
        </w:numPr>
        <w:ind w:left="2835"/>
      </w:pPr>
      <w:r>
        <w:t>(ii)</w:t>
      </w:r>
      <w:r>
        <w:tab/>
        <w:t>T</w:t>
      </w:r>
      <w:r w:rsidR="00B14AD8" w:rsidRPr="0039377E">
        <w:t xml:space="preserve">he </w:t>
      </w:r>
      <w:r>
        <w:t>Joint Meeting</w:t>
      </w:r>
      <w:r w:rsidRPr="0039377E">
        <w:t xml:space="preserve"> </w:t>
      </w:r>
      <w:r w:rsidR="00B14AD8" w:rsidRPr="0039377E">
        <w:t xml:space="preserve">define </w:t>
      </w:r>
      <w:r>
        <w:t>a</w:t>
      </w:r>
      <w:r w:rsidRPr="0039377E">
        <w:t xml:space="preserve"> </w:t>
      </w:r>
      <w:r w:rsidR="00B14AD8" w:rsidRPr="0039377E">
        <w:t>new mandate</w:t>
      </w:r>
    </w:p>
    <w:p w:rsidR="00B14AD8" w:rsidRPr="004F6ED8" w:rsidRDefault="004F6ED8">
      <w:pPr>
        <w:pStyle w:val="H1G"/>
        <w:rPr>
          <w:lang w:val="en-US"/>
        </w:rPr>
      </w:pPr>
      <w:r>
        <w:rPr>
          <w:lang w:val="en-US"/>
        </w:rPr>
        <w:tab/>
      </w:r>
      <w:r w:rsidR="00F909AE" w:rsidRPr="0039377E">
        <w:t>C</w:t>
      </w:r>
      <w:r>
        <w:rPr>
          <w:lang w:val="en-US"/>
        </w:rPr>
        <w:t>.</w:t>
      </w:r>
      <w:r>
        <w:rPr>
          <w:lang w:val="en-US"/>
        </w:rPr>
        <w:tab/>
      </w:r>
      <w:r w:rsidR="00B14AD8" w:rsidRPr="004F6ED8">
        <w:rPr>
          <w:lang w:val="en-US"/>
        </w:rPr>
        <w:t xml:space="preserve">Concerns about Proposal 3 of </w:t>
      </w:r>
      <w:r w:rsidR="00D96850">
        <w:rPr>
          <w:lang w:val="en-US"/>
        </w:rPr>
        <w:t>informal document INF.9 (Spring 2017 session)</w:t>
      </w:r>
    </w:p>
    <w:p w:rsidR="00B14AD8" w:rsidRPr="00C27768" w:rsidRDefault="00CF3A08" w:rsidP="004F6ED8">
      <w:pPr>
        <w:pStyle w:val="SingleTxtG"/>
        <w:rPr>
          <w:lang w:val="en-US"/>
        </w:rPr>
      </w:pPr>
      <w:r>
        <w:rPr>
          <w:lang w:val="en-US"/>
        </w:rPr>
        <w:t>9</w:t>
      </w:r>
      <w:r w:rsidR="00D96850">
        <w:rPr>
          <w:lang w:val="en-US"/>
        </w:rPr>
        <w:t>.</w:t>
      </w:r>
      <w:r w:rsidR="00D96850">
        <w:rPr>
          <w:lang w:val="en-US"/>
        </w:rPr>
        <w:tab/>
      </w:r>
      <w:r w:rsidR="00B14AD8">
        <w:rPr>
          <w:lang w:val="en-US"/>
        </w:rPr>
        <w:t xml:space="preserve">The </w:t>
      </w:r>
      <w:r w:rsidR="00D96850">
        <w:rPr>
          <w:lang w:val="en-US"/>
        </w:rPr>
        <w:t>informal w</w:t>
      </w:r>
      <w:r w:rsidR="00B14AD8">
        <w:rPr>
          <w:lang w:val="en-US"/>
        </w:rPr>
        <w:t xml:space="preserve">orking </w:t>
      </w:r>
      <w:r w:rsidR="00D96850">
        <w:rPr>
          <w:lang w:val="en-US"/>
        </w:rPr>
        <w:t>g</w:t>
      </w:r>
      <w:r w:rsidR="00B14AD8">
        <w:rPr>
          <w:lang w:val="en-US"/>
        </w:rPr>
        <w:t>roup focused on</w:t>
      </w:r>
      <w:r w:rsidR="00B14AD8" w:rsidRPr="00C27768">
        <w:rPr>
          <w:lang w:val="en-US"/>
        </w:rPr>
        <w:t xml:space="preserve"> the specific method developed for the </w:t>
      </w:r>
      <w:r w:rsidR="00D96850">
        <w:rPr>
          <w:lang w:val="en-US"/>
        </w:rPr>
        <w:t>o</w:t>
      </w:r>
      <w:r w:rsidR="00D96850" w:rsidRPr="00C27768">
        <w:rPr>
          <w:lang w:val="en-US"/>
        </w:rPr>
        <w:t>ver</w:t>
      </w:r>
      <w:r w:rsidR="00B14AD8" w:rsidRPr="00C27768">
        <w:rPr>
          <w:lang w:val="en-US"/>
        </w:rPr>
        <w:t>-</w:t>
      </w:r>
      <w:r w:rsidR="00D96850">
        <w:rPr>
          <w:lang w:val="en-US"/>
        </w:rPr>
        <w:t>m</w:t>
      </w:r>
      <w:r w:rsidR="00D96850" w:rsidRPr="00C27768">
        <w:rPr>
          <w:lang w:val="en-US"/>
        </w:rPr>
        <w:t xml:space="preserve">oulded </w:t>
      </w:r>
      <w:r w:rsidR="00D96850">
        <w:rPr>
          <w:lang w:val="en-US"/>
        </w:rPr>
        <w:t>c</w:t>
      </w:r>
      <w:r w:rsidR="00D96850" w:rsidRPr="00C27768">
        <w:rPr>
          <w:lang w:val="en-US"/>
        </w:rPr>
        <w:t>ylinders</w:t>
      </w:r>
      <w:r w:rsidR="00B14AD8" w:rsidRPr="00C27768">
        <w:rPr>
          <w:lang w:val="en-US"/>
        </w:rPr>
        <w:t>, through a dedicated presentation of each step (operations and controls).</w:t>
      </w:r>
    </w:p>
    <w:p w:rsidR="00B14AD8" w:rsidRPr="00C27768" w:rsidRDefault="00CF3A08" w:rsidP="004F6ED8">
      <w:pPr>
        <w:pStyle w:val="SingleTxtG"/>
        <w:rPr>
          <w:lang w:val="en-US"/>
        </w:rPr>
      </w:pPr>
      <w:r>
        <w:rPr>
          <w:lang w:val="en-US"/>
        </w:rPr>
        <w:t>10</w:t>
      </w:r>
      <w:r w:rsidR="00D96850">
        <w:rPr>
          <w:lang w:val="en-US"/>
        </w:rPr>
        <w:t>.</w:t>
      </w:r>
      <w:r w:rsidR="00D96850">
        <w:rPr>
          <w:lang w:val="en-US"/>
        </w:rPr>
        <w:tab/>
      </w:r>
      <w:r w:rsidR="00B14AD8" w:rsidRPr="00C27768">
        <w:rPr>
          <w:lang w:val="en-US"/>
        </w:rPr>
        <w:t xml:space="preserve">Real cases </w:t>
      </w:r>
      <w:r w:rsidR="00D96850">
        <w:rPr>
          <w:lang w:val="en-US"/>
        </w:rPr>
        <w:t>were</w:t>
      </w:r>
      <w:r w:rsidR="00B14AD8" w:rsidRPr="00C27768">
        <w:rPr>
          <w:lang w:val="en-US"/>
        </w:rPr>
        <w:t xml:space="preserve"> presented. Specific </w:t>
      </w:r>
      <w:r w:rsidR="00B14AD8">
        <w:rPr>
          <w:lang w:val="en-US"/>
        </w:rPr>
        <w:t>explanations</w:t>
      </w:r>
      <w:r w:rsidR="00B14AD8" w:rsidRPr="00C27768">
        <w:rPr>
          <w:lang w:val="en-US"/>
        </w:rPr>
        <w:t xml:space="preserve"> </w:t>
      </w:r>
      <w:r w:rsidR="00D96850">
        <w:rPr>
          <w:lang w:val="en-US"/>
        </w:rPr>
        <w:t>were</w:t>
      </w:r>
      <w:r w:rsidR="00B14AD8" w:rsidRPr="00C27768">
        <w:rPr>
          <w:lang w:val="en-US"/>
        </w:rPr>
        <w:t xml:space="preserve"> </w:t>
      </w:r>
      <w:r w:rsidR="00B14AD8">
        <w:rPr>
          <w:lang w:val="en-US"/>
        </w:rPr>
        <w:t>given</w:t>
      </w:r>
      <w:r w:rsidR="00B14AD8" w:rsidRPr="00C27768">
        <w:rPr>
          <w:lang w:val="en-US"/>
        </w:rPr>
        <w:t xml:space="preserve"> on the statistical assessment method of burst pressure results.</w:t>
      </w:r>
      <w:r w:rsidR="00B14AD8">
        <w:rPr>
          <w:lang w:val="en-US"/>
        </w:rPr>
        <w:t xml:space="preserve"> A graphical method</w:t>
      </w:r>
      <w:r w:rsidR="00B14AD8" w:rsidRPr="00C27768">
        <w:rPr>
          <w:lang w:val="en-US"/>
        </w:rPr>
        <w:t xml:space="preserve"> called the “Sample Performance Chart”, which ha</w:t>
      </w:r>
      <w:r w:rsidR="00D96850">
        <w:rPr>
          <w:lang w:val="en-US"/>
        </w:rPr>
        <w:t>d</w:t>
      </w:r>
      <w:r w:rsidR="00B14AD8" w:rsidRPr="00C27768">
        <w:rPr>
          <w:lang w:val="en-US"/>
        </w:rPr>
        <w:t xml:space="preserve"> been developed by an independent expert in Statistics and Pressure Receptacles, </w:t>
      </w:r>
      <w:r w:rsidR="00D96850">
        <w:rPr>
          <w:lang w:val="en-US"/>
        </w:rPr>
        <w:t>was</w:t>
      </w:r>
      <w:r w:rsidR="00B14AD8" w:rsidRPr="00C27768">
        <w:rPr>
          <w:lang w:val="en-US"/>
        </w:rPr>
        <w:t xml:space="preserve"> presented. </w:t>
      </w:r>
      <w:r w:rsidR="00B14AD8">
        <w:rPr>
          <w:lang w:val="en-US"/>
        </w:rPr>
        <w:t xml:space="preserve">This method for burst pressure results </w:t>
      </w:r>
      <w:r w:rsidR="00D96850">
        <w:rPr>
          <w:lang w:val="en-US"/>
        </w:rPr>
        <w:t xml:space="preserve">was </w:t>
      </w:r>
      <w:r w:rsidR="00B14AD8">
        <w:rPr>
          <w:lang w:val="en-US"/>
        </w:rPr>
        <w:t xml:space="preserve">described in Proposal </w:t>
      </w:r>
      <w:r w:rsidR="00D96850">
        <w:rPr>
          <w:lang w:val="en-US"/>
        </w:rPr>
        <w:t>3 of informal document INF.9 and has been updated in proposal 2 of this document</w:t>
      </w:r>
      <w:r w:rsidR="00B14AD8">
        <w:rPr>
          <w:lang w:val="en-US"/>
        </w:rPr>
        <w:t>.</w:t>
      </w:r>
    </w:p>
    <w:p w:rsidR="00B14AD8" w:rsidRPr="00D96850" w:rsidRDefault="00D96850" w:rsidP="0039377E">
      <w:pPr>
        <w:spacing w:after="120"/>
        <w:ind w:left="1134" w:right="1134"/>
        <w:jc w:val="both"/>
        <w:rPr>
          <w:lang w:val="en-US"/>
        </w:rPr>
      </w:pPr>
      <w:r>
        <w:rPr>
          <w:lang w:val="en-US"/>
        </w:rPr>
        <w:t>1</w:t>
      </w:r>
      <w:r w:rsidR="00CF3A08">
        <w:rPr>
          <w:lang w:val="en-US"/>
        </w:rPr>
        <w:t>1</w:t>
      </w:r>
      <w:r>
        <w:rPr>
          <w:lang w:val="en-US"/>
        </w:rPr>
        <w:t>.</w:t>
      </w:r>
      <w:r>
        <w:rPr>
          <w:lang w:val="en-US"/>
        </w:rPr>
        <w:tab/>
        <w:t>In particular, the consistent use of the</w:t>
      </w:r>
      <w:r w:rsidR="00B14AD8" w:rsidRPr="00D96850">
        <w:rPr>
          <w:lang w:val="en-US"/>
        </w:rPr>
        <w:t xml:space="preserve"> wording « peeling and corrosion tests » </w:t>
      </w:r>
      <w:r>
        <w:rPr>
          <w:lang w:val="en-US"/>
        </w:rPr>
        <w:t>(not just “peeling tests”) has been</w:t>
      </w:r>
      <w:r w:rsidR="00B14AD8" w:rsidRPr="00D96850">
        <w:rPr>
          <w:lang w:val="en-US"/>
        </w:rPr>
        <w:t xml:space="preserve"> checked </w:t>
      </w:r>
      <w:r>
        <w:rPr>
          <w:lang w:val="en-US"/>
        </w:rPr>
        <w:t>i</w:t>
      </w:r>
      <w:r w:rsidRPr="00D96850">
        <w:rPr>
          <w:lang w:val="en-US"/>
        </w:rPr>
        <w:t xml:space="preserve">n </w:t>
      </w:r>
      <w:r w:rsidR="00B14AD8" w:rsidRPr="00D96850">
        <w:rPr>
          <w:lang w:val="en-US"/>
        </w:rPr>
        <w:t xml:space="preserve">all paragraphs </w:t>
      </w:r>
    </w:p>
    <w:p w:rsidR="00B14AD8" w:rsidRPr="0039377E" w:rsidRDefault="000072E9" w:rsidP="0039377E">
      <w:pPr>
        <w:spacing w:after="120"/>
        <w:ind w:left="1134" w:right="1134"/>
        <w:jc w:val="both"/>
      </w:pPr>
      <w:r>
        <w:rPr>
          <w:lang w:val="en-US"/>
        </w:rPr>
        <w:t>1</w:t>
      </w:r>
      <w:r w:rsidR="00CF3A08">
        <w:rPr>
          <w:lang w:val="en-US"/>
        </w:rPr>
        <w:t>2</w:t>
      </w:r>
      <w:r>
        <w:rPr>
          <w:lang w:val="en-US"/>
        </w:rPr>
        <w:t>.</w:t>
      </w:r>
      <w:r>
        <w:rPr>
          <w:lang w:val="en-US"/>
        </w:rPr>
        <w:tab/>
        <w:t>Regarding the question</w:t>
      </w:r>
      <w:r w:rsidR="000B4293">
        <w:rPr>
          <w:lang w:val="en-US"/>
        </w:rPr>
        <w:t xml:space="preserve"> </w:t>
      </w:r>
      <w:r w:rsidR="00B14AD8" w:rsidRPr="000072E9">
        <w:rPr>
          <w:lang w:val="en-US"/>
        </w:rPr>
        <w:t>why volumetric expansion ha</w:t>
      </w:r>
      <w:r>
        <w:rPr>
          <w:lang w:val="en-US"/>
        </w:rPr>
        <w:t>d</w:t>
      </w:r>
      <w:r w:rsidR="00B14AD8" w:rsidRPr="000072E9">
        <w:rPr>
          <w:lang w:val="en-US"/>
        </w:rPr>
        <w:t xml:space="preserve"> not been selected as one of the criteria (compare to burst pressure)</w:t>
      </w:r>
      <w:r>
        <w:rPr>
          <w:lang w:val="en-US"/>
        </w:rPr>
        <w:t>, it should be noted that, from</w:t>
      </w:r>
      <w:r w:rsidR="00B14AD8" w:rsidRPr="0039377E">
        <w:t>experience, no clear interaction between Volumetric expansion and Burst Pressure has been demonstrated. Moreover, due to experience, critical results in Volumetric Expansion were already noted from critical results in Burst Pressure. So Burst Pressure has been kept as a criteri</w:t>
      </w:r>
      <w:r>
        <w:t>on</w:t>
      </w:r>
      <w:r w:rsidR="00B14AD8" w:rsidRPr="0039377E">
        <w:t xml:space="preserve"> for statistical assessment of OMC (but volumetric expansion could be relevant to other designs)</w:t>
      </w:r>
    </w:p>
    <w:p w:rsidR="00B14AD8" w:rsidRDefault="000072E9" w:rsidP="0039377E">
      <w:pPr>
        <w:spacing w:after="120"/>
        <w:ind w:left="1134" w:right="1134"/>
        <w:jc w:val="both"/>
      </w:pPr>
      <w:r>
        <w:rPr>
          <w:lang w:val="en-US"/>
        </w:rPr>
        <w:t>1</w:t>
      </w:r>
      <w:r w:rsidR="00C30677">
        <w:rPr>
          <w:lang w:val="en-US"/>
        </w:rPr>
        <w:t>3</w:t>
      </w:r>
      <w:r>
        <w:rPr>
          <w:lang w:val="en-US"/>
        </w:rPr>
        <w:t>.</w:t>
      </w:r>
      <w:r>
        <w:rPr>
          <w:lang w:val="en-US"/>
        </w:rPr>
        <w:tab/>
        <w:t>For the request for explanation</w:t>
      </w:r>
      <w:r w:rsidR="00B14AD8" w:rsidRPr="000072E9">
        <w:rPr>
          <w:lang w:val="en-US"/>
        </w:rPr>
        <w:t xml:space="preserve"> when there are outliers on normal distribution</w:t>
      </w:r>
      <w:r>
        <w:rPr>
          <w:lang w:val="en-US"/>
        </w:rPr>
        <w:t>, reference is made to</w:t>
      </w:r>
      <w:r w:rsidR="000B4293">
        <w:rPr>
          <w:lang w:val="en-US"/>
        </w:rPr>
        <w:t xml:space="preserve"> </w:t>
      </w:r>
      <w:r w:rsidR="00B14AD8" w:rsidRPr="0039377E">
        <w:rPr>
          <w:lang w:val="en-US"/>
        </w:rPr>
        <w:t xml:space="preserve">Proposal 3 </w:t>
      </w:r>
      <w:r>
        <w:rPr>
          <w:lang w:val="en-US"/>
        </w:rPr>
        <w:t>in informal document INF.9,</w:t>
      </w:r>
      <w:r w:rsidR="00FA55C9">
        <w:rPr>
          <w:lang w:val="en-US"/>
        </w:rPr>
        <w:t xml:space="preserve"> </w:t>
      </w:r>
      <w:r>
        <w:rPr>
          <w:lang w:val="en-US"/>
        </w:rPr>
        <w:t>p</w:t>
      </w:r>
      <w:r w:rsidR="00B14AD8" w:rsidRPr="0039377E">
        <w:rPr>
          <w:lang w:val="en-US"/>
        </w:rPr>
        <w:t>aragraph (g)</w:t>
      </w:r>
      <w:r>
        <w:rPr>
          <w:lang w:val="en-US"/>
        </w:rPr>
        <w:t>, where step 1</w:t>
      </w:r>
      <w:r w:rsidR="000173A7">
        <w:rPr>
          <w:lang w:val="en-US"/>
        </w:rPr>
        <w:t xml:space="preserve">, </w:t>
      </w:r>
      <w:r w:rsidR="00B14AD8" w:rsidRPr="0039377E">
        <w:t>Determination of Character of distribution</w:t>
      </w:r>
      <w:r w:rsidR="00C30677">
        <w:t>,</w:t>
      </w:r>
      <w:r w:rsidR="00B14AD8" w:rsidRPr="0039377E">
        <w:t xml:space="preserve"> deals with outliers and select the right distribution to be used.</w:t>
      </w:r>
    </w:p>
    <w:p w:rsidR="000072E9" w:rsidRDefault="000072E9" w:rsidP="000072E9">
      <w:pPr>
        <w:pStyle w:val="HChG"/>
      </w:pPr>
      <w:r w:rsidRPr="008B08AE">
        <w:tab/>
      </w:r>
      <w:r>
        <w:t>II</w:t>
      </w:r>
      <w:r w:rsidRPr="008B08AE">
        <w:t>.</w:t>
      </w:r>
      <w:r w:rsidRPr="008B08AE">
        <w:tab/>
      </w:r>
      <w:r>
        <w:t>Proposals</w:t>
      </w:r>
    </w:p>
    <w:p w:rsidR="0039377E" w:rsidRDefault="004F6ED8">
      <w:pPr>
        <w:pStyle w:val="H1G"/>
        <w:rPr>
          <w:lang w:val="en-US"/>
        </w:rPr>
      </w:pPr>
      <w:r>
        <w:rPr>
          <w:lang w:val="en-US"/>
        </w:rPr>
        <w:tab/>
      </w:r>
      <w:r>
        <w:rPr>
          <w:lang w:val="en-US"/>
        </w:rPr>
        <w:tab/>
      </w:r>
      <w:r w:rsidR="00B14AD8" w:rsidRPr="001834C3">
        <w:rPr>
          <w:lang w:val="en-US"/>
        </w:rPr>
        <w:t xml:space="preserve">Proposal 1 - General provisions </w:t>
      </w:r>
      <w:r w:rsidR="000072E9">
        <w:rPr>
          <w:lang w:val="en-US"/>
        </w:rPr>
        <w:tab/>
      </w:r>
    </w:p>
    <w:p w:rsidR="00B14AD8" w:rsidRPr="001834C3" w:rsidRDefault="000072E9" w:rsidP="0039377E">
      <w:pPr>
        <w:spacing w:after="120"/>
        <w:ind w:left="1134" w:right="1134"/>
        <w:jc w:val="both"/>
        <w:rPr>
          <w:lang w:val="en-US"/>
        </w:rPr>
      </w:pPr>
      <w:r>
        <w:rPr>
          <w:lang w:val="en-US"/>
        </w:rPr>
        <w:t>1</w:t>
      </w:r>
      <w:r w:rsidR="00C30677">
        <w:rPr>
          <w:lang w:val="en-US"/>
        </w:rPr>
        <w:t>4</w:t>
      </w:r>
      <w:r>
        <w:rPr>
          <w:lang w:val="en-US"/>
        </w:rPr>
        <w:t>.</w:t>
      </w:r>
      <w:r>
        <w:rPr>
          <w:lang w:val="en-US"/>
        </w:rPr>
        <w:tab/>
        <w:t>Add</w:t>
      </w:r>
      <w:r w:rsidR="00B14AD8" w:rsidRPr="001834C3">
        <w:rPr>
          <w:lang w:val="en-US"/>
        </w:rPr>
        <w:t xml:space="preserve"> a new 6.2.3.5.3 to read as follows:</w:t>
      </w:r>
    </w:p>
    <w:p w:rsidR="00B14AD8" w:rsidRPr="003D4D66" w:rsidRDefault="00B14AD8" w:rsidP="004F6ED8">
      <w:pPr>
        <w:pStyle w:val="SingleTxtG"/>
        <w:rPr>
          <w:lang w:val="en-US"/>
        </w:rPr>
      </w:pPr>
      <w:r w:rsidRPr="003D4D66">
        <w:rPr>
          <w:lang w:val="en-US"/>
        </w:rPr>
        <w:t>“6.2.3.5.3</w:t>
      </w:r>
      <w:r w:rsidRPr="003D4D66">
        <w:rPr>
          <w:lang w:val="en-US"/>
        </w:rPr>
        <w:tab/>
        <w:t>General provisions for the substitution of dedicated check(s) for periodic inspection required</w:t>
      </w:r>
      <w:r w:rsidRPr="003D4D66">
        <w:rPr>
          <w:spacing w:val="6"/>
          <w:lang w:val="en-US"/>
        </w:rPr>
        <w:t xml:space="preserve"> </w:t>
      </w:r>
      <w:r w:rsidRPr="003D4D66">
        <w:rPr>
          <w:lang w:val="en-US"/>
        </w:rPr>
        <w:t>in 6.2.3.5.1</w:t>
      </w:r>
    </w:p>
    <w:p w:rsidR="00B14AD8" w:rsidRPr="003D4D66" w:rsidRDefault="00B14AD8" w:rsidP="004F6ED8">
      <w:pPr>
        <w:pStyle w:val="SingleTxtG"/>
        <w:rPr>
          <w:i/>
          <w:lang w:val="en-US"/>
        </w:rPr>
      </w:pPr>
      <w:r w:rsidRPr="003D4D66">
        <w:rPr>
          <w:lang w:val="en-US"/>
        </w:rPr>
        <w:t>This subsection only applies to types of pressure receptacles designed and manufactured in accordance with the standards referred to in 6.2.4.1 or a technical code in accordance with 6.2.5, and for which the inherent properties of the design prevent the checks (b) and/or (d) for periodic inspections required in 6.2.1.6.1 to be applied or the results to be interpreted.</w:t>
      </w:r>
    </w:p>
    <w:p w:rsidR="00B14AD8" w:rsidRPr="003D4D66" w:rsidRDefault="00B14AD8" w:rsidP="004F6ED8">
      <w:pPr>
        <w:pStyle w:val="SingleTxtG"/>
        <w:rPr>
          <w:lang w:val="en-US"/>
        </w:rPr>
      </w:pPr>
      <w:r w:rsidRPr="003D4D66">
        <w:rPr>
          <w:lang w:val="en-US"/>
        </w:rPr>
        <w:t>For such pressure receptacles, these check(s) shall be replaced by alternative method(s)</w:t>
      </w:r>
      <w:r w:rsidR="00C30677">
        <w:rPr>
          <w:lang w:val="en-US"/>
        </w:rPr>
        <w:t xml:space="preserve"> related to specific</w:t>
      </w:r>
      <w:r w:rsidR="000B4293">
        <w:rPr>
          <w:lang w:val="en-US"/>
        </w:rPr>
        <w:t xml:space="preserve"> </w:t>
      </w:r>
      <w:r w:rsidRPr="003D4D66">
        <w:rPr>
          <w:lang w:val="en-US"/>
        </w:rPr>
        <w:t xml:space="preserve">types of design </w:t>
      </w:r>
      <w:r w:rsidR="000B4293">
        <w:rPr>
          <w:lang w:val="en-US"/>
        </w:rPr>
        <w:t>as specified in p</w:t>
      </w:r>
      <w:r w:rsidRPr="003D4D66">
        <w:rPr>
          <w:lang w:val="en-US"/>
        </w:rPr>
        <w:t>aragraph</w:t>
      </w:r>
      <w:r w:rsidR="00C30677">
        <w:rPr>
          <w:lang w:val="en-US"/>
        </w:rPr>
        <w:t>s</w:t>
      </w:r>
      <w:r w:rsidRPr="003D4D66">
        <w:rPr>
          <w:lang w:val="en-US"/>
        </w:rPr>
        <w:t xml:space="preserve"> 6.2.3</w:t>
      </w:r>
      <w:r w:rsidR="00C30677">
        <w:rPr>
          <w:lang w:val="en-US"/>
        </w:rPr>
        <w:t>.X.Y</w:t>
      </w:r>
      <w:r w:rsidR="000B4293">
        <w:rPr>
          <w:lang w:val="en-US"/>
        </w:rPr>
        <w:t>,</w:t>
      </w:r>
      <w:r w:rsidR="00C30677">
        <w:rPr>
          <w:lang w:val="en-US"/>
        </w:rPr>
        <w:t xml:space="preserve"> </w:t>
      </w:r>
      <w:r w:rsidR="00FA3495" w:rsidRPr="00D30EFA">
        <w:rPr>
          <w:lang w:val="en-US"/>
        </w:rPr>
        <w:t>and detailed</w:t>
      </w:r>
      <w:r w:rsidR="00FA3495">
        <w:rPr>
          <w:lang w:val="en-US"/>
        </w:rPr>
        <w:t xml:space="preserve"> </w:t>
      </w:r>
      <w:r w:rsidR="00C30677">
        <w:rPr>
          <w:lang w:val="en-US"/>
        </w:rPr>
        <w:t>in</w:t>
      </w:r>
      <w:r w:rsidR="000B4293">
        <w:rPr>
          <w:lang w:val="en-US"/>
        </w:rPr>
        <w:t xml:space="preserve"> </w:t>
      </w:r>
      <w:r w:rsidRPr="003D4D66">
        <w:rPr>
          <w:lang w:val="en-US"/>
        </w:rPr>
        <w:t xml:space="preserve">a special provision </w:t>
      </w:r>
      <w:r w:rsidR="00C30677">
        <w:rPr>
          <w:lang w:val="en-US"/>
        </w:rPr>
        <w:t xml:space="preserve">XYZ </w:t>
      </w:r>
      <w:r w:rsidR="00FA55C9">
        <w:rPr>
          <w:lang w:val="en-US"/>
        </w:rPr>
        <w:t>or</w:t>
      </w:r>
      <w:r w:rsidRPr="003D4D66">
        <w:rPr>
          <w:lang w:val="en-US"/>
        </w:rPr>
        <w:t xml:space="preserve"> a standard</w:t>
      </w:r>
      <w:r w:rsidR="000B4293">
        <w:rPr>
          <w:lang w:val="en-US"/>
        </w:rPr>
        <w:t xml:space="preserve"> referenced in WWW.</w:t>
      </w:r>
      <w:r w:rsidRPr="003D4D66">
        <w:rPr>
          <w:lang w:val="en-US"/>
        </w:rPr>
        <w:t xml:space="preserve"> </w:t>
      </w:r>
    </w:p>
    <w:p w:rsidR="00B14AD8" w:rsidRPr="003D4D66" w:rsidRDefault="00B14AD8" w:rsidP="004F6ED8">
      <w:pPr>
        <w:pStyle w:val="SingleTxtG"/>
        <w:rPr>
          <w:lang w:val="en-US"/>
        </w:rPr>
      </w:pPr>
      <w:r w:rsidRPr="003D4D66">
        <w:rPr>
          <w:lang w:val="en-US"/>
        </w:rPr>
        <w:t>The alternative method(s) shall document which check(s) for periodic inspection according to 6.2.1.6.1 (b) and/or (d) is/are to be substituted.</w:t>
      </w:r>
    </w:p>
    <w:p w:rsidR="00B14AD8" w:rsidRPr="003D4D66" w:rsidRDefault="00B14AD8" w:rsidP="004F6ED8">
      <w:pPr>
        <w:pStyle w:val="SingleTxtG"/>
        <w:rPr>
          <w:lang w:val="en-US"/>
        </w:rPr>
      </w:pPr>
      <w:r w:rsidRPr="003D4D66">
        <w:rPr>
          <w:lang w:val="en-US"/>
        </w:rPr>
        <w:lastRenderedPageBreak/>
        <w:t>The alternative method(s) in combination with the remaining checks according to 6.2.1.6.1 (a) to (e) shall ensure a level of safety at least equivalent to the safety level for pressure receptacles of a similar size and use which are periodically inspected in full compliance with 6.2.3.5.1.</w:t>
      </w:r>
    </w:p>
    <w:p w:rsidR="00B14AD8" w:rsidRPr="003D4D66" w:rsidRDefault="00B14AD8" w:rsidP="004F6ED8">
      <w:pPr>
        <w:pStyle w:val="SingleTxtG"/>
      </w:pPr>
      <w:r w:rsidRPr="003D4D66">
        <w:t>The alternative method(s) shall moreover document all the following elements:</w:t>
      </w:r>
    </w:p>
    <w:p w:rsidR="00B14AD8" w:rsidRPr="003D4D66" w:rsidRDefault="00B14AD8" w:rsidP="004F6ED8">
      <w:pPr>
        <w:pStyle w:val="Bullet1G"/>
      </w:pPr>
      <w:r w:rsidRPr="003D4D66">
        <w:t>A description of the relevant types of pressure receptacles;</w:t>
      </w:r>
    </w:p>
    <w:p w:rsidR="00B14AD8" w:rsidRPr="003D4D66" w:rsidRDefault="00B14AD8" w:rsidP="004F6ED8">
      <w:pPr>
        <w:pStyle w:val="Bullet1G"/>
      </w:pPr>
      <w:r w:rsidRPr="003D4D66">
        <w:t>The procedure for the test(s);</w:t>
      </w:r>
    </w:p>
    <w:p w:rsidR="00B14AD8" w:rsidRPr="003D4D66" w:rsidRDefault="00B14AD8" w:rsidP="004F6ED8">
      <w:pPr>
        <w:pStyle w:val="Bullet1G"/>
      </w:pPr>
      <w:r w:rsidRPr="003D4D66">
        <w:t xml:space="preserve">A specification of the acceptance criteria; </w:t>
      </w:r>
    </w:p>
    <w:p w:rsidR="00B14AD8" w:rsidRPr="003D4D66" w:rsidRDefault="00B14AD8" w:rsidP="004F6ED8">
      <w:pPr>
        <w:pStyle w:val="Bullet1G"/>
      </w:pPr>
      <w:r w:rsidRPr="003D4D66">
        <w:t>A description of the measures to be taken with rejected pressure receptacles.</w:t>
      </w:r>
    </w:p>
    <w:p w:rsidR="00B14AD8" w:rsidRPr="003D4D66" w:rsidRDefault="00B14AD8" w:rsidP="004F6ED8">
      <w:pPr>
        <w:pStyle w:val="SingleTxtG"/>
        <w:rPr>
          <w:lang w:val="en-US"/>
        </w:rPr>
      </w:pPr>
      <w:r w:rsidRPr="003D4D66">
        <w:rPr>
          <w:lang w:val="en-US"/>
        </w:rPr>
        <w:t>6.2.3.5.3.1</w:t>
      </w:r>
      <w:r w:rsidRPr="003D4D66">
        <w:rPr>
          <w:lang w:val="en-US"/>
        </w:rPr>
        <w:tab/>
        <w:t>Non-destructive testing as an alternative method</w:t>
      </w:r>
    </w:p>
    <w:p w:rsidR="00B14AD8" w:rsidRPr="003D4D66" w:rsidRDefault="00B14AD8" w:rsidP="004F6ED8">
      <w:pPr>
        <w:pStyle w:val="SingleTxtG"/>
        <w:rPr>
          <w:lang w:val="en-US"/>
        </w:rPr>
      </w:pPr>
      <w:r w:rsidRPr="003D4D66">
        <w:rPr>
          <w:lang w:val="en-US"/>
        </w:rPr>
        <w:t>The check(s) identified in 6.2.3.5.3 shall be supplemented and/or replaced by one (or more) non-destructive test method(s) to be performed on each individual pressure receptacle.</w:t>
      </w:r>
    </w:p>
    <w:p w:rsidR="00B14AD8" w:rsidRPr="003D4D66" w:rsidRDefault="00B14AD8" w:rsidP="004F6ED8">
      <w:pPr>
        <w:pStyle w:val="SingleTxtG"/>
        <w:rPr>
          <w:lang w:val="en-US"/>
        </w:rPr>
      </w:pPr>
      <w:r w:rsidRPr="003D4D66">
        <w:rPr>
          <w:lang w:val="en-US"/>
        </w:rPr>
        <w:t>6.2.3.5.3.2</w:t>
      </w:r>
      <w:r w:rsidRPr="003D4D66">
        <w:rPr>
          <w:lang w:val="en-US"/>
        </w:rPr>
        <w:tab/>
        <w:t>Destructive testing as an alternative</w:t>
      </w:r>
      <w:r w:rsidRPr="003D4D66">
        <w:rPr>
          <w:spacing w:val="-7"/>
          <w:lang w:val="en-US"/>
        </w:rPr>
        <w:t xml:space="preserve"> </w:t>
      </w:r>
      <w:r w:rsidRPr="003D4D66">
        <w:rPr>
          <w:lang w:val="en-US"/>
        </w:rPr>
        <w:t>method</w:t>
      </w:r>
    </w:p>
    <w:p w:rsidR="00B14AD8" w:rsidRPr="003D4D66" w:rsidRDefault="00B14AD8" w:rsidP="004F6ED8">
      <w:pPr>
        <w:pStyle w:val="SingleTxtG"/>
        <w:rPr>
          <w:lang w:val="en-US"/>
        </w:rPr>
      </w:pPr>
      <w:r w:rsidRPr="003D4D66">
        <w:rPr>
          <w:lang w:val="en-US"/>
        </w:rPr>
        <w:t>If no non-destructive test method leads to an equivalent level of safety, the check(s) identified in 6.2.3.5.3 shall be supplemented and/or replaced by one (or more) destructive test method(s) in combination with its statistical evaluation.</w:t>
      </w:r>
    </w:p>
    <w:p w:rsidR="00B14AD8" w:rsidRPr="003D4D66" w:rsidRDefault="00B14AD8" w:rsidP="004F6ED8">
      <w:pPr>
        <w:pStyle w:val="SingleTxtG"/>
      </w:pPr>
      <w:r w:rsidRPr="003D4D66">
        <w:rPr>
          <w:lang w:val="en-US"/>
        </w:rPr>
        <w:t>In addition to the elements described in 6.2.3.5.3, t</w:t>
      </w:r>
      <w:r w:rsidRPr="003D4D66">
        <w:t>he detailed method for destructive testing shall document the following elements:</w:t>
      </w:r>
    </w:p>
    <w:p w:rsidR="00B14AD8" w:rsidRPr="003D4D66" w:rsidRDefault="00B14AD8" w:rsidP="004F6ED8">
      <w:pPr>
        <w:pStyle w:val="Bullet1G"/>
      </w:pPr>
      <w:r w:rsidRPr="003D4D66">
        <w:rPr>
          <w:lang w:val="en-US"/>
        </w:rPr>
        <w:t>A</w:t>
      </w:r>
      <w:r w:rsidRPr="003D4D66">
        <w:t xml:space="preserve"> description of the relevant population of pressure receptacles;</w:t>
      </w:r>
    </w:p>
    <w:p w:rsidR="00B14AD8" w:rsidRPr="003D4D66" w:rsidRDefault="00B14AD8" w:rsidP="004F6ED8">
      <w:pPr>
        <w:pStyle w:val="Bullet1G"/>
      </w:pPr>
      <w:r w:rsidRPr="003D4D66">
        <w:t>A procedure for the random sampling of individual pressure receptacles to be tested;</w:t>
      </w:r>
    </w:p>
    <w:p w:rsidR="00B14AD8" w:rsidRPr="003D4D66" w:rsidRDefault="00B14AD8" w:rsidP="004F6ED8">
      <w:pPr>
        <w:pStyle w:val="Bullet1G"/>
      </w:pPr>
      <w:r w:rsidRPr="003D4D66">
        <w:t xml:space="preserve">A procedure for the statistical evaluation of the test results; </w:t>
      </w:r>
    </w:p>
    <w:p w:rsidR="00B14AD8" w:rsidRPr="003D4D66" w:rsidRDefault="00B14AD8" w:rsidP="004F6ED8">
      <w:pPr>
        <w:pStyle w:val="Bullet1G"/>
      </w:pPr>
      <w:r w:rsidRPr="003D4D66">
        <w:t xml:space="preserve">A specification for the periodicity of destructive sample tests; </w:t>
      </w:r>
    </w:p>
    <w:p w:rsidR="00B14AD8" w:rsidRPr="003D4D66" w:rsidRDefault="00B14AD8" w:rsidP="004F6ED8">
      <w:pPr>
        <w:pStyle w:val="Bullet1G"/>
      </w:pPr>
      <w:r w:rsidRPr="003D4D66">
        <w:t>A description of the measures to be taken if acceptance criteria are met but a safety relevant degradation of material properties is observed (which could predict an end of service life);</w:t>
      </w:r>
    </w:p>
    <w:p w:rsidR="00B14AD8" w:rsidRPr="003D4D66" w:rsidRDefault="00B14AD8" w:rsidP="004F6ED8">
      <w:pPr>
        <w:pStyle w:val="Bullet1G"/>
      </w:pPr>
      <w:r w:rsidRPr="003D4D66">
        <w:t>A s</w:t>
      </w:r>
      <w:r w:rsidRPr="003D4D66">
        <w:rPr>
          <w:lang w:val="en-US"/>
        </w:rPr>
        <w:t>tatistical assessment of the level of safety achieved by the alternative method.</w:t>
      </w:r>
      <w:r w:rsidR="000072E9">
        <w:rPr>
          <w:lang w:val="en-US"/>
        </w:rPr>
        <w:t>”.</w:t>
      </w:r>
    </w:p>
    <w:p w:rsidR="00B14AD8" w:rsidRPr="001834C3" w:rsidRDefault="004F6ED8">
      <w:pPr>
        <w:pStyle w:val="H1G"/>
        <w:rPr>
          <w:lang w:val="en-US"/>
        </w:rPr>
      </w:pPr>
      <w:r>
        <w:rPr>
          <w:lang w:val="en-US"/>
        </w:rPr>
        <w:tab/>
      </w:r>
      <w:r>
        <w:rPr>
          <w:lang w:val="en-US"/>
        </w:rPr>
        <w:tab/>
      </w:r>
      <w:r w:rsidR="00B14AD8" w:rsidRPr="001834C3">
        <w:rPr>
          <w:lang w:val="en-US"/>
        </w:rPr>
        <w:t>Proposal 2 – Alternative Method of Periodic Inspection dedicated to Over-Moulded Cylinders</w:t>
      </w:r>
    </w:p>
    <w:p w:rsidR="00B14AD8" w:rsidRPr="00B8339B" w:rsidRDefault="000072E9" w:rsidP="0039377E">
      <w:pPr>
        <w:widowControl w:val="0"/>
        <w:suppressAutoHyphens w:val="0"/>
        <w:spacing w:before="247" w:line="240" w:lineRule="auto"/>
        <w:ind w:left="1134"/>
        <w:jc w:val="both"/>
      </w:pPr>
      <w:r>
        <w:t>1</w:t>
      </w:r>
      <w:r w:rsidR="00C30677">
        <w:t>5</w:t>
      </w:r>
      <w:r>
        <w:t>.</w:t>
      </w:r>
      <w:r>
        <w:tab/>
      </w:r>
      <w:r w:rsidR="00B14AD8" w:rsidRPr="00B8339B">
        <w:t>Add the following definition in</w:t>
      </w:r>
      <w:r w:rsidR="00B14AD8" w:rsidRPr="000072E9">
        <w:rPr>
          <w:spacing w:val="-18"/>
        </w:rPr>
        <w:t xml:space="preserve"> </w:t>
      </w:r>
      <w:r w:rsidR="00B14AD8" w:rsidRPr="00B8339B">
        <w:t>1.2.1:</w:t>
      </w:r>
    </w:p>
    <w:p w:rsidR="00B14AD8" w:rsidRDefault="00B14AD8" w:rsidP="0039377E">
      <w:pPr>
        <w:pStyle w:val="SingleTxtG"/>
        <w:spacing w:before="120"/>
      </w:pPr>
      <w:r w:rsidRPr="00B8339B">
        <w:t>“</w:t>
      </w:r>
      <w:r w:rsidRPr="00B8339B">
        <w:rPr>
          <w:i/>
        </w:rPr>
        <w:t xml:space="preserve">Over-moulded cylinder </w:t>
      </w:r>
      <w:r w:rsidRPr="00B8339B">
        <w:t xml:space="preserve">means a cylinder intended for the carriage of LPG </w:t>
      </w:r>
      <w:r>
        <w:t>with</w:t>
      </w:r>
      <w:r w:rsidRPr="00B8339B">
        <w:t xml:space="preserve"> a water capacity not exceeding 13 litres made of a </w:t>
      </w:r>
      <w:r w:rsidRPr="00922A9D">
        <w:t xml:space="preserve">coated </w:t>
      </w:r>
      <w:r w:rsidRPr="00740224">
        <w:rPr>
          <w:lang w:val="en-US"/>
        </w:rPr>
        <w:t>welded</w:t>
      </w:r>
      <w:r w:rsidRPr="00922A9D">
        <w:rPr>
          <w:lang w:val="en-US"/>
        </w:rPr>
        <w:t xml:space="preserve"> </w:t>
      </w:r>
      <w:r w:rsidRPr="00922A9D">
        <w:t>steel</w:t>
      </w:r>
      <w:r w:rsidRPr="00B8339B">
        <w:t xml:space="preserve"> inner cylinder with an over-moulded protective case made from cellular plastic, which is non</w:t>
      </w:r>
      <w:r>
        <w:t>-</w:t>
      </w:r>
      <w:r w:rsidRPr="00B8339B">
        <w:t>removable and bonded to the outer surface of the steel cylinder</w:t>
      </w:r>
      <w:r w:rsidRPr="00B8339B">
        <w:rPr>
          <w:spacing w:val="-25"/>
        </w:rPr>
        <w:t xml:space="preserve"> </w:t>
      </w:r>
      <w:r w:rsidRPr="00B8339B">
        <w:t>wall”.</w:t>
      </w:r>
    </w:p>
    <w:p w:rsidR="00B14AD8" w:rsidRDefault="00C30677" w:rsidP="0039377E">
      <w:pPr>
        <w:widowControl w:val="0"/>
        <w:suppressAutoHyphens w:val="0"/>
        <w:spacing w:before="120" w:after="120" w:line="240" w:lineRule="auto"/>
        <w:ind w:left="1134"/>
        <w:jc w:val="both"/>
      </w:pPr>
      <w:r>
        <w:t>16</w:t>
      </w:r>
      <w:r w:rsidR="000072E9">
        <w:t>.</w:t>
      </w:r>
      <w:r w:rsidR="000072E9">
        <w:tab/>
      </w:r>
      <w:r w:rsidR="00B14AD8" w:rsidRPr="00B8339B">
        <w:t>Insert “6XY” in column (6) of the Dangerous Goods list for the entries for UN numbers 1011, 1075, 1965, 1969 and</w:t>
      </w:r>
      <w:r w:rsidR="00B14AD8" w:rsidRPr="00B8339B">
        <w:rPr>
          <w:spacing w:val="-16"/>
        </w:rPr>
        <w:t xml:space="preserve"> </w:t>
      </w:r>
      <w:r w:rsidR="00B14AD8" w:rsidRPr="00B8339B">
        <w:t>1978.</w:t>
      </w:r>
    </w:p>
    <w:p w:rsidR="00B14AD8" w:rsidRPr="000072E9" w:rsidRDefault="000072E9" w:rsidP="0039377E">
      <w:pPr>
        <w:pStyle w:val="SingleTxtG"/>
        <w:spacing w:before="120"/>
      </w:pPr>
      <w:r>
        <w:t>1</w:t>
      </w:r>
      <w:r w:rsidR="00C30677">
        <w:t>7</w:t>
      </w:r>
      <w:r w:rsidR="004F6ED8" w:rsidRPr="000072E9">
        <w:t>.</w:t>
      </w:r>
      <w:r w:rsidR="004F6ED8" w:rsidRPr="000072E9">
        <w:tab/>
      </w:r>
      <w:r w:rsidR="00B14AD8" w:rsidRPr="000072E9">
        <w:t>Add the following specification about periodic inspection for over-moulded cylinders in a new sub-section 6.2.3.5.4 to read as</w:t>
      </w:r>
      <w:r w:rsidR="00B14AD8" w:rsidRPr="0039377E">
        <w:t xml:space="preserve"> </w:t>
      </w:r>
      <w:r w:rsidR="00B14AD8" w:rsidRPr="000072E9">
        <w:t>follows:</w:t>
      </w:r>
    </w:p>
    <w:p w:rsidR="00B14AD8" w:rsidRPr="000072E9" w:rsidRDefault="00B14AD8" w:rsidP="0039377E">
      <w:pPr>
        <w:pStyle w:val="SingleTxtG"/>
        <w:spacing w:before="120"/>
      </w:pPr>
      <w:r w:rsidRPr="000072E9">
        <w:t>“6.2.3.5.4 Over-moulded cylinders shall be subject to periodic inspection and tests in accordance with special provision 6XY of Chapter 3.3”.</w:t>
      </w:r>
    </w:p>
    <w:p w:rsidR="00B14AD8" w:rsidRPr="00B8339B" w:rsidRDefault="000072E9" w:rsidP="004F6ED8">
      <w:pPr>
        <w:pStyle w:val="SingleTxtG"/>
      </w:pPr>
      <w:r>
        <w:t>1</w:t>
      </w:r>
      <w:r w:rsidR="00C30677">
        <w:t>8</w:t>
      </w:r>
      <w:r w:rsidR="004F6ED8">
        <w:t>.</w:t>
      </w:r>
      <w:r w:rsidR="004F6ED8">
        <w:tab/>
      </w:r>
      <w:r w:rsidR="00B14AD8" w:rsidRPr="00B8339B">
        <w:t>Insert the following special provision in</w:t>
      </w:r>
      <w:r w:rsidR="00B14AD8" w:rsidRPr="00B8339B">
        <w:rPr>
          <w:spacing w:val="-18"/>
        </w:rPr>
        <w:t xml:space="preserve"> </w:t>
      </w:r>
      <w:r w:rsidR="00B14AD8" w:rsidRPr="00B8339B">
        <w:t>3.3.1:</w:t>
      </w:r>
    </w:p>
    <w:p w:rsidR="00B14AD8" w:rsidRDefault="00B14AD8" w:rsidP="004F6ED8">
      <w:pPr>
        <w:pStyle w:val="SingleTxtG"/>
      </w:pPr>
      <w:r w:rsidRPr="00B8339B">
        <w:lastRenderedPageBreak/>
        <w:t xml:space="preserve">“6XY This </w:t>
      </w:r>
      <w:r w:rsidR="000072E9">
        <w:t>special provision</w:t>
      </w:r>
      <w:r w:rsidR="000072E9" w:rsidRPr="00B8339B">
        <w:t xml:space="preserve"> </w:t>
      </w:r>
      <w:r w:rsidRPr="00B8339B">
        <w:t>applies to periodic inspection of over-moulded cylinders as defined in 1.2.1.</w:t>
      </w:r>
    </w:p>
    <w:p w:rsidR="00B14AD8" w:rsidRDefault="00B14AD8" w:rsidP="004F6ED8">
      <w:pPr>
        <w:pStyle w:val="SingleTxtG"/>
      </w:pPr>
      <w:r w:rsidRPr="00B8339B">
        <w:t xml:space="preserve">Over-moulded cylinders shall be subject to periodic inspection in accordance with </w:t>
      </w:r>
      <w:r>
        <w:t>6.2.1.6.1, adapted by the following alternative method:</w:t>
      </w:r>
    </w:p>
    <w:p w:rsidR="00B14AD8" w:rsidRDefault="00B14AD8" w:rsidP="004F6ED8">
      <w:pPr>
        <w:pStyle w:val="Bullet1G"/>
      </w:pPr>
      <w:r>
        <w:t>Substitute check 6.2.1.6.1 d) by alternative destructive tests.</w:t>
      </w:r>
    </w:p>
    <w:p w:rsidR="00B14AD8" w:rsidRDefault="00B14AD8" w:rsidP="004F6ED8">
      <w:pPr>
        <w:pStyle w:val="Bullet1G"/>
      </w:pPr>
      <w:r>
        <w:t>Perform specific additional destructive tests related to the design</w:t>
      </w:r>
      <w:r w:rsidRPr="008932C0">
        <w:t xml:space="preserve"> </w:t>
      </w:r>
      <w:r w:rsidRPr="00B8339B">
        <w:t>of over-moulded cylinders</w:t>
      </w:r>
      <w:r>
        <w:t xml:space="preserve">. </w:t>
      </w:r>
    </w:p>
    <w:p w:rsidR="00B14AD8" w:rsidRDefault="00B14AD8" w:rsidP="004F6ED8">
      <w:pPr>
        <w:pStyle w:val="SingleTxtG"/>
      </w:pPr>
      <w:r>
        <w:t xml:space="preserve">The procedures and requirements of this </w:t>
      </w:r>
      <w:r w:rsidRPr="00B8339B">
        <w:t xml:space="preserve">alternative method </w:t>
      </w:r>
      <w:r>
        <w:t xml:space="preserve">is </w:t>
      </w:r>
      <w:r w:rsidRPr="00B8339B">
        <w:t>described below.</w:t>
      </w:r>
    </w:p>
    <w:p w:rsidR="00B14AD8" w:rsidRPr="00B8339B" w:rsidRDefault="00B14AD8" w:rsidP="00450C73">
      <w:pPr>
        <w:pStyle w:val="SingleTxtG"/>
      </w:pPr>
      <w:r w:rsidRPr="00B8339B">
        <w:rPr>
          <w:u w:color="000000"/>
        </w:rPr>
        <w:t>Alternative</w:t>
      </w:r>
      <w:r w:rsidRPr="00B8339B">
        <w:rPr>
          <w:spacing w:val="-10"/>
          <w:u w:color="000000"/>
        </w:rPr>
        <w:t xml:space="preserve"> </w:t>
      </w:r>
      <w:r w:rsidR="000072E9">
        <w:rPr>
          <w:u w:color="000000"/>
        </w:rPr>
        <w:t>m</w:t>
      </w:r>
      <w:r w:rsidRPr="00B8339B">
        <w:rPr>
          <w:u w:color="000000"/>
        </w:rPr>
        <w:t>ethod:</w:t>
      </w:r>
    </w:p>
    <w:p w:rsidR="00B14AD8" w:rsidRPr="00B8339B" w:rsidRDefault="00450C73" w:rsidP="00450C73">
      <w:pPr>
        <w:pStyle w:val="SingleTxtG"/>
        <w:ind w:left="1701" w:hanging="567"/>
      </w:pPr>
      <w:r>
        <w:tab/>
        <w:t>(a)</w:t>
      </w:r>
      <w:r>
        <w:tab/>
      </w:r>
      <w:r w:rsidR="00B14AD8" w:rsidRPr="00B8339B">
        <w:t>General</w:t>
      </w:r>
    </w:p>
    <w:p w:rsidR="00B14AD8" w:rsidRDefault="00B14AD8" w:rsidP="002253D8">
      <w:pPr>
        <w:pStyle w:val="SingleTxtG"/>
        <w:ind w:left="2268"/>
      </w:pPr>
      <w:r>
        <w:t>The following provisions apply to o</w:t>
      </w:r>
      <w:r w:rsidRPr="00B8339B">
        <w:t xml:space="preserve">ver-moulded cylinders produced serially and based </w:t>
      </w:r>
      <w:r w:rsidRPr="00922A9D">
        <w:t xml:space="preserve">on </w:t>
      </w:r>
      <w:r w:rsidRPr="00740224">
        <w:rPr>
          <w:lang w:val="en-US"/>
        </w:rPr>
        <w:t>welded</w:t>
      </w:r>
      <w:r w:rsidRPr="00922A9D">
        <w:rPr>
          <w:lang w:val="en-US"/>
        </w:rPr>
        <w:t xml:space="preserve"> </w:t>
      </w:r>
      <w:r w:rsidRPr="00922A9D">
        <w:t>steel</w:t>
      </w:r>
      <w:r w:rsidRPr="00B8339B">
        <w:t xml:space="preserve"> cylinders in accordance with prEN1442:2014, EN14140:2015 or annex I, parts 1 to 3 to Council Directive 84/527/EEC. The design of the over-moulding shall </w:t>
      </w:r>
      <w:r>
        <w:t xml:space="preserve">prevent water from </w:t>
      </w:r>
      <w:r w:rsidRPr="00922A9D">
        <w:t xml:space="preserve">penetrating </w:t>
      </w:r>
      <w:r w:rsidRPr="00740224">
        <w:t>on</w:t>
      </w:r>
      <w:r w:rsidRPr="00740224">
        <w:rPr>
          <w:lang w:val="en-US"/>
        </w:rPr>
        <w:t xml:space="preserve"> </w:t>
      </w:r>
      <w:r w:rsidRPr="00740224">
        <w:t>to</w:t>
      </w:r>
      <w:r w:rsidRPr="00922A9D">
        <w:t xml:space="preserve"> the inner</w:t>
      </w:r>
      <w:r w:rsidRPr="00B8339B">
        <w:t xml:space="preserve"> steel cylinder. The conversion of the base steel cylinder to an over-moulded cylinder shall comply with the relevant requirements of prEN1442:2014 and</w:t>
      </w:r>
      <w:r w:rsidRPr="00B8339B">
        <w:rPr>
          <w:spacing w:val="-30"/>
        </w:rPr>
        <w:t xml:space="preserve"> </w:t>
      </w:r>
      <w:r w:rsidRPr="00B8339B">
        <w:t>EN14140:2015.</w:t>
      </w:r>
    </w:p>
    <w:p w:rsidR="00B14AD8" w:rsidRDefault="00450C73" w:rsidP="00450C73">
      <w:pPr>
        <w:pStyle w:val="SingleTxtG"/>
      </w:pPr>
      <w:r>
        <w:rPr>
          <w:lang w:val="en-US"/>
        </w:rPr>
        <w:tab/>
      </w:r>
      <w:r>
        <w:rPr>
          <w:lang w:val="en-US"/>
        </w:rPr>
        <w:tab/>
      </w:r>
      <w:r w:rsidR="00B14AD8" w:rsidRPr="00CF758C">
        <w:rPr>
          <w:lang w:val="en-US"/>
        </w:rPr>
        <w:t>O</w:t>
      </w:r>
      <w:r w:rsidR="00B14AD8" w:rsidRPr="00B8339B">
        <w:t>ver-moulded cylinders shall be equipped with self-closing</w:t>
      </w:r>
      <w:r w:rsidR="00B14AD8" w:rsidRPr="00B8339B">
        <w:rPr>
          <w:spacing w:val="-25"/>
        </w:rPr>
        <w:t xml:space="preserve"> </w:t>
      </w:r>
      <w:r w:rsidR="00B14AD8" w:rsidRPr="00B8339B">
        <w:t>valves.</w:t>
      </w:r>
    </w:p>
    <w:p w:rsidR="00B14AD8" w:rsidRPr="00B8339B" w:rsidRDefault="00450C73" w:rsidP="00450C73">
      <w:pPr>
        <w:pStyle w:val="SingleTxtG"/>
      </w:pPr>
      <w:r>
        <w:tab/>
      </w:r>
      <w:r>
        <w:tab/>
        <w:t>(b)</w:t>
      </w:r>
      <w:r>
        <w:tab/>
      </w:r>
      <w:r w:rsidR="00B14AD8">
        <w:t xml:space="preserve">Basic </w:t>
      </w:r>
      <w:r w:rsidR="000072E9">
        <w:t>p</w:t>
      </w:r>
      <w:r w:rsidR="00B14AD8">
        <w:t>opulation</w:t>
      </w:r>
    </w:p>
    <w:p w:rsidR="00B14AD8" w:rsidRDefault="00B14AD8" w:rsidP="00450C73">
      <w:pPr>
        <w:pStyle w:val="SingleTxtG"/>
        <w:ind w:left="1701"/>
      </w:pPr>
      <w:r w:rsidRPr="00B8339B">
        <w:t xml:space="preserve">A </w:t>
      </w:r>
      <w:r>
        <w:t>basic population</w:t>
      </w:r>
      <w:r w:rsidRPr="00B8339B">
        <w:t xml:space="preserve"> of over-moulded cylinders is defined as the production of cylinders from </w:t>
      </w:r>
      <w:r>
        <w:t>only one</w:t>
      </w:r>
      <w:r w:rsidRPr="00B8339B">
        <w:t xml:space="preserve"> </w:t>
      </w:r>
      <w:r w:rsidRPr="001F6DA5">
        <w:rPr>
          <w:lang w:val="en-US"/>
        </w:rPr>
        <w:t>o</w:t>
      </w:r>
      <w:r>
        <w:rPr>
          <w:lang w:val="en-US"/>
        </w:rPr>
        <w:t xml:space="preserve">ver-moulding </w:t>
      </w:r>
      <w:r>
        <w:t>manufacturer</w:t>
      </w:r>
      <w:r w:rsidRPr="00B8339B">
        <w:t xml:space="preserve"> using inner cylinders manufactured by </w:t>
      </w:r>
      <w:r>
        <w:t xml:space="preserve">only </w:t>
      </w:r>
      <w:r w:rsidRPr="00B8339B">
        <w:t xml:space="preserve">one manufacturer within one calendar year, </w:t>
      </w:r>
      <w:r>
        <w:t>based</w:t>
      </w:r>
      <w:r w:rsidRPr="00B8339B">
        <w:t xml:space="preserve"> </w:t>
      </w:r>
      <w:r>
        <w:t>on</w:t>
      </w:r>
      <w:r w:rsidRPr="00B8339B">
        <w:t xml:space="preserve"> the same design</w:t>
      </w:r>
      <w:r>
        <w:t xml:space="preserve"> type</w:t>
      </w:r>
      <w:r w:rsidRPr="00B8339B">
        <w:t xml:space="preserve">, </w:t>
      </w:r>
      <w:r>
        <w:t xml:space="preserve">the same </w:t>
      </w:r>
      <w:r w:rsidRPr="00B8339B">
        <w:t>material</w:t>
      </w:r>
      <w:r>
        <w:t>s</w:t>
      </w:r>
      <w:r w:rsidRPr="00B8339B">
        <w:t xml:space="preserve"> and production</w:t>
      </w:r>
      <w:r w:rsidRPr="00B8339B">
        <w:rPr>
          <w:spacing w:val="-32"/>
        </w:rPr>
        <w:t xml:space="preserve"> </w:t>
      </w:r>
      <w:r>
        <w:t>processes, owned/operated by one company.</w:t>
      </w:r>
    </w:p>
    <w:p w:rsidR="00B14AD8" w:rsidRDefault="00450C73" w:rsidP="00450C73">
      <w:pPr>
        <w:pStyle w:val="SingleTxtG"/>
      </w:pPr>
      <w:r>
        <w:tab/>
      </w:r>
      <w:r>
        <w:tab/>
        <w:t>(c)</w:t>
      </w:r>
      <w:r>
        <w:tab/>
      </w:r>
      <w:r w:rsidR="00B14AD8">
        <w:t xml:space="preserve">Population </w:t>
      </w:r>
      <w:r w:rsidR="000072E9">
        <w:t>g</w:t>
      </w:r>
      <w:r w:rsidR="00B14AD8">
        <w:t>roup</w:t>
      </w:r>
    </w:p>
    <w:p w:rsidR="00B14AD8" w:rsidRPr="00042A4E" w:rsidRDefault="00B14AD8" w:rsidP="00450C73">
      <w:pPr>
        <w:pStyle w:val="SingleTxtG"/>
        <w:ind w:left="1701"/>
      </w:pPr>
      <w:r w:rsidRPr="00740224">
        <w:t xml:space="preserve">Within the above defined basic population, over-moulded cylinders </w:t>
      </w:r>
      <w:r w:rsidRPr="00740224">
        <w:rPr>
          <w:lang w:val="en-US"/>
        </w:rPr>
        <w:t>operated</w:t>
      </w:r>
      <w:r w:rsidRPr="00740224">
        <w:t xml:space="preserve"> by different </w:t>
      </w:r>
      <w:r w:rsidRPr="00740224">
        <w:rPr>
          <w:lang w:val="en-US"/>
        </w:rPr>
        <w:t>owners</w:t>
      </w:r>
      <w:r w:rsidRPr="00740224">
        <w:t xml:space="preserve"> </w:t>
      </w:r>
      <w:r w:rsidRPr="00740224">
        <w:rPr>
          <w:lang w:val="en-US"/>
        </w:rPr>
        <w:t>may</w:t>
      </w:r>
      <w:r w:rsidRPr="00740224">
        <w:t xml:space="preserve"> be separated into </w:t>
      </w:r>
      <w:r w:rsidRPr="00740224">
        <w:rPr>
          <w:lang w:val="en-US"/>
        </w:rPr>
        <w:t xml:space="preserve">specific </w:t>
      </w:r>
      <w:r w:rsidRPr="00740224">
        <w:t>population groups</w:t>
      </w:r>
      <w:r w:rsidRPr="00922A9D">
        <w:t>.</w:t>
      </w:r>
    </w:p>
    <w:p w:rsidR="00B14AD8" w:rsidRPr="00B8339B" w:rsidRDefault="00450C73" w:rsidP="00450C73">
      <w:pPr>
        <w:pStyle w:val="SingleTxtG"/>
      </w:pPr>
      <w:r>
        <w:tab/>
      </w:r>
      <w:r>
        <w:tab/>
        <w:t>(d)</w:t>
      </w:r>
      <w:r>
        <w:tab/>
      </w:r>
      <w:r w:rsidR="00B14AD8" w:rsidRPr="00B8339B">
        <w:t>Traceability</w:t>
      </w:r>
    </w:p>
    <w:p w:rsidR="00B14AD8" w:rsidRPr="00B8339B" w:rsidRDefault="00B14AD8" w:rsidP="00450C73">
      <w:pPr>
        <w:pStyle w:val="SingleTxtG"/>
        <w:ind w:left="1701"/>
      </w:pPr>
      <w:r w:rsidRPr="00B8339B">
        <w:t>Inner steel cylinder marking</w:t>
      </w:r>
      <w:r>
        <w:t>s</w:t>
      </w:r>
      <w:r w:rsidRPr="00B8339B">
        <w:t xml:space="preserve"> in accordance with 6.2.3.9 shall be repeated on the over-moulding. In addition, each over-moulded cylinder shall be fitted with an individual resilient electronic identification device. The detailed characteristics of the over-moul</w:t>
      </w:r>
      <w:r>
        <w:t xml:space="preserve">ded </w:t>
      </w:r>
      <w:r w:rsidRPr="00922A9D">
        <w:t xml:space="preserve">cylinders </w:t>
      </w:r>
      <w:r w:rsidRPr="00740224">
        <w:rPr>
          <w:lang w:val="en-US"/>
        </w:rPr>
        <w:t>shall be</w:t>
      </w:r>
      <w:r w:rsidRPr="00922A9D">
        <w:t xml:space="preserve"> recorded</w:t>
      </w:r>
      <w:r>
        <w:t xml:space="preserve"> </w:t>
      </w:r>
      <w:r w:rsidRPr="006562B6">
        <w:rPr>
          <w:lang w:val="en-US"/>
        </w:rPr>
        <w:t xml:space="preserve">by the owner </w:t>
      </w:r>
      <w:r>
        <w:t>in a</w:t>
      </w:r>
      <w:r w:rsidRPr="00B8339B">
        <w:t xml:space="preserve"> </w:t>
      </w:r>
      <w:r w:rsidRPr="00DF6CFC">
        <w:rPr>
          <w:lang w:val="en-US"/>
        </w:rPr>
        <w:t>central</w:t>
      </w:r>
      <w:r w:rsidRPr="00B8339B">
        <w:t xml:space="preserve"> database. The database shall be used to:</w:t>
      </w:r>
    </w:p>
    <w:p w:rsidR="00B14AD8" w:rsidRDefault="00B14AD8" w:rsidP="002253D8">
      <w:pPr>
        <w:pStyle w:val="Bullet1G"/>
        <w:tabs>
          <w:tab w:val="clear" w:pos="1701"/>
        </w:tabs>
        <w:ind w:firstLine="0"/>
      </w:pPr>
      <w:r>
        <w:t>Identify the specific population group;</w:t>
      </w:r>
    </w:p>
    <w:p w:rsidR="00B14AD8" w:rsidRPr="00B8339B" w:rsidRDefault="00B14AD8" w:rsidP="002253D8">
      <w:pPr>
        <w:pStyle w:val="Bullet1G"/>
        <w:tabs>
          <w:tab w:val="clear" w:pos="1701"/>
        </w:tabs>
        <w:ind w:firstLine="0"/>
      </w:pPr>
      <w:r>
        <w:t xml:space="preserve">Make available to inspection bodies, filling centres and competent authorities the </w:t>
      </w:r>
      <w:r w:rsidRPr="00B8339B">
        <w:t>specific technical characteristics of the cylinders (</w:t>
      </w:r>
      <w:r>
        <w:t xml:space="preserve">consisting of at least the following: serial number, </w:t>
      </w:r>
      <w:r w:rsidRPr="00B8339B">
        <w:t>steel cylinder production batch</w:t>
      </w:r>
      <w:r>
        <w:t>, over-moulding</w:t>
      </w:r>
      <w:r w:rsidRPr="00B8339B">
        <w:t xml:space="preserve"> production batch, da</w:t>
      </w:r>
      <w:r>
        <w:t>te</w:t>
      </w:r>
      <w:r w:rsidRPr="00B8339B">
        <w:t xml:space="preserve"> of over-moulding)</w:t>
      </w:r>
      <w:r>
        <w:t>;</w:t>
      </w:r>
      <w:r w:rsidRPr="00B8339B">
        <w:rPr>
          <w:spacing w:val="-5"/>
        </w:rPr>
        <w:t xml:space="preserve"> </w:t>
      </w:r>
    </w:p>
    <w:p w:rsidR="00B14AD8" w:rsidRPr="00B8339B" w:rsidRDefault="00B14AD8" w:rsidP="002253D8">
      <w:pPr>
        <w:pStyle w:val="Bullet1G"/>
        <w:tabs>
          <w:tab w:val="clear" w:pos="1701"/>
        </w:tabs>
        <w:ind w:firstLine="0"/>
      </w:pPr>
      <w:r w:rsidRPr="00B8339B">
        <w:t>Identify the cylinder by linking the serial number and the electronic device to the</w:t>
      </w:r>
      <w:r w:rsidRPr="00B8339B">
        <w:rPr>
          <w:spacing w:val="-25"/>
        </w:rPr>
        <w:t xml:space="preserve"> </w:t>
      </w:r>
      <w:r w:rsidRPr="00B8339B">
        <w:t>database;</w:t>
      </w:r>
    </w:p>
    <w:p w:rsidR="00B14AD8" w:rsidRPr="00B8339B" w:rsidRDefault="00B14AD8" w:rsidP="002253D8">
      <w:pPr>
        <w:pStyle w:val="Bullet1G"/>
        <w:tabs>
          <w:tab w:val="clear" w:pos="1701"/>
        </w:tabs>
        <w:ind w:firstLine="0"/>
      </w:pPr>
      <w:r w:rsidRPr="00B8339B">
        <w:t xml:space="preserve">Check </w:t>
      </w:r>
      <w:r>
        <w:t>individual cylinder history and determine measures</w:t>
      </w:r>
      <w:r w:rsidRPr="00B8339B">
        <w:t xml:space="preserve"> (</w:t>
      </w:r>
      <w:r>
        <w:t xml:space="preserve">eg, </w:t>
      </w:r>
      <w:r w:rsidRPr="00B8339B">
        <w:t xml:space="preserve">filling, </w:t>
      </w:r>
      <w:r>
        <w:t xml:space="preserve">sampling, </w:t>
      </w:r>
      <w:r w:rsidRPr="00B8339B">
        <w:t>retesting, withdrawal);</w:t>
      </w:r>
    </w:p>
    <w:p w:rsidR="00B14AD8" w:rsidRPr="00B8339B" w:rsidRDefault="00B14AD8" w:rsidP="002253D8">
      <w:pPr>
        <w:pStyle w:val="Bullet1G"/>
        <w:tabs>
          <w:tab w:val="clear" w:pos="1701"/>
        </w:tabs>
        <w:ind w:firstLine="0"/>
      </w:pPr>
      <w:r w:rsidRPr="00B8339B">
        <w:t>Record performed</w:t>
      </w:r>
      <w:r w:rsidRPr="00B8339B">
        <w:rPr>
          <w:spacing w:val="-16"/>
        </w:rPr>
        <w:t xml:space="preserve"> </w:t>
      </w:r>
      <w:r w:rsidRPr="00B8339B">
        <w:t xml:space="preserve">measures </w:t>
      </w:r>
      <w:r>
        <w:t>including the date and the address of where it was done</w:t>
      </w:r>
      <w:r w:rsidRPr="00B8339B">
        <w:t>.</w:t>
      </w:r>
    </w:p>
    <w:p w:rsidR="00B14AD8" w:rsidRDefault="00B14AD8" w:rsidP="002253D8">
      <w:pPr>
        <w:pStyle w:val="SingleTxtG"/>
        <w:ind w:left="1701"/>
      </w:pPr>
      <w:r>
        <w:lastRenderedPageBreak/>
        <w:t xml:space="preserve">The recorded data </w:t>
      </w:r>
      <w:r w:rsidRPr="00B8339B">
        <w:t xml:space="preserve">shall be </w:t>
      </w:r>
      <w:r>
        <w:t xml:space="preserve">made </w:t>
      </w:r>
      <w:r w:rsidRPr="00B8339B">
        <w:t>available by the owner of the over-moulded cylinders for the entire life of the</w:t>
      </w:r>
      <w:r w:rsidRPr="00E34069">
        <w:t xml:space="preserve"> population </w:t>
      </w:r>
      <w:r w:rsidRPr="00B8339B">
        <w:t>group.</w:t>
      </w:r>
    </w:p>
    <w:p w:rsidR="00B14AD8" w:rsidRPr="00B8339B" w:rsidRDefault="002253D8" w:rsidP="00450C73">
      <w:pPr>
        <w:pStyle w:val="SingleTxtG"/>
      </w:pPr>
      <w:r>
        <w:tab/>
      </w:r>
      <w:r w:rsidR="00450C73">
        <w:tab/>
        <w:t>(e)</w:t>
      </w:r>
      <w:r w:rsidR="00450C73">
        <w:tab/>
      </w:r>
      <w:r w:rsidR="00B14AD8" w:rsidRPr="00B8339B">
        <w:t>Sampling for statistical</w:t>
      </w:r>
      <w:r w:rsidR="00B14AD8" w:rsidRPr="00B8339B">
        <w:rPr>
          <w:spacing w:val="-21"/>
        </w:rPr>
        <w:t xml:space="preserve"> </w:t>
      </w:r>
      <w:r w:rsidR="00B14AD8" w:rsidRPr="00B8339B">
        <w:t>assessment</w:t>
      </w:r>
    </w:p>
    <w:p w:rsidR="00B14AD8" w:rsidRDefault="00B14AD8" w:rsidP="0014434B">
      <w:pPr>
        <w:pStyle w:val="SingleTxtG"/>
        <w:ind w:left="1701"/>
      </w:pPr>
      <w:r>
        <w:t>The s</w:t>
      </w:r>
      <w:r w:rsidRPr="00B8339B">
        <w:t xml:space="preserve">ampling shall be random </w:t>
      </w:r>
      <w:r>
        <w:t>among a population group as defined in (c)</w:t>
      </w:r>
      <w:r w:rsidRPr="00B8339B">
        <w:t xml:space="preserve">. The size of each sample per </w:t>
      </w:r>
      <w:r>
        <w:t>population</w:t>
      </w:r>
      <w:r w:rsidRPr="00B8339B">
        <w:t xml:space="preserve"> group shall be in accordance with the table </w:t>
      </w:r>
      <w:r>
        <w:t>in</w:t>
      </w:r>
      <w:r w:rsidRPr="00B8339B">
        <w:t xml:space="preserve"> paragraph</w:t>
      </w:r>
      <w:r w:rsidRPr="00B8339B">
        <w:rPr>
          <w:spacing w:val="-17"/>
        </w:rPr>
        <w:t xml:space="preserve"> </w:t>
      </w:r>
      <w:r>
        <w:t>(g</w:t>
      </w:r>
      <w:r w:rsidRPr="00B8339B">
        <w:t>).</w:t>
      </w:r>
    </w:p>
    <w:p w:rsidR="00B14AD8" w:rsidRDefault="002253D8" w:rsidP="00450C73">
      <w:pPr>
        <w:pStyle w:val="SingleTxtG"/>
      </w:pPr>
      <w:r>
        <w:tab/>
      </w:r>
      <w:r>
        <w:tab/>
      </w:r>
      <w:r w:rsidR="0014434B">
        <w:t>(f)</w:t>
      </w:r>
      <w:r w:rsidR="0014434B">
        <w:tab/>
      </w:r>
      <w:r w:rsidR="00B14AD8" w:rsidRPr="00B8339B">
        <w:t xml:space="preserve">Test </w:t>
      </w:r>
      <w:r w:rsidR="00B14AD8">
        <w:t>procedure</w:t>
      </w:r>
      <w:r w:rsidR="00B14AD8" w:rsidRPr="00B8339B">
        <w:t xml:space="preserve"> for destructive</w:t>
      </w:r>
      <w:r w:rsidR="00B14AD8" w:rsidRPr="00B8339B">
        <w:rPr>
          <w:spacing w:val="-17"/>
        </w:rPr>
        <w:t xml:space="preserve"> </w:t>
      </w:r>
      <w:r w:rsidR="00B14AD8" w:rsidRPr="00B8339B">
        <w:t>testing</w:t>
      </w:r>
    </w:p>
    <w:p w:rsidR="00B14AD8" w:rsidRPr="00B8339B" w:rsidRDefault="00B14AD8" w:rsidP="0014434B">
      <w:pPr>
        <w:pStyle w:val="SingleTxtG"/>
        <w:ind w:left="1701"/>
      </w:pPr>
      <w:r w:rsidRPr="00B8339B">
        <w:t>The test</w:t>
      </w:r>
      <w:r w:rsidRPr="00082DBB">
        <w:rPr>
          <w:lang w:val="en-US"/>
        </w:rPr>
        <w:t>s</w:t>
      </w:r>
      <w:r w:rsidRPr="00B8339B">
        <w:t xml:space="preserve"> </w:t>
      </w:r>
      <w:r>
        <w:t xml:space="preserve">required by </w:t>
      </w:r>
      <w:r w:rsidRPr="00B8339B">
        <w:t xml:space="preserve">6.2.1.6.1 </w:t>
      </w:r>
      <w:r w:rsidRPr="00082DBB">
        <w:rPr>
          <w:lang w:val="en-US"/>
        </w:rPr>
        <w:t>shall</w:t>
      </w:r>
      <w:r>
        <w:rPr>
          <w:lang w:val="en-US"/>
        </w:rPr>
        <w:t xml:space="preserve"> be carried out</w:t>
      </w:r>
      <w:r w:rsidRPr="00082DBB">
        <w:rPr>
          <w:lang w:val="en-US"/>
        </w:rPr>
        <w:t xml:space="preserve"> </w:t>
      </w:r>
      <w:r>
        <w:rPr>
          <w:lang w:val="en-US"/>
        </w:rPr>
        <w:t xml:space="preserve">except </w:t>
      </w:r>
      <w:r w:rsidR="008E57F7">
        <w:rPr>
          <w:lang w:val="en-US"/>
        </w:rPr>
        <w:t>(</w:t>
      </w:r>
      <w:r w:rsidRPr="00B8339B">
        <w:t xml:space="preserve">d) </w:t>
      </w:r>
      <w:r w:rsidRPr="00082DBB">
        <w:rPr>
          <w:lang w:val="en-US"/>
        </w:rPr>
        <w:t xml:space="preserve">which </w:t>
      </w:r>
      <w:r w:rsidRPr="00B8339B">
        <w:t xml:space="preserve">shall be </w:t>
      </w:r>
      <w:r>
        <w:t>substituted</w:t>
      </w:r>
      <w:r w:rsidRPr="00B8339B">
        <w:t xml:space="preserve"> by the following</w:t>
      </w:r>
      <w:r w:rsidRPr="00B8339B">
        <w:rPr>
          <w:spacing w:val="-24"/>
        </w:rPr>
        <w:t xml:space="preserve"> </w:t>
      </w:r>
      <w:r w:rsidRPr="00843D47">
        <w:t>test</w:t>
      </w:r>
      <w:r w:rsidRPr="00082DBB">
        <w:rPr>
          <w:spacing w:val="-24"/>
          <w:lang w:val="en-US"/>
        </w:rPr>
        <w:t xml:space="preserve"> </w:t>
      </w:r>
      <w:r>
        <w:rPr>
          <w:spacing w:val="-24"/>
          <w:lang w:val="en-US"/>
        </w:rPr>
        <w:t xml:space="preserve"> </w:t>
      </w:r>
      <w:r w:rsidRPr="00B8339B">
        <w:t>procedure:</w:t>
      </w:r>
    </w:p>
    <w:p w:rsidR="00B14AD8" w:rsidRPr="000E7B07" w:rsidRDefault="00B14AD8" w:rsidP="0039377E">
      <w:pPr>
        <w:pStyle w:val="Bullet1G"/>
        <w:tabs>
          <w:tab w:val="clear" w:pos="1701"/>
        </w:tabs>
        <w:ind w:firstLine="0"/>
      </w:pPr>
      <w:r>
        <w:t>B</w:t>
      </w:r>
      <w:r w:rsidRPr="00B8339B">
        <w:t xml:space="preserve">urst test (according </w:t>
      </w:r>
      <w:r>
        <w:t>to EN 1442:2014 or EN 14140:2015)</w:t>
      </w:r>
    </w:p>
    <w:p w:rsidR="00B14AD8" w:rsidRPr="00B8339B" w:rsidRDefault="0014434B" w:rsidP="00450C73">
      <w:pPr>
        <w:pStyle w:val="SingleTxtG"/>
      </w:pPr>
      <w:r>
        <w:rPr>
          <w:lang w:val="en-US"/>
        </w:rPr>
        <w:tab/>
      </w:r>
      <w:r>
        <w:rPr>
          <w:lang w:val="en-US"/>
        </w:rPr>
        <w:tab/>
      </w:r>
      <w:r w:rsidR="00B14AD8" w:rsidRPr="00082DBB">
        <w:rPr>
          <w:lang w:val="en-US"/>
        </w:rPr>
        <w:t xml:space="preserve">In addition, the following tests </w:t>
      </w:r>
      <w:r w:rsidR="00B14AD8">
        <w:rPr>
          <w:lang w:val="en-US"/>
        </w:rPr>
        <w:t>shall be performed</w:t>
      </w:r>
      <w:r w:rsidR="00B14AD8" w:rsidRPr="00B8339B">
        <w:t>:</w:t>
      </w:r>
    </w:p>
    <w:p w:rsidR="00B14AD8" w:rsidRPr="000E7B07" w:rsidRDefault="00B14AD8" w:rsidP="0039377E">
      <w:pPr>
        <w:pStyle w:val="Bullet1G"/>
        <w:tabs>
          <w:tab w:val="clear" w:pos="1701"/>
        </w:tabs>
        <w:ind w:firstLine="0"/>
      </w:pPr>
      <w:r>
        <w:t>Adhesion test</w:t>
      </w:r>
      <w:r w:rsidRPr="00B8339B">
        <w:t xml:space="preserve"> (according to EN 1442</w:t>
      </w:r>
      <w:r>
        <w:t>:2014</w:t>
      </w:r>
      <w:r w:rsidRPr="00B8339B">
        <w:t xml:space="preserve"> </w:t>
      </w:r>
      <w:r>
        <w:t>or EN14140:2015</w:t>
      </w:r>
      <w:r w:rsidRPr="00B8339B">
        <w:t>)</w:t>
      </w:r>
    </w:p>
    <w:p w:rsidR="00B14AD8" w:rsidRPr="000E7B07" w:rsidRDefault="00B14AD8" w:rsidP="0039377E">
      <w:pPr>
        <w:pStyle w:val="Bullet1G"/>
        <w:tabs>
          <w:tab w:val="clear" w:pos="1701"/>
        </w:tabs>
        <w:ind w:firstLine="0"/>
      </w:pPr>
      <w:r>
        <w:t>P</w:t>
      </w:r>
      <w:r w:rsidRPr="00B8339B">
        <w:t xml:space="preserve">eeling </w:t>
      </w:r>
      <w:r>
        <w:t>and Corrosion tests</w:t>
      </w:r>
      <w:r w:rsidRPr="00B8339B">
        <w:t xml:space="preserve"> (a</w:t>
      </w:r>
      <w:r>
        <w:t>ccording to EN ISO 4628-3:2004)</w:t>
      </w:r>
    </w:p>
    <w:p w:rsidR="00B14AD8" w:rsidRPr="003D4D66" w:rsidRDefault="00B14AD8" w:rsidP="0014434B">
      <w:pPr>
        <w:pStyle w:val="SingleTxtG"/>
        <w:ind w:left="1701"/>
      </w:pPr>
      <w:r w:rsidRPr="003D4D66">
        <w:t xml:space="preserve">Adhesion test, Peeling </w:t>
      </w:r>
      <w:r w:rsidRPr="003D4D66">
        <w:rPr>
          <w:lang w:val="en-US"/>
        </w:rPr>
        <w:t xml:space="preserve">and Corrosion </w:t>
      </w:r>
      <w:r w:rsidRPr="003D4D66">
        <w:t>tests</w:t>
      </w:r>
      <w:r w:rsidRPr="003D4D66">
        <w:rPr>
          <w:lang w:val="en-US"/>
        </w:rPr>
        <w:t>,</w:t>
      </w:r>
      <w:r w:rsidRPr="003D4D66">
        <w:t xml:space="preserve"> and Burst test shall be performed on each related sample according to the table in paragraph (g) and shall be conducted after </w:t>
      </w:r>
      <w:r w:rsidRPr="003D4D66">
        <w:rPr>
          <w:lang w:val="en-US"/>
        </w:rPr>
        <w:t xml:space="preserve">the first </w:t>
      </w:r>
      <w:r w:rsidRPr="003D4D66">
        <w:t>3 years in service and every 5 years thereafter.</w:t>
      </w:r>
    </w:p>
    <w:p w:rsidR="00B14AD8" w:rsidRPr="003D4D66" w:rsidRDefault="002253D8" w:rsidP="0014434B">
      <w:pPr>
        <w:pStyle w:val="SingleTxtG"/>
      </w:pPr>
      <w:r>
        <w:tab/>
      </w:r>
      <w:r>
        <w:tab/>
      </w:r>
      <w:r w:rsidR="0014434B">
        <w:t>(g)</w:t>
      </w:r>
      <w:r w:rsidR="0014434B">
        <w:tab/>
      </w:r>
      <w:r w:rsidR="00B14AD8" w:rsidRPr="003D4D66">
        <w:t>Statistical evaluation of test results –</w:t>
      </w:r>
      <w:r w:rsidR="00B14AD8" w:rsidRPr="003D4D66">
        <w:rPr>
          <w:spacing w:val="-28"/>
        </w:rPr>
        <w:t xml:space="preserve"> </w:t>
      </w:r>
      <w:r w:rsidR="00B14AD8" w:rsidRPr="003D4D66">
        <w:t>Method and minimum requirements</w:t>
      </w:r>
    </w:p>
    <w:p w:rsidR="00B14AD8" w:rsidRPr="008263FB" w:rsidRDefault="00B14AD8" w:rsidP="00B14AD8">
      <w:pPr>
        <w:spacing w:after="120"/>
        <w:ind w:left="1701" w:right="1134"/>
        <w:jc w:val="both"/>
      </w:pPr>
      <w:r w:rsidRPr="008263FB">
        <w:t>The procedure for statistical evaluation</w:t>
      </w:r>
      <w:r>
        <w:t xml:space="preserve"> according to the related rejection criteria</w:t>
      </w:r>
      <w:r w:rsidRPr="008263FB">
        <w:t xml:space="preserve"> is described in the following </w:t>
      </w:r>
      <w:r>
        <w:t>table, and its related comments.</w:t>
      </w:r>
    </w:p>
    <w:p w:rsidR="00B14AD8" w:rsidRDefault="00B14AD8" w:rsidP="00B14AD8">
      <w:pPr>
        <w:suppressAutoHyphens w:val="0"/>
        <w:spacing w:line="240" w:lineRule="auto"/>
      </w:pPr>
      <w:r>
        <w:br w:type="page"/>
      </w:r>
    </w:p>
    <w:p w:rsidR="00B14AD8" w:rsidRPr="008263FB" w:rsidRDefault="00B14AD8" w:rsidP="00B14AD8">
      <w:pPr>
        <w:jc w:val="center"/>
        <w:rPr>
          <w:b/>
        </w:rPr>
      </w:pPr>
      <w:r w:rsidRPr="008263FB">
        <w:rPr>
          <w:b/>
        </w:rPr>
        <w:lastRenderedPageBreak/>
        <w:t>Table 1</w:t>
      </w:r>
    </w:p>
    <w:p w:rsidR="00B14AD8" w:rsidRPr="0014434B" w:rsidRDefault="00B14AD8" w:rsidP="00B14AD8"/>
    <w:tbl>
      <w:tblPr>
        <w:tblW w:w="9594" w:type="dxa"/>
        <w:tblInd w:w="30" w:type="dxa"/>
        <w:tblLayout w:type="fixed"/>
        <w:tblCellMar>
          <w:left w:w="0" w:type="dxa"/>
          <w:right w:w="0" w:type="dxa"/>
        </w:tblCellMar>
        <w:tblLook w:val="04A0" w:firstRow="1" w:lastRow="0" w:firstColumn="1" w:lastColumn="0" w:noHBand="0" w:noVBand="1"/>
      </w:tblPr>
      <w:tblGrid>
        <w:gridCol w:w="1119"/>
        <w:gridCol w:w="1388"/>
        <w:gridCol w:w="1559"/>
        <w:gridCol w:w="3544"/>
        <w:gridCol w:w="1984"/>
      </w:tblGrid>
      <w:tr w:rsidR="00B14AD8" w:rsidRPr="0014434B" w:rsidTr="000072E9">
        <w:trPr>
          <w:trHeight w:hRule="exact" w:val="1005"/>
        </w:trPr>
        <w:tc>
          <w:tcPr>
            <w:tcW w:w="1119" w:type="dxa"/>
            <w:tcBorders>
              <w:top w:val="single" w:sz="12" w:space="0" w:color="auto"/>
              <w:left w:val="single" w:sz="12" w:space="0" w:color="auto"/>
              <w:bottom w:val="single" w:sz="6" w:space="0" w:color="auto"/>
              <w:right w:val="single" w:sz="6" w:space="0" w:color="auto"/>
            </w:tcBorders>
            <w:vAlign w:val="center"/>
            <w:hideMark/>
          </w:tcPr>
          <w:p w:rsidR="00B14AD8" w:rsidRPr="0014434B" w:rsidRDefault="00B14AD8" w:rsidP="000072E9">
            <w:pPr>
              <w:spacing w:after="120" w:line="276" w:lineRule="auto"/>
              <w:jc w:val="center"/>
              <w:rPr>
                <w:b/>
                <w:bCs/>
                <w:sz w:val="18"/>
                <w:szCs w:val="18"/>
                <w:lang w:val="en-IE"/>
              </w:rPr>
            </w:pPr>
            <w:r w:rsidRPr="0014434B">
              <w:rPr>
                <w:b/>
                <w:bCs/>
                <w:sz w:val="18"/>
                <w:szCs w:val="18"/>
                <w:lang w:val="en-IE"/>
              </w:rPr>
              <w:t>Test</w:t>
            </w:r>
            <w:r w:rsidRPr="0014434B">
              <w:rPr>
                <w:b/>
                <w:bCs/>
                <w:sz w:val="18"/>
                <w:szCs w:val="18"/>
                <w:lang w:val="en-IE"/>
              </w:rPr>
              <w:br/>
              <w:t>interval</w:t>
            </w:r>
            <w:r w:rsidRPr="0014434B">
              <w:rPr>
                <w:b/>
                <w:bCs/>
                <w:sz w:val="18"/>
                <w:szCs w:val="18"/>
                <w:lang w:val="en-IE"/>
              </w:rPr>
              <w:br/>
            </w:r>
            <w:r w:rsidRPr="0014434B">
              <w:rPr>
                <w:sz w:val="18"/>
                <w:szCs w:val="18"/>
                <w:lang w:val="en-IE"/>
              </w:rPr>
              <w:t>(years)</w:t>
            </w:r>
          </w:p>
        </w:tc>
        <w:tc>
          <w:tcPr>
            <w:tcW w:w="1388" w:type="dxa"/>
            <w:tcBorders>
              <w:top w:val="single" w:sz="12" w:space="0" w:color="auto"/>
              <w:left w:val="single" w:sz="6" w:space="0" w:color="auto"/>
              <w:bottom w:val="single" w:sz="6" w:space="0" w:color="auto"/>
              <w:right w:val="single" w:sz="6" w:space="0" w:color="auto"/>
            </w:tcBorders>
            <w:hideMark/>
          </w:tcPr>
          <w:p w:rsidR="00B14AD8" w:rsidRPr="0014434B" w:rsidRDefault="00B14AD8" w:rsidP="000072E9">
            <w:pPr>
              <w:spacing w:after="120" w:line="276" w:lineRule="auto"/>
              <w:jc w:val="center"/>
              <w:rPr>
                <w:b/>
                <w:bCs/>
                <w:sz w:val="18"/>
                <w:szCs w:val="18"/>
                <w:lang w:val="en-IE"/>
              </w:rPr>
            </w:pPr>
            <w:r w:rsidRPr="0014434B">
              <w:rPr>
                <w:b/>
                <w:bCs/>
                <w:sz w:val="18"/>
                <w:szCs w:val="18"/>
                <w:lang w:val="en-IE"/>
              </w:rPr>
              <w:t>Test type</w:t>
            </w:r>
          </w:p>
        </w:tc>
        <w:tc>
          <w:tcPr>
            <w:tcW w:w="1559" w:type="dxa"/>
            <w:tcBorders>
              <w:top w:val="single" w:sz="12" w:space="0" w:color="auto"/>
              <w:left w:val="single" w:sz="6" w:space="0" w:color="auto"/>
              <w:bottom w:val="single" w:sz="6" w:space="0" w:color="auto"/>
              <w:right w:val="single" w:sz="6" w:space="0" w:color="auto"/>
            </w:tcBorders>
            <w:hideMark/>
          </w:tcPr>
          <w:p w:rsidR="00B14AD8" w:rsidRPr="0014434B" w:rsidRDefault="00B14AD8" w:rsidP="000072E9">
            <w:pPr>
              <w:spacing w:after="120" w:line="276" w:lineRule="auto"/>
              <w:jc w:val="center"/>
              <w:rPr>
                <w:b/>
                <w:bCs/>
                <w:sz w:val="18"/>
                <w:szCs w:val="18"/>
                <w:lang w:val="en-IE"/>
              </w:rPr>
            </w:pPr>
            <w:r w:rsidRPr="0014434B">
              <w:rPr>
                <w:b/>
                <w:bCs/>
                <w:sz w:val="18"/>
                <w:szCs w:val="18"/>
                <w:lang w:val="en-IE"/>
              </w:rPr>
              <w:t>Standard</w:t>
            </w:r>
          </w:p>
        </w:tc>
        <w:tc>
          <w:tcPr>
            <w:tcW w:w="3544" w:type="dxa"/>
            <w:tcBorders>
              <w:top w:val="single" w:sz="12" w:space="0" w:color="auto"/>
              <w:left w:val="single" w:sz="6" w:space="0" w:color="auto"/>
              <w:bottom w:val="single" w:sz="6" w:space="0" w:color="auto"/>
              <w:right w:val="single" w:sz="6" w:space="0" w:color="auto"/>
            </w:tcBorders>
            <w:hideMark/>
          </w:tcPr>
          <w:p w:rsidR="00B14AD8" w:rsidRPr="0014434B" w:rsidRDefault="00B14AD8" w:rsidP="000072E9">
            <w:pPr>
              <w:spacing w:after="120" w:line="276" w:lineRule="auto"/>
              <w:jc w:val="center"/>
              <w:rPr>
                <w:b/>
                <w:bCs/>
                <w:sz w:val="18"/>
                <w:szCs w:val="18"/>
                <w:lang w:val="en-IE"/>
              </w:rPr>
            </w:pPr>
            <w:r w:rsidRPr="0014434B">
              <w:rPr>
                <w:b/>
                <w:bCs/>
                <w:sz w:val="18"/>
                <w:szCs w:val="18"/>
                <w:lang w:val="en-IE"/>
              </w:rPr>
              <w:t>Rejection</w:t>
            </w:r>
            <w:r w:rsidRPr="0014434B">
              <w:rPr>
                <w:b/>
                <w:bCs/>
                <w:sz w:val="18"/>
                <w:szCs w:val="18"/>
                <w:lang w:val="en-IE"/>
              </w:rPr>
              <w:br/>
              <w:t>criteria</w:t>
            </w:r>
          </w:p>
        </w:tc>
        <w:tc>
          <w:tcPr>
            <w:tcW w:w="1984" w:type="dxa"/>
            <w:tcBorders>
              <w:top w:val="single" w:sz="12" w:space="0" w:color="auto"/>
              <w:left w:val="single" w:sz="6" w:space="0" w:color="auto"/>
              <w:bottom w:val="single" w:sz="6" w:space="0" w:color="auto"/>
              <w:right w:val="single" w:sz="6" w:space="0" w:color="auto"/>
            </w:tcBorders>
            <w:hideMark/>
          </w:tcPr>
          <w:p w:rsidR="00B14AD8" w:rsidRPr="0014434B" w:rsidRDefault="00B14AD8" w:rsidP="000072E9">
            <w:pPr>
              <w:spacing w:after="120" w:line="276" w:lineRule="auto"/>
              <w:jc w:val="center"/>
              <w:rPr>
                <w:b/>
                <w:bCs/>
                <w:sz w:val="18"/>
                <w:szCs w:val="18"/>
                <w:lang w:val="en-IE"/>
              </w:rPr>
            </w:pPr>
            <w:r w:rsidRPr="0014434B">
              <w:rPr>
                <w:b/>
                <w:bCs/>
                <w:sz w:val="18"/>
                <w:szCs w:val="18"/>
                <w:lang w:val="en-IE"/>
              </w:rPr>
              <w:t>Population Group sampling level</w:t>
            </w:r>
          </w:p>
        </w:tc>
      </w:tr>
      <w:tr w:rsidR="00B14AD8" w:rsidRPr="0014434B" w:rsidTr="000072E9">
        <w:trPr>
          <w:cantSplit/>
          <w:trHeight w:val="1839"/>
        </w:trPr>
        <w:tc>
          <w:tcPr>
            <w:tcW w:w="1119" w:type="dxa"/>
            <w:vMerge w:val="restart"/>
            <w:tcBorders>
              <w:top w:val="single" w:sz="6" w:space="0" w:color="auto"/>
              <w:left w:val="single" w:sz="12" w:space="0" w:color="auto"/>
              <w:right w:val="single" w:sz="6" w:space="0" w:color="auto"/>
            </w:tcBorders>
            <w:hideMark/>
          </w:tcPr>
          <w:p w:rsidR="00B14AD8" w:rsidRPr="0014434B" w:rsidRDefault="00B14AD8" w:rsidP="000072E9">
            <w:pPr>
              <w:pStyle w:val="Tabletext9"/>
              <w:rPr>
                <w:rFonts w:ascii="Times New Roman" w:hAnsi="Times New Roman"/>
                <w:szCs w:val="18"/>
                <w:lang w:val="en-IE"/>
              </w:rPr>
            </w:pPr>
            <w:r w:rsidRPr="0014434B">
              <w:rPr>
                <w:rFonts w:ascii="Times New Roman" w:hAnsi="Times New Roman"/>
                <w:szCs w:val="18"/>
                <w:lang w:val="en-IE"/>
              </w:rPr>
              <w:t xml:space="preserve">                       After 3 years in service</w:t>
            </w:r>
          </w:p>
        </w:tc>
        <w:tc>
          <w:tcPr>
            <w:tcW w:w="1388" w:type="dxa"/>
            <w:tcBorders>
              <w:top w:val="single" w:sz="6" w:space="0" w:color="auto"/>
              <w:left w:val="single" w:sz="6" w:space="0" w:color="auto"/>
              <w:right w:val="single" w:sz="6" w:space="0" w:color="auto"/>
            </w:tcBorders>
            <w:hideMark/>
          </w:tcPr>
          <w:p w:rsidR="00B14AD8" w:rsidRPr="0014434B" w:rsidRDefault="00B14AD8" w:rsidP="000072E9">
            <w:pPr>
              <w:pStyle w:val="Tabletext9"/>
              <w:rPr>
                <w:rFonts w:ascii="Times New Roman" w:hAnsi="Times New Roman"/>
                <w:szCs w:val="18"/>
                <w:lang w:val="en-IE"/>
              </w:rPr>
            </w:pPr>
            <w:r w:rsidRPr="0014434B">
              <w:rPr>
                <w:rFonts w:ascii="Times New Roman" w:hAnsi="Times New Roman"/>
                <w:szCs w:val="18"/>
                <w:lang w:val="en-IE"/>
              </w:rPr>
              <w:t>Burst test</w:t>
            </w:r>
          </w:p>
        </w:tc>
        <w:tc>
          <w:tcPr>
            <w:tcW w:w="1559" w:type="dxa"/>
            <w:tcBorders>
              <w:top w:val="single" w:sz="6" w:space="0" w:color="auto"/>
              <w:left w:val="single" w:sz="6" w:space="0" w:color="auto"/>
              <w:right w:val="single" w:sz="6" w:space="0" w:color="auto"/>
            </w:tcBorders>
            <w:hideMark/>
          </w:tcPr>
          <w:p w:rsidR="00B14AD8" w:rsidRPr="0014434B" w:rsidRDefault="00B14AD8" w:rsidP="000072E9">
            <w:pPr>
              <w:pStyle w:val="Tabletext9"/>
              <w:jc w:val="left"/>
              <w:rPr>
                <w:rFonts w:ascii="Times New Roman" w:hAnsi="Times New Roman"/>
                <w:szCs w:val="18"/>
                <w:lang w:val="en-IE"/>
              </w:rPr>
            </w:pPr>
            <w:r w:rsidRPr="0014434B">
              <w:rPr>
                <w:rFonts w:ascii="Times New Roman" w:hAnsi="Times New Roman"/>
                <w:szCs w:val="18"/>
                <w:lang w:val="en-IE"/>
              </w:rPr>
              <w:t>EN 1442:2014</w:t>
            </w:r>
          </w:p>
        </w:tc>
        <w:tc>
          <w:tcPr>
            <w:tcW w:w="3544" w:type="dxa"/>
            <w:tcBorders>
              <w:top w:val="single" w:sz="6" w:space="0" w:color="auto"/>
              <w:left w:val="single" w:sz="6" w:space="0" w:color="auto"/>
              <w:right w:val="single" w:sz="6" w:space="0" w:color="auto"/>
            </w:tcBorders>
            <w:hideMark/>
          </w:tcPr>
          <w:p w:rsidR="00B14AD8" w:rsidRPr="0014434B" w:rsidRDefault="00B14AD8" w:rsidP="000072E9">
            <w:pPr>
              <w:spacing w:after="120" w:line="276" w:lineRule="auto"/>
              <w:jc w:val="center"/>
              <w:rPr>
                <w:sz w:val="18"/>
                <w:szCs w:val="18"/>
                <w:lang w:val="en-US"/>
              </w:rPr>
            </w:pPr>
            <w:r w:rsidRPr="0014434B">
              <w:rPr>
                <w:sz w:val="18"/>
                <w:szCs w:val="18"/>
                <w:lang w:val="en-IE"/>
              </w:rPr>
              <w:t xml:space="preserve">Representative Burst pressure point </w:t>
            </w:r>
            <w:r w:rsidRPr="0014434B">
              <w:rPr>
                <w:sz w:val="18"/>
                <w:szCs w:val="18"/>
                <w:lang w:val="en-US"/>
              </w:rPr>
              <w:t>of the sample must be above the lower limit of tolerance interval on</w:t>
            </w:r>
            <w:r w:rsidRPr="0014434B">
              <w:rPr>
                <w:sz w:val="18"/>
                <w:szCs w:val="18"/>
                <w:lang w:val="en-IE"/>
              </w:rPr>
              <w:t xml:space="preserve"> the Sample Performance Chart</w:t>
            </w:r>
          </w:p>
          <w:p w:rsidR="00B14AD8" w:rsidRPr="0014434B" w:rsidRDefault="00B14AD8" w:rsidP="000072E9">
            <w:pPr>
              <w:spacing w:after="120" w:line="276" w:lineRule="auto"/>
              <w:jc w:val="center"/>
              <w:rPr>
                <w:sz w:val="18"/>
                <w:szCs w:val="18"/>
                <w:lang w:val="en-IE"/>
              </w:rPr>
            </w:pPr>
            <w:r w:rsidRPr="0014434B">
              <w:rPr>
                <w:sz w:val="18"/>
                <w:szCs w:val="18"/>
              </w:rPr>
              <w:t>Ω</w:t>
            </w:r>
            <w:r w:rsidRPr="0014434B">
              <w:rPr>
                <w:sz w:val="18"/>
                <w:szCs w:val="18"/>
                <w:vertAlign w:val="subscript"/>
              </w:rPr>
              <w:t>m</w:t>
            </w:r>
            <w:r w:rsidRPr="0014434B" w:rsidDel="00250403">
              <w:rPr>
                <w:sz w:val="18"/>
                <w:szCs w:val="18"/>
                <w:lang w:val="en-US"/>
              </w:rPr>
              <w:t xml:space="preserve"> </w:t>
            </w:r>
            <w:r w:rsidRPr="0014434B">
              <w:rPr>
                <w:sz w:val="18"/>
                <w:szCs w:val="18"/>
                <w:lang w:val="en-US"/>
              </w:rPr>
              <w:t xml:space="preserve">≥ 1 + </w:t>
            </w:r>
            <w:r w:rsidRPr="0014434B">
              <w:rPr>
                <w:sz w:val="18"/>
                <w:szCs w:val="18"/>
              </w:rPr>
              <w:t>Ω</w:t>
            </w:r>
            <w:r w:rsidRPr="0014434B">
              <w:rPr>
                <w:sz w:val="18"/>
                <w:szCs w:val="18"/>
                <w:vertAlign w:val="subscript"/>
              </w:rPr>
              <w:t>s</w:t>
            </w:r>
            <w:r w:rsidRPr="0014434B">
              <w:rPr>
                <w:sz w:val="18"/>
                <w:szCs w:val="18"/>
                <w:vertAlign w:val="subscript"/>
                <w:lang w:val="en-US"/>
              </w:rPr>
              <w:t xml:space="preserve"> </w:t>
            </w:r>
            <w:r w:rsidRPr="0014434B">
              <w:rPr>
                <w:sz w:val="18"/>
                <w:szCs w:val="18"/>
                <w:lang w:val="en-US"/>
              </w:rPr>
              <w:t>× k3(n;p;1- α)</w:t>
            </w:r>
            <w:r w:rsidRPr="0014434B">
              <w:rPr>
                <w:sz w:val="18"/>
                <w:szCs w:val="18"/>
                <w:lang w:val="en-IE"/>
              </w:rPr>
              <w:t xml:space="preserve"> (*)</w:t>
            </w:r>
          </w:p>
          <w:p w:rsidR="00B14AD8" w:rsidRPr="0014434B" w:rsidRDefault="00B14AD8" w:rsidP="000072E9">
            <w:pPr>
              <w:spacing w:after="120" w:line="276" w:lineRule="auto"/>
              <w:jc w:val="center"/>
              <w:rPr>
                <w:sz w:val="18"/>
                <w:szCs w:val="18"/>
                <w:lang w:val="en-IE"/>
              </w:rPr>
            </w:pPr>
            <w:r w:rsidRPr="0014434B">
              <w:rPr>
                <w:sz w:val="18"/>
                <w:szCs w:val="18"/>
                <w:lang w:val="en-IE"/>
              </w:rPr>
              <w:t>-</w:t>
            </w:r>
          </w:p>
          <w:p w:rsidR="00B14AD8" w:rsidRPr="0014434B" w:rsidRDefault="00B14AD8" w:rsidP="000072E9">
            <w:pPr>
              <w:spacing w:after="120" w:line="276" w:lineRule="auto"/>
              <w:jc w:val="center"/>
              <w:rPr>
                <w:sz w:val="18"/>
                <w:szCs w:val="18"/>
                <w:lang w:val="en-IE"/>
              </w:rPr>
            </w:pPr>
            <w:r w:rsidRPr="0014434B">
              <w:rPr>
                <w:sz w:val="18"/>
                <w:szCs w:val="18"/>
                <w:lang w:val="en-IE"/>
              </w:rPr>
              <w:t>No individual sample shall exhibit a burst pressure less than the test pressure</w:t>
            </w:r>
          </w:p>
        </w:tc>
        <w:tc>
          <w:tcPr>
            <w:tcW w:w="1984" w:type="dxa"/>
            <w:tcBorders>
              <w:top w:val="single" w:sz="6" w:space="0" w:color="auto"/>
              <w:left w:val="single" w:sz="6" w:space="0" w:color="auto"/>
              <w:right w:val="single" w:sz="6" w:space="0" w:color="auto"/>
            </w:tcBorders>
            <w:hideMark/>
          </w:tcPr>
          <w:p w:rsidR="00B14AD8" w:rsidRPr="0014434B" w:rsidRDefault="00B14AD8" w:rsidP="000072E9">
            <w:pPr>
              <w:spacing w:after="120" w:line="276" w:lineRule="auto"/>
              <w:jc w:val="center"/>
              <w:rPr>
                <w:sz w:val="18"/>
                <w:szCs w:val="18"/>
                <w:lang w:val="en-IE"/>
              </w:rPr>
            </w:pPr>
            <w:r w:rsidRPr="0014434B">
              <w:rPr>
                <w:position w:val="-12"/>
                <w:sz w:val="18"/>
                <w:szCs w:val="18"/>
                <w:lang w:val="en-IE"/>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75pt" o:ole="">
                  <v:imagedata r:id="rId9" o:title=""/>
                </v:shape>
                <o:OLEObject Type="Embed" ProgID="Equation.3" ShapeID="_x0000_i1025" DrawAspect="Content" ObjectID="_1560852886" r:id="rId10"/>
              </w:object>
            </w:r>
            <w:r w:rsidRPr="0014434B">
              <w:rPr>
                <w:sz w:val="18"/>
                <w:szCs w:val="18"/>
                <w:lang w:val="en-IE"/>
              </w:rPr>
              <w:t xml:space="preserve"> or </w:t>
            </w:r>
            <w:r w:rsidRPr="0014434B">
              <w:rPr>
                <w:position w:val="-10"/>
                <w:sz w:val="18"/>
                <w:szCs w:val="18"/>
                <w:lang w:val="en-IE"/>
              </w:rPr>
              <w:object w:dxaOrig="680" w:dyaOrig="300">
                <v:shape id="_x0000_i1026" type="#_x0000_t75" style="width:34.5pt;height:15.75pt" o:ole="">
                  <v:imagedata r:id="rId11" o:title=""/>
                </v:shape>
                <o:OLEObject Type="Embed" ProgID="Equation.3" ShapeID="_x0000_i1026" DrawAspect="Content" ObjectID="_1560852887" r:id="rId12"/>
              </w:object>
            </w:r>
            <w:r w:rsidRPr="0014434B">
              <w:rPr>
                <w:sz w:val="18"/>
                <w:szCs w:val="18"/>
                <w:lang w:val="en-IE"/>
              </w:rPr>
              <w:br/>
              <w:t>whichever is lower,</w:t>
            </w:r>
          </w:p>
          <w:p w:rsidR="00B14AD8" w:rsidRPr="0014434B" w:rsidRDefault="00B14AD8" w:rsidP="000072E9">
            <w:pPr>
              <w:spacing w:after="120" w:line="276" w:lineRule="auto"/>
              <w:jc w:val="center"/>
              <w:rPr>
                <w:sz w:val="18"/>
                <w:szCs w:val="18"/>
                <w:lang w:val="en-IE"/>
              </w:rPr>
            </w:pPr>
            <w:r w:rsidRPr="0014434B">
              <w:rPr>
                <w:sz w:val="18"/>
                <w:szCs w:val="18"/>
                <w:lang w:val="en-IE"/>
              </w:rPr>
              <w:t xml:space="preserve">and </w:t>
            </w:r>
          </w:p>
          <w:p w:rsidR="00B14AD8" w:rsidRPr="0014434B" w:rsidRDefault="00B14AD8" w:rsidP="000072E9">
            <w:pPr>
              <w:spacing w:after="120" w:line="276" w:lineRule="auto"/>
              <w:jc w:val="center"/>
              <w:rPr>
                <w:sz w:val="18"/>
                <w:szCs w:val="18"/>
                <w:lang w:val="en-IE"/>
              </w:rPr>
            </w:pPr>
            <w:r w:rsidRPr="0014434B">
              <w:rPr>
                <w:sz w:val="18"/>
                <w:szCs w:val="18"/>
                <w:lang w:val="en-IE"/>
              </w:rPr>
              <w:t>with a minimum of 20 per population group (Q)</w:t>
            </w:r>
          </w:p>
          <w:p w:rsidR="00B14AD8" w:rsidRPr="0014434B" w:rsidRDefault="00B14AD8" w:rsidP="000072E9">
            <w:pPr>
              <w:spacing w:after="120" w:line="276" w:lineRule="auto"/>
              <w:jc w:val="center"/>
              <w:rPr>
                <w:sz w:val="18"/>
                <w:szCs w:val="18"/>
                <w:lang w:val="en-IE"/>
              </w:rPr>
            </w:pPr>
          </w:p>
        </w:tc>
      </w:tr>
      <w:tr w:rsidR="00B14AD8" w:rsidRPr="0014434B" w:rsidTr="000072E9">
        <w:trPr>
          <w:trHeight w:hRule="exact" w:val="1057"/>
        </w:trPr>
        <w:tc>
          <w:tcPr>
            <w:tcW w:w="1119" w:type="dxa"/>
            <w:vMerge/>
            <w:tcBorders>
              <w:left w:val="single" w:sz="12" w:space="0" w:color="auto"/>
              <w:right w:val="single" w:sz="6" w:space="0" w:color="auto"/>
            </w:tcBorders>
            <w:vAlign w:val="center"/>
            <w:hideMark/>
          </w:tcPr>
          <w:p w:rsidR="00B14AD8" w:rsidRPr="0014434B" w:rsidRDefault="00B14AD8" w:rsidP="000072E9">
            <w:pPr>
              <w:spacing w:after="120" w:line="276" w:lineRule="auto"/>
              <w:rPr>
                <w:sz w:val="18"/>
                <w:szCs w:val="18"/>
                <w:lang w:val="en-IE"/>
              </w:rPr>
            </w:pPr>
          </w:p>
        </w:tc>
        <w:tc>
          <w:tcPr>
            <w:tcW w:w="138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B14AD8" w:rsidRPr="0014434B" w:rsidRDefault="00B14AD8" w:rsidP="000072E9">
            <w:pPr>
              <w:pStyle w:val="Tabletext9"/>
              <w:rPr>
                <w:rFonts w:ascii="Times New Roman" w:hAnsi="Times New Roman"/>
                <w:szCs w:val="18"/>
                <w:lang w:val="en-IE"/>
              </w:rPr>
            </w:pPr>
            <w:r w:rsidRPr="0014434B">
              <w:rPr>
                <w:rFonts w:ascii="Times New Roman" w:hAnsi="Times New Roman"/>
                <w:szCs w:val="18"/>
                <w:lang w:val="en-IE"/>
              </w:rPr>
              <w:t>Peeling</w:t>
            </w:r>
            <w:r w:rsidRPr="0014434B">
              <w:rPr>
                <w:rFonts w:ascii="Times New Roman" w:hAnsi="Times New Roman"/>
                <w:szCs w:val="18"/>
                <w:lang w:val="en-IE"/>
              </w:rPr>
              <w:br/>
              <w:t>and</w:t>
            </w:r>
            <w:r w:rsidRPr="0014434B">
              <w:rPr>
                <w:rFonts w:ascii="Times New Roman" w:hAnsi="Times New Roman"/>
                <w:szCs w:val="18"/>
                <w:lang w:val="en-IE"/>
              </w:rPr>
              <w:br/>
              <w:t>corrosion</w:t>
            </w:r>
          </w:p>
        </w:tc>
        <w:tc>
          <w:tcPr>
            <w:tcW w:w="155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B14AD8" w:rsidRPr="0014434B" w:rsidRDefault="00B14AD8" w:rsidP="000072E9">
            <w:pPr>
              <w:pStyle w:val="Tabletext9"/>
              <w:jc w:val="left"/>
              <w:rPr>
                <w:rFonts w:ascii="Times New Roman" w:hAnsi="Times New Roman"/>
                <w:szCs w:val="18"/>
                <w:lang w:val="en-IE"/>
              </w:rPr>
            </w:pPr>
            <w:r w:rsidRPr="0014434B">
              <w:rPr>
                <w:rFonts w:ascii="Times New Roman" w:hAnsi="Times New Roman"/>
                <w:szCs w:val="18"/>
                <w:lang w:val="en-IE"/>
              </w:rPr>
              <w:t>EN ISO 4628-3:2004</w:t>
            </w:r>
          </w:p>
        </w:tc>
        <w:tc>
          <w:tcPr>
            <w:tcW w:w="354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B14AD8" w:rsidRPr="0014434B" w:rsidRDefault="00B14AD8" w:rsidP="000072E9">
            <w:pPr>
              <w:spacing w:after="120" w:line="276" w:lineRule="auto"/>
              <w:jc w:val="center"/>
              <w:rPr>
                <w:sz w:val="18"/>
                <w:szCs w:val="18"/>
                <w:lang w:val="en-IE"/>
              </w:rPr>
            </w:pPr>
            <w:r w:rsidRPr="0014434B">
              <w:rPr>
                <w:sz w:val="18"/>
                <w:szCs w:val="18"/>
                <w:lang w:val="en-IE"/>
              </w:rPr>
              <w:t>Max corrosion</w:t>
            </w:r>
            <w:r w:rsidRPr="0014434B">
              <w:rPr>
                <w:sz w:val="18"/>
                <w:szCs w:val="18"/>
                <w:lang w:val="en-IE"/>
              </w:rPr>
              <w:br/>
              <w:t>grade:</w:t>
            </w:r>
          </w:p>
          <w:p w:rsidR="00B14AD8" w:rsidRPr="0014434B" w:rsidRDefault="00B14AD8" w:rsidP="000072E9">
            <w:pPr>
              <w:spacing w:after="120" w:line="276" w:lineRule="auto"/>
              <w:jc w:val="center"/>
              <w:rPr>
                <w:sz w:val="18"/>
                <w:szCs w:val="18"/>
                <w:lang w:val="en-IE"/>
              </w:rPr>
            </w:pPr>
            <w:r w:rsidRPr="0014434B">
              <w:rPr>
                <w:sz w:val="18"/>
                <w:szCs w:val="18"/>
                <w:lang w:val="en-IE"/>
              </w:rPr>
              <w:t>Ri2</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B14AD8" w:rsidRPr="0014434B" w:rsidRDefault="00B14AD8" w:rsidP="000072E9">
            <w:pPr>
              <w:spacing w:after="120" w:line="276" w:lineRule="auto"/>
              <w:jc w:val="center"/>
              <w:rPr>
                <w:sz w:val="18"/>
                <w:szCs w:val="18"/>
                <w:lang w:val="en-IE"/>
              </w:rPr>
            </w:pPr>
            <w:r w:rsidRPr="0014434B">
              <w:rPr>
                <w:iCs/>
                <w:w w:val="105"/>
                <w:sz w:val="18"/>
                <w:szCs w:val="18"/>
                <w:lang w:val="en-IE"/>
              </w:rPr>
              <w:t>Q</w:t>
            </w:r>
            <w:r w:rsidRPr="0014434B">
              <w:rPr>
                <w:sz w:val="18"/>
                <w:szCs w:val="18"/>
                <w:lang w:val="en-IE"/>
              </w:rPr>
              <w:t>/1 000</w:t>
            </w:r>
          </w:p>
        </w:tc>
      </w:tr>
      <w:tr w:rsidR="00B14AD8" w:rsidRPr="0014434B" w:rsidTr="000072E9">
        <w:trPr>
          <w:trHeight w:val="839"/>
        </w:trPr>
        <w:tc>
          <w:tcPr>
            <w:tcW w:w="1119" w:type="dxa"/>
            <w:vMerge/>
            <w:tcBorders>
              <w:left w:val="single" w:sz="12" w:space="0" w:color="auto"/>
              <w:right w:val="single" w:sz="6" w:space="0" w:color="auto"/>
            </w:tcBorders>
            <w:tcMar>
              <w:top w:w="0" w:type="dxa"/>
              <w:left w:w="108" w:type="dxa"/>
              <w:bottom w:w="0" w:type="dxa"/>
              <w:right w:w="108" w:type="dxa"/>
            </w:tcMar>
          </w:tcPr>
          <w:p w:rsidR="00B14AD8" w:rsidRPr="0014434B" w:rsidRDefault="00B14AD8" w:rsidP="000072E9">
            <w:pPr>
              <w:pStyle w:val="Tabletext9"/>
              <w:rPr>
                <w:rFonts w:ascii="Times New Roman" w:hAnsi="Times New Roman"/>
                <w:szCs w:val="18"/>
                <w:lang w:val="en-IE"/>
              </w:rPr>
            </w:pPr>
          </w:p>
        </w:tc>
        <w:tc>
          <w:tcPr>
            <w:tcW w:w="1388" w:type="dxa"/>
            <w:tcBorders>
              <w:top w:val="single" w:sz="6" w:space="0" w:color="auto"/>
              <w:left w:val="single" w:sz="6" w:space="0" w:color="auto"/>
              <w:right w:val="single" w:sz="6" w:space="0" w:color="auto"/>
            </w:tcBorders>
            <w:tcMar>
              <w:top w:w="0" w:type="dxa"/>
              <w:left w:w="108" w:type="dxa"/>
              <w:bottom w:w="0" w:type="dxa"/>
              <w:right w:w="108" w:type="dxa"/>
            </w:tcMar>
          </w:tcPr>
          <w:p w:rsidR="00B14AD8" w:rsidRPr="0014434B" w:rsidRDefault="00B14AD8" w:rsidP="000072E9">
            <w:pPr>
              <w:pStyle w:val="Tabletext9"/>
              <w:rPr>
                <w:rFonts w:ascii="Times New Roman" w:hAnsi="Times New Roman"/>
                <w:szCs w:val="18"/>
                <w:lang w:val="en-IE"/>
              </w:rPr>
            </w:pPr>
            <w:r w:rsidRPr="0014434B">
              <w:rPr>
                <w:rFonts w:ascii="Times New Roman" w:hAnsi="Times New Roman"/>
                <w:szCs w:val="18"/>
                <w:lang w:val="en-IE"/>
              </w:rPr>
              <w:t>Adhesion of Polyurethane</w:t>
            </w:r>
          </w:p>
        </w:tc>
        <w:tc>
          <w:tcPr>
            <w:tcW w:w="1559" w:type="dxa"/>
            <w:tcBorders>
              <w:top w:val="single" w:sz="6" w:space="0" w:color="auto"/>
              <w:left w:val="single" w:sz="6" w:space="0" w:color="auto"/>
              <w:right w:val="single" w:sz="6" w:space="0" w:color="auto"/>
            </w:tcBorders>
            <w:tcMar>
              <w:top w:w="0" w:type="dxa"/>
              <w:left w:w="108" w:type="dxa"/>
              <w:bottom w:w="0" w:type="dxa"/>
              <w:right w:w="108" w:type="dxa"/>
            </w:tcMar>
          </w:tcPr>
          <w:p w:rsidR="00B14AD8" w:rsidRPr="0014434B" w:rsidRDefault="00B14AD8" w:rsidP="000072E9">
            <w:pPr>
              <w:pStyle w:val="Tabletext9"/>
              <w:jc w:val="left"/>
              <w:rPr>
                <w:rFonts w:ascii="Times New Roman" w:hAnsi="Times New Roman"/>
                <w:szCs w:val="18"/>
                <w:lang w:val="en-IE"/>
              </w:rPr>
            </w:pPr>
            <w:r w:rsidRPr="0014434B">
              <w:rPr>
                <w:rFonts w:ascii="Times New Roman" w:hAnsi="Times New Roman"/>
                <w:szCs w:val="18"/>
                <w:lang w:val="en-IE"/>
              </w:rPr>
              <w:t>ISO 2859-1:2000</w:t>
            </w:r>
          </w:p>
          <w:p w:rsidR="00B14AD8" w:rsidRPr="0014434B" w:rsidRDefault="00B14AD8" w:rsidP="000072E9">
            <w:pPr>
              <w:pStyle w:val="Tabletext9"/>
              <w:jc w:val="left"/>
              <w:rPr>
                <w:rFonts w:ascii="Times New Roman" w:hAnsi="Times New Roman"/>
                <w:szCs w:val="18"/>
                <w:lang w:val="en-IE"/>
              </w:rPr>
            </w:pPr>
            <w:r w:rsidRPr="0014434B">
              <w:rPr>
                <w:rFonts w:ascii="Times New Roman" w:hAnsi="Times New Roman"/>
                <w:szCs w:val="18"/>
                <w:lang w:val="en-IE"/>
              </w:rPr>
              <w:t>EN 1442:2014</w:t>
            </w:r>
          </w:p>
          <w:p w:rsidR="00B14AD8" w:rsidRPr="0014434B" w:rsidRDefault="00B14AD8" w:rsidP="000072E9">
            <w:pPr>
              <w:pStyle w:val="Tabletext9"/>
              <w:jc w:val="left"/>
              <w:rPr>
                <w:rFonts w:ascii="Times New Roman" w:hAnsi="Times New Roman"/>
                <w:szCs w:val="18"/>
                <w:lang w:val="en-IE"/>
              </w:rPr>
            </w:pPr>
            <w:r w:rsidRPr="0014434B">
              <w:rPr>
                <w:rFonts w:ascii="Times New Roman" w:hAnsi="Times New Roman"/>
                <w:szCs w:val="18"/>
                <w:lang w:val="en-IE"/>
              </w:rPr>
              <w:t>EN 14140:2015</w:t>
            </w:r>
          </w:p>
        </w:tc>
        <w:tc>
          <w:tcPr>
            <w:tcW w:w="354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B14AD8" w:rsidRPr="0014434B" w:rsidRDefault="00B14AD8" w:rsidP="000072E9">
            <w:pPr>
              <w:spacing w:after="120" w:line="276" w:lineRule="auto"/>
              <w:jc w:val="center"/>
              <w:rPr>
                <w:sz w:val="18"/>
                <w:szCs w:val="18"/>
                <w:lang w:val="en-IE"/>
              </w:rPr>
            </w:pPr>
            <w:r w:rsidRPr="0014434B">
              <w:rPr>
                <w:sz w:val="18"/>
                <w:szCs w:val="18"/>
                <w:lang w:val="en-IE"/>
              </w:rPr>
              <w:t>Adhesion value &gt; 0.5 N/mm²</w:t>
            </w:r>
          </w:p>
        </w:tc>
        <w:tc>
          <w:tcPr>
            <w:tcW w:w="1984" w:type="dxa"/>
            <w:tcBorders>
              <w:top w:val="single" w:sz="6" w:space="0" w:color="auto"/>
              <w:left w:val="single" w:sz="6" w:space="0" w:color="auto"/>
              <w:right w:val="single" w:sz="6" w:space="0" w:color="auto"/>
            </w:tcBorders>
            <w:tcMar>
              <w:top w:w="0" w:type="dxa"/>
              <w:left w:w="108" w:type="dxa"/>
              <w:bottom w:w="0" w:type="dxa"/>
              <w:right w:w="108" w:type="dxa"/>
            </w:tcMar>
          </w:tcPr>
          <w:p w:rsidR="00B14AD8" w:rsidRPr="0014434B" w:rsidRDefault="00B14AD8" w:rsidP="000072E9">
            <w:pPr>
              <w:spacing w:after="120" w:line="276" w:lineRule="auto"/>
              <w:jc w:val="center"/>
              <w:rPr>
                <w:position w:val="-12"/>
                <w:sz w:val="18"/>
                <w:szCs w:val="18"/>
                <w:lang w:val="en-IE"/>
              </w:rPr>
            </w:pPr>
            <w:r w:rsidRPr="0014434B">
              <w:rPr>
                <w:position w:val="-12"/>
                <w:sz w:val="18"/>
                <w:szCs w:val="18"/>
                <w:lang w:val="en-IE"/>
              </w:rPr>
              <w:t>See ISO 2859-1:2000 applied to Q/1000</w:t>
            </w:r>
          </w:p>
        </w:tc>
      </w:tr>
      <w:tr w:rsidR="00B14AD8" w:rsidRPr="0014434B" w:rsidTr="000072E9">
        <w:trPr>
          <w:trHeight w:val="2151"/>
        </w:trPr>
        <w:tc>
          <w:tcPr>
            <w:tcW w:w="1119" w:type="dxa"/>
            <w:vMerge w:val="restart"/>
            <w:tcBorders>
              <w:top w:val="single" w:sz="6" w:space="0" w:color="auto"/>
              <w:left w:val="single" w:sz="12" w:space="0" w:color="auto"/>
              <w:right w:val="single" w:sz="6" w:space="0" w:color="auto"/>
            </w:tcBorders>
            <w:tcMar>
              <w:top w:w="0" w:type="dxa"/>
              <w:left w:w="108" w:type="dxa"/>
              <w:bottom w:w="0" w:type="dxa"/>
              <w:right w:w="108" w:type="dxa"/>
            </w:tcMar>
            <w:hideMark/>
          </w:tcPr>
          <w:p w:rsidR="00B14AD8" w:rsidRPr="0014434B" w:rsidRDefault="00B14AD8" w:rsidP="000072E9">
            <w:pPr>
              <w:pStyle w:val="Tabletext9"/>
              <w:rPr>
                <w:rFonts w:ascii="Times New Roman" w:hAnsi="Times New Roman"/>
                <w:szCs w:val="18"/>
                <w:lang w:val="en-IE"/>
              </w:rPr>
            </w:pPr>
            <w:r w:rsidRPr="0014434B">
              <w:rPr>
                <w:rFonts w:ascii="Times New Roman" w:hAnsi="Times New Roman"/>
                <w:szCs w:val="18"/>
                <w:lang w:val="en-IE"/>
              </w:rPr>
              <w:t xml:space="preserve">Every </w:t>
            </w:r>
            <w:r w:rsidRPr="0014434B">
              <w:rPr>
                <w:rFonts w:ascii="Times New Roman" w:hAnsi="Times New Roman"/>
                <w:w w:val="105"/>
                <w:szCs w:val="18"/>
                <w:lang w:val="en-IE"/>
              </w:rPr>
              <w:t>5 years thereafter</w:t>
            </w:r>
          </w:p>
        </w:tc>
        <w:tc>
          <w:tcPr>
            <w:tcW w:w="1388" w:type="dxa"/>
            <w:tcBorders>
              <w:top w:val="single" w:sz="6" w:space="0" w:color="auto"/>
              <w:left w:val="single" w:sz="6" w:space="0" w:color="auto"/>
              <w:right w:val="single" w:sz="6" w:space="0" w:color="auto"/>
            </w:tcBorders>
            <w:tcMar>
              <w:top w:w="0" w:type="dxa"/>
              <w:left w:w="108" w:type="dxa"/>
              <w:bottom w:w="0" w:type="dxa"/>
              <w:right w:w="108" w:type="dxa"/>
            </w:tcMar>
            <w:hideMark/>
          </w:tcPr>
          <w:p w:rsidR="00B14AD8" w:rsidRPr="0014434B" w:rsidRDefault="00B14AD8" w:rsidP="000072E9">
            <w:pPr>
              <w:pStyle w:val="Tabletext9"/>
              <w:rPr>
                <w:rFonts w:ascii="Times New Roman" w:hAnsi="Times New Roman"/>
                <w:szCs w:val="18"/>
                <w:lang w:val="en-IE"/>
              </w:rPr>
            </w:pPr>
            <w:r w:rsidRPr="0014434B">
              <w:rPr>
                <w:rFonts w:ascii="Times New Roman" w:hAnsi="Times New Roman"/>
                <w:szCs w:val="18"/>
                <w:lang w:val="en-IE"/>
              </w:rPr>
              <w:t>Burst test</w:t>
            </w:r>
          </w:p>
        </w:tc>
        <w:tc>
          <w:tcPr>
            <w:tcW w:w="1559" w:type="dxa"/>
            <w:tcBorders>
              <w:top w:val="single" w:sz="6" w:space="0" w:color="auto"/>
              <w:left w:val="single" w:sz="6" w:space="0" w:color="auto"/>
              <w:right w:val="single" w:sz="6" w:space="0" w:color="auto"/>
            </w:tcBorders>
            <w:tcMar>
              <w:top w:w="0" w:type="dxa"/>
              <w:left w:w="108" w:type="dxa"/>
              <w:bottom w:w="0" w:type="dxa"/>
              <w:right w:w="108" w:type="dxa"/>
            </w:tcMar>
            <w:hideMark/>
          </w:tcPr>
          <w:p w:rsidR="00B14AD8" w:rsidRPr="0014434B" w:rsidRDefault="00B14AD8" w:rsidP="000072E9">
            <w:pPr>
              <w:pStyle w:val="Tabletext9"/>
              <w:jc w:val="left"/>
              <w:rPr>
                <w:rFonts w:ascii="Times New Roman" w:hAnsi="Times New Roman"/>
                <w:szCs w:val="18"/>
                <w:lang w:val="en-IE"/>
              </w:rPr>
            </w:pPr>
            <w:r w:rsidRPr="0014434B">
              <w:rPr>
                <w:rFonts w:ascii="Times New Roman" w:hAnsi="Times New Roman"/>
                <w:szCs w:val="18"/>
                <w:lang w:val="en-IE"/>
              </w:rPr>
              <w:t>EN 1442:2014</w:t>
            </w:r>
          </w:p>
        </w:tc>
        <w:tc>
          <w:tcPr>
            <w:tcW w:w="3544" w:type="dxa"/>
            <w:tcBorders>
              <w:top w:val="single" w:sz="6" w:space="0" w:color="auto"/>
              <w:left w:val="single" w:sz="6" w:space="0" w:color="auto"/>
              <w:right w:val="single" w:sz="6" w:space="0" w:color="auto"/>
            </w:tcBorders>
            <w:tcMar>
              <w:top w:w="0" w:type="dxa"/>
              <w:left w:w="108" w:type="dxa"/>
              <w:bottom w:w="0" w:type="dxa"/>
              <w:right w:w="108" w:type="dxa"/>
            </w:tcMar>
            <w:hideMark/>
          </w:tcPr>
          <w:p w:rsidR="00B14AD8" w:rsidRPr="0014434B" w:rsidRDefault="00B14AD8" w:rsidP="000072E9">
            <w:pPr>
              <w:spacing w:after="120" w:line="276" w:lineRule="auto"/>
              <w:jc w:val="center"/>
              <w:rPr>
                <w:sz w:val="18"/>
                <w:szCs w:val="18"/>
                <w:lang w:val="en-IE"/>
              </w:rPr>
            </w:pPr>
            <w:r w:rsidRPr="0014434B">
              <w:rPr>
                <w:sz w:val="18"/>
                <w:szCs w:val="18"/>
                <w:lang w:val="en-IE"/>
              </w:rPr>
              <w:t xml:space="preserve">Representative Burst pressure point of the sample must be above the </w:t>
            </w:r>
            <w:r w:rsidRPr="0014434B">
              <w:rPr>
                <w:sz w:val="18"/>
                <w:szCs w:val="18"/>
                <w:lang w:val="en-US"/>
              </w:rPr>
              <w:t xml:space="preserve">lower limit of tolerance interval </w:t>
            </w:r>
            <w:r w:rsidRPr="0014434B">
              <w:rPr>
                <w:sz w:val="18"/>
                <w:szCs w:val="18"/>
                <w:lang w:val="en-IE"/>
              </w:rPr>
              <w:t xml:space="preserve">on the Sample Performance Chart </w:t>
            </w:r>
          </w:p>
          <w:p w:rsidR="00B14AD8" w:rsidRPr="0014434B" w:rsidRDefault="00B14AD8" w:rsidP="000072E9">
            <w:pPr>
              <w:spacing w:after="120" w:line="276" w:lineRule="auto"/>
              <w:jc w:val="center"/>
              <w:rPr>
                <w:sz w:val="18"/>
                <w:szCs w:val="18"/>
                <w:lang w:val="en-IE"/>
              </w:rPr>
            </w:pPr>
            <w:r w:rsidRPr="0014434B">
              <w:rPr>
                <w:sz w:val="18"/>
                <w:szCs w:val="18"/>
              </w:rPr>
              <w:t>Ω</w:t>
            </w:r>
            <w:r w:rsidRPr="0014434B">
              <w:rPr>
                <w:sz w:val="18"/>
                <w:szCs w:val="18"/>
                <w:vertAlign w:val="subscript"/>
              </w:rPr>
              <w:t>m</w:t>
            </w:r>
            <w:r w:rsidRPr="0014434B" w:rsidDel="00250403">
              <w:rPr>
                <w:sz w:val="18"/>
                <w:szCs w:val="18"/>
                <w:lang w:val="en-US"/>
              </w:rPr>
              <w:t xml:space="preserve"> </w:t>
            </w:r>
            <w:r w:rsidRPr="0014434B">
              <w:rPr>
                <w:sz w:val="18"/>
                <w:szCs w:val="18"/>
                <w:lang w:val="en-US"/>
              </w:rPr>
              <w:t xml:space="preserve">≥ 1 + </w:t>
            </w:r>
            <w:r w:rsidRPr="0014434B">
              <w:rPr>
                <w:sz w:val="18"/>
                <w:szCs w:val="18"/>
              </w:rPr>
              <w:t>Ω</w:t>
            </w:r>
            <w:r w:rsidRPr="0014434B">
              <w:rPr>
                <w:sz w:val="18"/>
                <w:szCs w:val="18"/>
                <w:vertAlign w:val="subscript"/>
              </w:rPr>
              <w:t>s</w:t>
            </w:r>
            <w:r w:rsidRPr="0014434B">
              <w:rPr>
                <w:sz w:val="18"/>
                <w:szCs w:val="18"/>
                <w:vertAlign w:val="subscript"/>
                <w:lang w:val="en-US"/>
              </w:rPr>
              <w:t xml:space="preserve"> </w:t>
            </w:r>
            <w:r w:rsidRPr="0014434B">
              <w:rPr>
                <w:sz w:val="18"/>
                <w:szCs w:val="18"/>
                <w:lang w:val="en-US"/>
              </w:rPr>
              <w:t>× k3(n;p;1- α)</w:t>
            </w:r>
            <w:r w:rsidRPr="0014434B">
              <w:rPr>
                <w:sz w:val="18"/>
                <w:szCs w:val="18"/>
                <w:lang w:val="en-IE"/>
              </w:rPr>
              <w:t xml:space="preserve"> (*)</w:t>
            </w:r>
          </w:p>
          <w:p w:rsidR="00B14AD8" w:rsidRPr="0014434B" w:rsidRDefault="00B14AD8" w:rsidP="000072E9">
            <w:pPr>
              <w:spacing w:after="120" w:line="276" w:lineRule="auto"/>
              <w:jc w:val="center"/>
              <w:rPr>
                <w:sz w:val="18"/>
                <w:szCs w:val="18"/>
                <w:lang w:val="en-IE"/>
              </w:rPr>
            </w:pPr>
            <w:r w:rsidRPr="0014434B">
              <w:rPr>
                <w:sz w:val="18"/>
                <w:szCs w:val="18"/>
                <w:lang w:val="en-IE"/>
              </w:rPr>
              <w:t>-</w:t>
            </w:r>
          </w:p>
          <w:p w:rsidR="00B14AD8" w:rsidRPr="0014434B" w:rsidRDefault="00B14AD8" w:rsidP="000072E9">
            <w:pPr>
              <w:spacing w:after="120" w:line="276" w:lineRule="auto"/>
              <w:jc w:val="center"/>
              <w:rPr>
                <w:sz w:val="18"/>
                <w:szCs w:val="18"/>
                <w:lang w:val="en-IE"/>
              </w:rPr>
            </w:pPr>
            <w:r w:rsidRPr="0014434B">
              <w:rPr>
                <w:sz w:val="18"/>
                <w:szCs w:val="18"/>
                <w:lang w:val="en-IE"/>
              </w:rPr>
              <w:t>No individual sample shall exhibit a burst pressure less than the test pressure</w:t>
            </w:r>
          </w:p>
        </w:tc>
        <w:tc>
          <w:tcPr>
            <w:tcW w:w="1984" w:type="dxa"/>
            <w:tcBorders>
              <w:top w:val="single" w:sz="6" w:space="0" w:color="auto"/>
              <w:left w:val="single" w:sz="6" w:space="0" w:color="auto"/>
              <w:right w:val="single" w:sz="6" w:space="0" w:color="auto"/>
            </w:tcBorders>
            <w:tcMar>
              <w:top w:w="0" w:type="dxa"/>
              <w:left w:w="108" w:type="dxa"/>
              <w:bottom w:w="0" w:type="dxa"/>
              <w:right w:w="108" w:type="dxa"/>
            </w:tcMar>
          </w:tcPr>
          <w:p w:rsidR="00B14AD8" w:rsidRPr="0014434B" w:rsidRDefault="00B14AD8" w:rsidP="000072E9">
            <w:pPr>
              <w:spacing w:after="120" w:line="276" w:lineRule="auto"/>
              <w:jc w:val="center"/>
              <w:rPr>
                <w:sz w:val="18"/>
                <w:szCs w:val="18"/>
                <w:lang w:val="en-IE"/>
              </w:rPr>
            </w:pPr>
            <w:r w:rsidRPr="0014434B">
              <w:rPr>
                <w:position w:val="-12"/>
                <w:sz w:val="18"/>
                <w:szCs w:val="18"/>
                <w:lang w:val="en-IE"/>
              </w:rPr>
              <w:object w:dxaOrig="480" w:dyaOrig="380">
                <v:shape id="_x0000_i1027" type="#_x0000_t75" style="width:23.25pt;height:18.75pt" o:ole="">
                  <v:imagedata r:id="rId13" o:title=""/>
                </v:shape>
                <o:OLEObject Type="Embed" ProgID="Equation.3" ShapeID="_x0000_i1027" DrawAspect="Content" ObjectID="_1560852888" r:id="rId14"/>
              </w:object>
            </w:r>
            <w:r w:rsidRPr="0014434B">
              <w:rPr>
                <w:sz w:val="18"/>
                <w:szCs w:val="18"/>
                <w:lang w:val="en-IE"/>
              </w:rPr>
              <w:t xml:space="preserve"> or </w:t>
            </w:r>
            <w:r w:rsidRPr="0014434B">
              <w:rPr>
                <w:position w:val="-10"/>
                <w:sz w:val="18"/>
                <w:szCs w:val="18"/>
                <w:lang w:val="en-IE"/>
              </w:rPr>
              <w:object w:dxaOrig="660" w:dyaOrig="300">
                <v:shape id="_x0000_i1028" type="#_x0000_t75" style="width:33.75pt;height:15.75pt" o:ole="">
                  <v:imagedata r:id="rId15" o:title=""/>
                </v:shape>
                <o:OLEObject Type="Embed" ProgID="Equation.3" ShapeID="_x0000_i1028" DrawAspect="Content" ObjectID="_1560852889" r:id="rId16"/>
              </w:object>
            </w:r>
            <w:r w:rsidRPr="0014434B">
              <w:rPr>
                <w:sz w:val="18"/>
                <w:szCs w:val="18"/>
                <w:lang w:val="en-IE"/>
              </w:rPr>
              <w:t xml:space="preserve"> </w:t>
            </w:r>
            <w:r w:rsidRPr="0014434B">
              <w:rPr>
                <w:sz w:val="18"/>
                <w:szCs w:val="18"/>
                <w:lang w:val="en-IE"/>
              </w:rPr>
              <w:br/>
              <w:t>whichever is lower, </w:t>
            </w:r>
          </w:p>
          <w:p w:rsidR="00B14AD8" w:rsidRPr="0014434B" w:rsidRDefault="00B14AD8" w:rsidP="000072E9">
            <w:pPr>
              <w:spacing w:after="120" w:line="276" w:lineRule="auto"/>
              <w:jc w:val="center"/>
              <w:rPr>
                <w:sz w:val="18"/>
                <w:szCs w:val="18"/>
                <w:lang w:val="en-IE"/>
              </w:rPr>
            </w:pPr>
            <w:r w:rsidRPr="0014434B">
              <w:rPr>
                <w:sz w:val="18"/>
                <w:szCs w:val="18"/>
                <w:lang w:val="en-IE"/>
              </w:rPr>
              <w:t xml:space="preserve">and </w:t>
            </w:r>
          </w:p>
          <w:p w:rsidR="00B14AD8" w:rsidRPr="0014434B" w:rsidRDefault="00B14AD8" w:rsidP="000072E9">
            <w:pPr>
              <w:spacing w:after="120" w:line="276" w:lineRule="auto"/>
              <w:jc w:val="center"/>
              <w:rPr>
                <w:sz w:val="18"/>
                <w:szCs w:val="18"/>
                <w:lang w:val="en-IE"/>
              </w:rPr>
            </w:pPr>
            <w:r w:rsidRPr="0014434B">
              <w:rPr>
                <w:sz w:val="18"/>
                <w:szCs w:val="18"/>
                <w:lang w:val="en-IE"/>
              </w:rPr>
              <w:t>with a minimum of 40 per population group (Q)</w:t>
            </w:r>
          </w:p>
          <w:p w:rsidR="00B14AD8" w:rsidRPr="0014434B" w:rsidRDefault="00B14AD8" w:rsidP="000072E9">
            <w:pPr>
              <w:spacing w:after="120" w:line="276" w:lineRule="auto"/>
              <w:jc w:val="center"/>
              <w:rPr>
                <w:sz w:val="18"/>
                <w:szCs w:val="18"/>
                <w:lang w:val="en-IE"/>
              </w:rPr>
            </w:pPr>
          </w:p>
        </w:tc>
      </w:tr>
      <w:tr w:rsidR="00B14AD8" w:rsidRPr="0014434B" w:rsidTr="000072E9">
        <w:trPr>
          <w:trHeight w:hRule="exact" w:val="957"/>
        </w:trPr>
        <w:tc>
          <w:tcPr>
            <w:tcW w:w="1119" w:type="dxa"/>
            <w:vMerge/>
            <w:tcBorders>
              <w:left w:val="single" w:sz="12" w:space="0" w:color="auto"/>
              <w:right w:val="single" w:sz="6" w:space="0" w:color="auto"/>
            </w:tcBorders>
            <w:vAlign w:val="center"/>
            <w:hideMark/>
          </w:tcPr>
          <w:p w:rsidR="00B14AD8" w:rsidRPr="0014434B" w:rsidRDefault="00B14AD8" w:rsidP="000072E9">
            <w:pPr>
              <w:spacing w:after="120" w:line="276" w:lineRule="auto"/>
              <w:rPr>
                <w:sz w:val="18"/>
                <w:szCs w:val="18"/>
                <w:lang w:val="en-IE"/>
              </w:rPr>
            </w:pPr>
          </w:p>
        </w:tc>
        <w:tc>
          <w:tcPr>
            <w:tcW w:w="138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B14AD8" w:rsidRPr="0014434B" w:rsidRDefault="00B14AD8" w:rsidP="000072E9">
            <w:pPr>
              <w:pStyle w:val="Tabletext9"/>
              <w:rPr>
                <w:rFonts w:ascii="Times New Roman" w:hAnsi="Times New Roman"/>
                <w:szCs w:val="18"/>
                <w:lang w:val="en-IE"/>
              </w:rPr>
            </w:pPr>
            <w:r w:rsidRPr="0014434B">
              <w:rPr>
                <w:rFonts w:ascii="Times New Roman" w:hAnsi="Times New Roman"/>
                <w:szCs w:val="18"/>
                <w:lang w:val="en-IE"/>
              </w:rPr>
              <w:t>Peeling</w:t>
            </w:r>
            <w:r w:rsidRPr="0014434B">
              <w:rPr>
                <w:rFonts w:ascii="Times New Roman" w:hAnsi="Times New Roman"/>
                <w:szCs w:val="18"/>
                <w:lang w:val="en-IE"/>
              </w:rPr>
              <w:br/>
              <w:t>and</w:t>
            </w:r>
            <w:r w:rsidRPr="0014434B">
              <w:rPr>
                <w:rFonts w:ascii="Times New Roman" w:hAnsi="Times New Roman"/>
                <w:szCs w:val="18"/>
                <w:lang w:val="en-IE"/>
              </w:rPr>
              <w:br/>
              <w:t>corrosion</w:t>
            </w:r>
          </w:p>
        </w:tc>
        <w:tc>
          <w:tcPr>
            <w:tcW w:w="155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B14AD8" w:rsidRPr="0014434B" w:rsidRDefault="00B14AD8" w:rsidP="000072E9">
            <w:pPr>
              <w:pStyle w:val="Tabletext9"/>
              <w:jc w:val="left"/>
              <w:rPr>
                <w:rFonts w:ascii="Times New Roman" w:hAnsi="Times New Roman"/>
                <w:szCs w:val="18"/>
                <w:lang w:val="en-IE"/>
              </w:rPr>
            </w:pPr>
            <w:r w:rsidRPr="0014434B">
              <w:rPr>
                <w:rFonts w:ascii="Times New Roman" w:hAnsi="Times New Roman"/>
                <w:szCs w:val="18"/>
                <w:lang w:val="en-IE"/>
              </w:rPr>
              <w:t>EN ISO 4628-3:2004</w:t>
            </w:r>
          </w:p>
          <w:p w:rsidR="00B14AD8" w:rsidRPr="0014434B" w:rsidRDefault="00B14AD8" w:rsidP="000072E9">
            <w:pPr>
              <w:pStyle w:val="Tabletext9"/>
              <w:jc w:val="left"/>
              <w:rPr>
                <w:rFonts w:ascii="Times New Roman" w:hAnsi="Times New Roman"/>
                <w:szCs w:val="18"/>
                <w:lang w:val="en-IE"/>
              </w:rPr>
            </w:pPr>
          </w:p>
        </w:tc>
        <w:tc>
          <w:tcPr>
            <w:tcW w:w="354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B14AD8" w:rsidRPr="0014434B" w:rsidRDefault="00B14AD8" w:rsidP="000072E9">
            <w:pPr>
              <w:spacing w:after="120" w:line="276" w:lineRule="auto"/>
              <w:jc w:val="center"/>
              <w:rPr>
                <w:sz w:val="18"/>
                <w:szCs w:val="18"/>
                <w:lang w:val="en-IE"/>
              </w:rPr>
            </w:pPr>
            <w:r w:rsidRPr="0014434B">
              <w:rPr>
                <w:sz w:val="18"/>
                <w:szCs w:val="18"/>
                <w:lang w:val="en-IE"/>
              </w:rPr>
              <w:t>Max corrosion</w:t>
            </w:r>
            <w:r w:rsidRPr="0014434B">
              <w:rPr>
                <w:sz w:val="18"/>
                <w:szCs w:val="18"/>
                <w:lang w:val="en-IE"/>
              </w:rPr>
              <w:br/>
              <w:t>grade:</w:t>
            </w:r>
          </w:p>
          <w:p w:rsidR="00B14AD8" w:rsidRPr="0014434B" w:rsidRDefault="00B14AD8" w:rsidP="000072E9">
            <w:pPr>
              <w:spacing w:after="120" w:line="276" w:lineRule="auto"/>
              <w:jc w:val="center"/>
              <w:rPr>
                <w:sz w:val="18"/>
                <w:szCs w:val="18"/>
                <w:lang w:val="en-IE"/>
              </w:rPr>
            </w:pPr>
            <w:r w:rsidRPr="0014434B">
              <w:rPr>
                <w:sz w:val="18"/>
                <w:szCs w:val="18"/>
                <w:lang w:val="en-IE"/>
              </w:rPr>
              <w:t>Ri2</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B14AD8" w:rsidRPr="0014434B" w:rsidRDefault="00B14AD8" w:rsidP="000072E9">
            <w:pPr>
              <w:spacing w:after="120" w:line="276" w:lineRule="auto"/>
              <w:jc w:val="center"/>
              <w:rPr>
                <w:sz w:val="18"/>
                <w:szCs w:val="18"/>
                <w:lang w:val="en-IE"/>
              </w:rPr>
            </w:pPr>
            <w:r w:rsidRPr="0014434B">
              <w:rPr>
                <w:iCs/>
                <w:w w:val="105"/>
                <w:sz w:val="18"/>
                <w:szCs w:val="18"/>
                <w:lang w:val="en-IE"/>
              </w:rPr>
              <w:t>Q</w:t>
            </w:r>
            <w:r w:rsidRPr="0014434B">
              <w:rPr>
                <w:sz w:val="18"/>
                <w:szCs w:val="18"/>
                <w:lang w:val="en-IE"/>
              </w:rPr>
              <w:t>/1 000</w:t>
            </w:r>
          </w:p>
        </w:tc>
      </w:tr>
      <w:tr w:rsidR="00B14AD8" w:rsidRPr="0014434B" w:rsidTr="000072E9">
        <w:trPr>
          <w:trHeight w:hRule="exact" w:val="957"/>
        </w:trPr>
        <w:tc>
          <w:tcPr>
            <w:tcW w:w="1119" w:type="dxa"/>
            <w:vMerge/>
            <w:tcBorders>
              <w:left w:val="single" w:sz="12" w:space="0" w:color="auto"/>
              <w:bottom w:val="single" w:sz="6" w:space="0" w:color="auto"/>
              <w:right w:val="single" w:sz="6" w:space="0" w:color="auto"/>
            </w:tcBorders>
            <w:vAlign w:val="center"/>
          </w:tcPr>
          <w:p w:rsidR="00B14AD8" w:rsidRPr="0014434B" w:rsidRDefault="00B14AD8" w:rsidP="000072E9">
            <w:pPr>
              <w:spacing w:after="120" w:line="276" w:lineRule="auto"/>
              <w:rPr>
                <w:sz w:val="18"/>
                <w:szCs w:val="18"/>
                <w:lang w:val="en-IE"/>
              </w:rPr>
            </w:pPr>
          </w:p>
        </w:tc>
        <w:tc>
          <w:tcPr>
            <w:tcW w:w="138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B14AD8" w:rsidRPr="0014434B" w:rsidRDefault="00B14AD8" w:rsidP="000072E9">
            <w:pPr>
              <w:pStyle w:val="Tabletext9"/>
              <w:rPr>
                <w:rFonts w:ascii="Times New Roman" w:hAnsi="Times New Roman"/>
                <w:szCs w:val="18"/>
                <w:lang w:val="en-IE"/>
              </w:rPr>
            </w:pPr>
            <w:r w:rsidRPr="0014434B">
              <w:rPr>
                <w:rFonts w:ascii="Times New Roman" w:hAnsi="Times New Roman"/>
                <w:szCs w:val="18"/>
                <w:lang w:val="en-IE"/>
              </w:rPr>
              <w:t>Adhesion of Polyurethane</w:t>
            </w:r>
          </w:p>
        </w:tc>
        <w:tc>
          <w:tcPr>
            <w:tcW w:w="155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B14AD8" w:rsidRPr="0014434B" w:rsidRDefault="00B14AD8" w:rsidP="000072E9">
            <w:pPr>
              <w:pStyle w:val="Tabletext9"/>
              <w:jc w:val="left"/>
              <w:rPr>
                <w:rFonts w:ascii="Times New Roman" w:hAnsi="Times New Roman"/>
                <w:szCs w:val="18"/>
                <w:lang w:val="en-IE"/>
              </w:rPr>
            </w:pPr>
            <w:r w:rsidRPr="0014434B">
              <w:rPr>
                <w:rFonts w:ascii="Times New Roman" w:hAnsi="Times New Roman"/>
                <w:szCs w:val="18"/>
                <w:lang w:val="en-IE"/>
              </w:rPr>
              <w:t>ISO 2859-1:2000</w:t>
            </w:r>
          </w:p>
        </w:tc>
        <w:tc>
          <w:tcPr>
            <w:tcW w:w="354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B14AD8" w:rsidRPr="0014434B" w:rsidRDefault="00B14AD8" w:rsidP="000072E9">
            <w:pPr>
              <w:spacing w:after="120" w:line="276" w:lineRule="auto"/>
              <w:jc w:val="center"/>
              <w:rPr>
                <w:sz w:val="18"/>
                <w:szCs w:val="18"/>
                <w:lang w:val="en-IE"/>
              </w:rPr>
            </w:pPr>
            <w:r w:rsidRPr="0014434B">
              <w:rPr>
                <w:sz w:val="18"/>
                <w:szCs w:val="18"/>
                <w:lang w:val="en-IE"/>
              </w:rPr>
              <w:t>Adhesion value &gt; 0.5 N/mm²</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B14AD8" w:rsidRPr="0014434B" w:rsidRDefault="00B14AD8" w:rsidP="000072E9">
            <w:pPr>
              <w:spacing w:after="120" w:line="276" w:lineRule="auto"/>
              <w:jc w:val="center"/>
              <w:rPr>
                <w:position w:val="-12"/>
                <w:sz w:val="18"/>
                <w:szCs w:val="18"/>
                <w:lang w:val="en-IE"/>
              </w:rPr>
            </w:pPr>
            <w:r w:rsidRPr="0014434B">
              <w:rPr>
                <w:position w:val="-12"/>
                <w:sz w:val="18"/>
                <w:szCs w:val="18"/>
                <w:lang w:val="en-IE"/>
              </w:rPr>
              <w:t>See ISO 2859-1:2000 applied to Q/1000</w:t>
            </w:r>
          </w:p>
        </w:tc>
      </w:tr>
    </w:tbl>
    <w:p w:rsidR="00B14AD8" w:rsidRDefault="00B14AD8" w:rsidP="0014434B">
      <w:pPr>
        <w:pStyle w:val="SingleTxtG"/>
        <w:spacing w:before="120"/>
        <w:rPr>
          <w:lang w:val="en-US"/>
        </w:rPr>
      </w:pPr>
      <w:r>
        <w:rPr>
          <w:lang w:val="en-US"/>
        </w:rPr>
        <w:t>(*) Representative burst pressure point of the sample: Procedure f</w:t>
      </w:r>
      <w:r w:rsidRPr="0012564C">
        <w:rPr>
          <w:lang w:val="en-US"/>
        </w:rPr>
        <w:t xml:space="preserve">or </w:t>
      </w:r>
      <w:r>
        <w:rPr>
          <w:lang w:val="en-US"/>
        </w:rPr>
        <w:t>the</w:t>
      </w:r>
      <w:r w:rsidRPr="0012564C">
        <w:rPr>
          <w:lang w:val="en-US"/>
        </w:rPr>
        <w:t xml:space="preserve"> </w:t>
      </w:r>
      <w:r>
        <w:rPr>
          <w:lang w:val="en-US"/>
        </w:rPr>
        <w:t>evaluation of test results by using a Sample Performance Chart:</w:t>
      </w:r>
    </w:p>
    <w:p w:rsidR="00B14AD8" w:rsidRDefault="00B14AD8" w:rsidP="0014434B">
      <w:pPr>
        <w:pStyle w:val="SingleTxtG"/>
      </w:pPr>
      <w:r>
        <w:t xml:space="preserve">Step 1: Determination of the representative burst pressure point (RBPP) of a sample </w:t>
      </w:r>
    </w:p>
    <w:p w:rsidR="00B14AD8" w:rsidRPr="00D90214" w:rsidRDefault="00B14AD8" w:rsidP="0014434B">
      <w:pPr>
        <w:pStyle w:val="SingleTxtG"/>
      </w:pPr>
      <w:r w:rsidRPr="00D90214">
        <w:t xml:space="preserve">Each sample is represented by a point whose coordinates are the </w:t>
      </w:r>
      <w:r>
        <w:t xml:space="preserve">Sample </w:t>
      </w:r>
      <w:r w:rsidRPr="00D90214">
        <w:t xml:space="preserve">Mean </w:t>
      </w:r>
      <w:r>
        <w:t xml:space="preserve">of burst test results </w:t>
      </w:r>
      <w:r w:rsidRPr="00D90214">
        <w:t xml:space="preserve">and </w:t>
      </w:r>
      <w:r>
        <w:t xml:space="preserve">the Sample </w:t>
      </w:r>
      <w:r w:rsidRPr="00D90214">
        <w:t xml:space="preserve">Standard Deviation of </w:t>
      </w:r>
      <w:r>
        <w:t>b</w:t>
      </w:r>
      <w:r w:rsidRPr="00D90214">
        <w:t xml:space="preserve">urst </w:t>
      </w:r>
      <w:r>
        <w:t>t</w:t>
      </w:r>
      <w:r w:rsidRPr="00D90214">
        <w:t>est results</w:t>
      </w:r>
      <w:r>
        <w:t>, each related to the relevant test pressure.</w:t>
      </w:r>
    </w:p>
    <w:p w:rsidR="00B14AD8" w:rsidRPr="00FF20F6" w:rsidRDefault="000173A7" w:rsidP="00B14AD8">
      <w:pPr>
        <w:spacing w:after="120"/>
        <w:ind w:left="1701" w:right="1134"/>
        <w:jc w:val="center"/>
        <w:rPr>
          <w:sz w:val="24"/>
          <w:szCs w:val="24"/>
        </w:rPr>
      </w:pPr>
      <w:r w:rsidRPr="00FF20F6">
        <w:rPr>
          <w:sz w:val="24"/>
          <w:szCs w:val="24"/>
        </w:rPr>
        <w:t>RBPP:</w:t>
      </w:r>
      <w:r w:rsidR="00B14AD8" w:rsidRPr="00FF20F6">
        <w:rPr>
          <w:sz w:val="24"/>
          <w:szCs w:val="24"/>
        </w:rPr>
        <w:t xml:space="preserve"> (  Ω</w:t>
      </w:r>
      <w:r w:rsidR="00B14AD8" w:rsidRPr="00FF20F6">
        <w:rPr>
          <w:sz w:val="24"/>
          <w:szCs w:val="24"/>
          <w:vertAlign w:val="subscript"/>
        </w:rPr>
        <w:t xml:space="preserve">m </w:t>
      </w:r>
      <w:r w:rsidR="00B14AD8" w:rsidRPr="00FF20F6">
        <w:rPr>
          <w:sz w:val="24"/>
          <w:szCs w:val="24"/>
        </w:rPr>
        <w:t xml:space="preserve">=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PH</m:t>
            </m:r>
          </m:den>
        </m:f>
        <m:r>
          <w:rPr>
            <w:rFonts w:ascii="Cambria Math" w:hAnsi="Cambria Math"/>
            <w:sz w:val="24"/>
            <w:szCs w:val="24"/>
          </w:rPr>
          <m:t xml:space="preserve"> </m:t>
        </m:r>
      </m:oMath>
      <w:r w:rsidR="00B14AD8" w:rsidRPr="00FF20F6">
        <w:rPr>
          <w:sz w:val="24"/>
          <w:szCs w:val="24"/>
        </w:rPr>
        <w:t>; Ω</w:t>
      </w:r>
      <w:r w:rsidR="00B14AD8" w:rsidRPr="00FF20F6">
        <w:rPr>
          <w:sz w:val="24"/>
          <w:szCs w:val="24"/>
          <w:vertAlign w:val="subscript"/>
        </w:rPr>
        <w:t xml:space="preserve">s </w:t>
      </w:r>
      <w:r w:rsidR="00B14AD8" w:rsidRPr="00FF20F6">
        <w:rPr>
          <w:sz w:val="24"/>
          <w:szCs w:val="24"/>
        </w:rPr>
        <w:t xml:space="preserve">= </w:t>
      </w:r>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PH</m:t>
            </m:r>
          </m:den>
        </m:f>
      </m:oMath>
      <w:r w:rsidR="00B14AD8" w:rsidRPr="00FF20F6">
        <w:rPr>
          <w:sz w:val="24"/>
          <w:szCs w:val="24"/>
        </w:rPr>
        <w:t xml:space="preserve"> )</w:t>
      </w:r>
    </w:p>
    <w:p w:rsidR="00B14AD8" w:rsidRPr="0012564C" w:rsidRDefault="00B14AD8" w:rsidP="0014434B">
      <w:pPr>
        <w:pStyle w:val="SingleTxtG"/>
        <w:rPr>
          <w:lang w:val="en-US"/>
        </w:rPr>
      </w:pPr>
      <w:r w:rsidRPr="0012564C">
        <w:rPr>
          <w:lang w:val="en-US"/>
        </w:rPr>
        <w:t>with</w:t>
      </w:r>
    </w:p>
    <w:p w:rsidR="00B14AD8" w:rsidRPr="0014434B" w:rsidRDefault="00B14AD8" w:rsidP="0014434B">
      <w:pPr>
        <w:pStyle w:val="SingleTxtG"/>
      </w:pPr>
      <w:r w:rsidRPr="0014434B">
        <w:lastRenderedPageBreak/>
        <w:t>x: sample mean;</w:t>
      </w:r>
    </w:p>
    <w:p w:rsidR="00B14AD8" w:rsidRPr="0014434B" w:rsidRDefault="00B14AD8" w:rsidP="0014434B">
      <w:pPr>
        <w:pStyle w:val="SingleTxtG"/>
      </w:pPr>
      <w:proofErr w:type="gramStart"/>
      <w:r w:rsidRPr="0014434B">
        <w:t>s</w:t>
      </w:r>
      <w:proofErr w:type="gramEnd"/>
      <w:r w:rsidRPr="0014434B">
        <w:t>: sample standard deviation;</w:t>
      </w:r>
      <w:bookmarkStart w:id="0" w:name="_GoBack"/>
      <w:bookmarkEnd w:id="0"/>
    </w:p>
    <w:p w:rsidR="00B14AD8" w:rsidRPr="0014434B" w:rsidRDefault="00B14AD8" w:rsidP="0014434B">
      <w:pPr>
        <w:pStyle w:val="SingleTxtG"/>
      </w:pPr>
      <w:r w:rsidRPr="0014434B">
        <w:t>PH: test pressure</w:t>
      </w:r>
    </w:p>
    <w:p w:rsidR="00B14AD8" w:rsidRDefault="00B14AD8" w:rsidP="0014434B">
      <w:pPr>
        <w:pStyle w:val="SingleTxtG"/>
      </w:pPr>
      <w:r w:rsidRPr="003F114D">
        <w:rPr>
          <w:lang w:val="en-US"/>
        </w:rPr>
        <w:t xml:space="preserve">Step 2: </w:t>
      </w:r>
      <w:r w:rsidRPr="003F114D">
        <w:t>Plotting on a Sample Performance Chart</w:t>
      </w:r>
    </w:p>
    <w:p w:rsidR="00B14AD8" w:rsidRPr="003F114D" w:rsidRDefault="00B14AD8" w:rsidP="0014434B">
      <w:pPr>
        <w:pStyle w:val="SingleTxtG"/>
      </w:pPr>
      <w:r w:rsidRPr="003F114D">
        <w:t xml:space="preserve">Each RBPP </w:t>
      </w:r>
      <w:proofErr w:type="gramStart"/>
      <w:r>
        <w:t>are</w:t>
      </w:r>
      <w:r w:rsidRPr="003F114D">
        <w:t xml:space="preserve"> plotted</w:t>
      </w:r>
      <w:proofErr w:type="gramEnd"/>
      <w:r w:rsidRPr="003F114D">
        <w:t xml:space="preserve"> on a Sample Performance Chart with following axis:</w:t>
      </w:r>
    </w:p>
    <w:p w:rsidR="00B14AD8" w:rsidRPr="00FF20F6" w:rsidRDefault="00B14AD8" w:rsidP="0014434B">
      <w:pPr>
        <w:pStyle w:val="Bullet1G"/>
      </w:pPr>
      <w:r w:rsidRPr="00FF20F6">
        <w:t>Abscissa : Standard Deviation related to test pressure ( Ωs )</w:t>
      </w:r>
    </w:p>
    <w:p w:rsidR="00B14AD8" w:rsidRPr="00FF20F6" w:rsidRDefault="00B14AD8" w:rsidP="0014434B">
      <w:pPr>
        <w:pStyle w:val="Bullet1G"/>
      </w:pPr>
      <w:r w:rsidRPr="00FF20F6">
        <w:t>Ordinate : Mean related to test pressure ( Ωm )</w:t>
      </w:r>
    </w:p>
    <w:p w:rsidR="00B14AD8" w:rsidRPr="008263FB" w:rsidRDefault="00B14AD8" w:rsidP="0014434B">
      <w:pPr>
        <w:pStyle w:val="SingleTxtG"/>
      </w:pPr>
      <w:r w:rsidRPr="008263FB">
        <w:t xml:space="preserve">Step </w:t>
      </w:r>
      <w:r>
        <w:t>3</w:t>
      </w:r>
      <w:r w:rsidRPr="008263FB">
        <w:t xml:space="preserve">: Determination of </w:t>
      </w:r>
      <w:r>
        <w:t>the relevant lower limit of tolerance interval in the Sample Performance Chart</w:t>
      </w:r>
    </w:p>
    <w:p w:rsidR="00B14AD8" w:rsidRPr="008263FB" w:rsidRDefault="00B14AD8" w:rsidP="0014434B">
      <w:pPr>
        <w:pStyle w:val="SingleTxtG"/>
      </w:pPr>
      <w:r w:rsidRPr="00F778D3">
        <w:t xml:space="preserve">Results for burst pressure shall </w:t>
      </w:r>
      <w:r>
        <w:t xml:space="preserve">first </w:t>
      </w:r>
      <w:r w:rsidRPr="00F778D3">
        <w:t>be checked according to the Joint Test (multidirectional test) using a significance level of α=0.05 (see paragraph 7 of ISO 5479:1997) to determine whether the distribution of results for each sample is normal or non-normal.</w:t>
      </w:r>
    </w:p>
    <w:p w:rsidR="00B14AD8" w:rsidRPr="008263FB" w:rsidRDefault="00B14AD8" w:rsidP="0014434B">
      <w:pPr>
        <w:pStyle w:val="Bullet1G"/>
      </w:pPr>
      <w:r w:rsidRPr="008263FB">
        <w:t xml:space="preserve">For </w:t>
      </w:r>
      <w:r>
        <w:t xml:space="preserve">a </w:t>
      </w:r>
      <w:r w:rsidRPr="008263FB">
        <w:t xml:space="preserve">normal distribution, the </w:t>
      </w:r>
      <w:r w:rsidRPr="00FF20F6">
        <w:t xml:space="preserve">determination of the relevant lower limit of tolerance </w:t>
      </w:r>
      <w:r w:rsidRPr="008263FB">
        <w:t xml:space="preserve">is given in step </w:t>
      </w:r>
      <w:r>
        <w:t>3</w:t>
      </w:r>
      <w:r w:rsidRPr="008263FB">
        <w:t>.1</w:t>
      </w:r>
    </w:p>
    <w:p w:rsidR="00B14AD8" w:rsidRPr="008263FB" w:rsidRDefault="00B14AD8" w:rsidP="0014434B">
      <w:pPr>
        <w:pStyle w:val="Bullet1G"/>
      </w:pPr>
      <w:r w:rsidRPr="008263FB">
        <w:t xml:space="preserve">For </w:t>
      </w:r>
      <w:r>
        <w:t xml:space="preserve">a </w:t>
      </w:r>
      <w:r w:rsidRPr="008263FB">
        <w:t xml:space="preserve">non-normal distribution, the </w:t>
      </w:r>
      <w:r w:rsidRPr="00FF20F6">
        <w:t xml:space="preserve">determination of the relevant lower limit of tolerance </w:t>
      </w:r>
      <w:r w:rsidRPr="008263FB">
        <w:t xml:space="preserve">is given in step </w:t>
      </w:r>
      <w:r>
        <w:t>3</w:t>
      </w:r>
      <w:r w:rsidRPr="008263FB">
        <w:t>.2</w:t>
      </w:r>
    </w:p>
    <w:p w:rsidR="00B14AD8" w:rsidRPr="00D22710" w:rsidRDefault="00B14AD8" w:rsidP="0014434B">
      <w:pPr>
        <w:pStyle w:val="SingleTxtG"/>
      </w:pPr>
      <w:r w:rsidRPr="00FF20F6">
        <w:t>Step 3</w:t>
      </w:r>
      <w:r w:rsidRPr="00175A7E">
        <w:t xml:space="preserve">.1: </w:t>
      </w:r>
      <w:r>
        <w:t>L</w:t>
      </w:r>
      <w:r w:rsidRPr="00175A7E">
        <w:t xml:space="preserve">ower limit of tolerance </w:t>
      </w:r>
      <w:r>
        <w:t xml:space="preserve">interval </w:t>
      </w:r>
      <w:r w:rsidRPr="00476CF7">
        <w:t>for results following a normal distribution</w:t>
      </w:r>
    </w:p>
    <w:p w:rsidR="00B14AD8" w:rsidRPr="00D22710" w:rsidRDefault="00B14AD8" w:rsidP="0014434B">
      <w:pPr>
        <w:pStyle w:val="SingleTxtG"/>
        <w:rPr>
          <w:lang w:val="en-US"/>
        </w:rPr>
      </w:pPr>
      <w:r w:rsidRPr="00FF20F6">
        <w:t>I</w:t>
      </w:r>
      <w:proofErr w:type="spellStart"/>
      <w:r w:rsidRPr="00FF20F6">
        <w:rPr>
          <w:lang w:val="en-US"/>
        </w:rPr>
        <w:t>n</w:t>
      </w:r>
      <w:proofErr w:type="spellEnd"/>
      <w:r w:rsidRPr="00FF20F6">
        <w:rPr>
          <w:lang w:val="en-US"/>
        </w:rPr>
        <w:t xml:space="preserve"> accordance with the standard ISO 16269-6:2005, and considering that the variance is unknown,</w:t>
      </w:r>
      <w:r w:rsidRPr="00FF20F6" w:rsidDel="009648B0">
        <w:rPr>
          <w:lang w:val="en-US"/>
        </w:rPr>
        <w:t xml:space="preserve"> </w:t>
      </w:r>
      <w:r w:rsidRPr="00FF20F6">
        <w:rPr>
          <w:lang w:val="en-US"/>
        </w:rPr>
        <w:t>the unilateral statistical tolerance interval shall be considered for a confidence level of 95% and a fraction of population equal to 99</w:t>
      </w:r>
      <w:proofErr w:type="gramStart"/>
      <w:r w:rsidRPr="00FF20F6">
        <w:rPr>
          <w:lang w:val="en-US"/>
        </w:rPr>
        <w:t>,9999</w:t>
      </w:r>
      <w:proofErr w:type="gramEnd"/>
      <w:r w:rsidRPr="00FF20F6">
        <w:rPr>
          <w:lang w:val="en-US"/>
        </w:rPr>
        <w:t>%.</w:t>
      </w:r>
    </w:p>
    <w:p w:rsidR="00B14AD8" w:rsidRPr="009A7146" w:rsidRDefault="00B14AD8" w:rsidP="0014434B">
      <w:pPr>
        <w:pStyle w:val="SingleTxtG"/>
        <w:rPr>
          <w:lang w:val="en-US"/>
        </w:rPr>
      </w:pPr>
      <w:r>
        <w:rPr>
          <w:lang w:val="en-US"/>
        </w:rPr>
        <w:t>By application in the Sample Performance Chart, t</w:t>
      </w:r>
      <w:r w:rsidRPr="00250403">
        <w:rPr>
          <w:lang w:val="en-US"/>
        </w:rPr>
        <w:t>he lower limit</w:t>
      </w:r>
      <w:r>
        <w:rPr>
          <w:lang w:val="en-US"/>
        </w:rPr>
        <w:t xml:space="preserve"> of tolerance interval </w:t>
      </w:r>
      <w:proofErr w:type="gramStart"/>
      <w:r>
        <w:rPr>
          <w:lang w:val="en-US"/>
        </w:rPr>
        <w:t>is</w:t>
      </w:r>
      <w:r w:rsidRPr="00476CF7">
        <w:rPr>
          <w:lang w:val="en-US"/>
        </w:rPr>
        <w:t xml:space="preserve"> </w:t>
      </w:r>
      <w:r>
        <w:rPr>
          <w:lang w:val="en-US"/>
        </w:rPr>
        <w:t>represented</w:t>
      </w:r>
      <w:proofErr w:type="gramEnd"/>
      <w:r>
        <w:rPr>
          <w:lang w:val="en-US"/>
        </w:rPr>
        <w:t xml:space="preserve"> </w:t>
      </w:r>
      <w:r w:rsidRPr="00476CF7">
        <w:rPr>
          <w:lang w:val="en-US"/>
        </w:rPr>
        <w:t xml:space="preserve">by </w:t>
      </w:r>
      <w:r>
        <w:rPr>
          <w:lang w:val="en-US"/>
        </w:rPr>
        <w:t xml:space="preserve">a line of constant survival rate </w:t>
      </w:r>
      <w:r w:rsidRPr="00476CF7">
        <w:rPr>
          <w:lang w:val="en-US"/>
        </w:rPr>
        <w:t xml:space="preserve">defined </w:t>
      </w:r>
      <w:r>
        <w:rPr>
          <w:lang w:val="en-US"/>
        </w:rPr>
        <w:t xml:space="preserve">by </w:t>
      </w:r>
      <w:r w:rsidRPr="00476CF7">
        <w:rPr>
          <w:lang w:val="en-US"/>
        </w:rPr>
        <w:t>th</w:t>
      </w:r>
      <w:r>
        <w:rPr>
          <w:lang w:val="en-US"/>
        </w:rPr>
        <w:t>e</w:t>
      </w:r>
      <w:r w:rsidRPr="00476CF7">
        <w:rPr>
          <w:lang w:val="en-US"/>
        </w:rPr>
        <w:t xml:space="preserve"> formula:</w:t>
      </w:r>
    </w:p>
    <w:p w:rsidR="00B14AD8" w:rsidRPr="00687F09" w:rsidRDefault="00B14AD8" w:rsidP="00B14AD8">
      <w:pPr>
        <w:pStyle w:val="SingleTxtG"/>
        <w:ind w:left="1689"/>
        <w:jc w:val="center"/>
        <w:rPr>
          <w:b/>
          <w:lang w:val="en-US"/>
        </w:rPr>
      </w:pPr>
      <w:r w:rsidRPr="00FF20F6">
        <w:rPr>
          <w:b/>
        </w:rPr>
        <w:t>Ω</w:t>
      </w:r>
      <w:r w:rsidRPr="00FF20F6">
        <w:rPr>
          <w:b/>
          <w:vertAlign w:val="subscript"/>
        </w:rPr>
        <w:t>m</w:t>
      </w:r>
      <w:r w:rsidRPr="00250403" w:rsidDel="00250403">
        <w:rPr>
          <w:b/>
          <w:lang w:val="en-US"/>
        </w:rPr>
        <w:t xml:space="preserve"> </w:t>
      </w:r>
      <w:r w:rsidRPr="00250403">
        <w:rPr>
          <w:b/>
          <w:lang w:val="en-US"/>
        </w:rPr>
        <w:t>= 1</w:t>
      </w:r>
      <w:r w:rsidRPr="00687F09">
        <w:rPr>
          <w:b/>
          <w:lang w:val="en-US"/>
        </w:rPr>
        <w:t xml:space="preserve"> + </w:t>
      </w:r>
      <w:r w:rsidRPr="00FF20F6">
        <w:rPr>
          <w:b/>
        </w:rPr>
        <w:t>Ω</w:t>
      </w:r>
      <w:r w:rsidRPr="00FF20F6">
        <w:rPr>
          <w:b/>
          <w:vertAlign w:val="subscript"/>
        </w:rPr>
        <w:t>s</w:t>
      </w:r>
      <w:r w:rsidRPr="00671DDD">
        <w:rPr>
          <w:b/>
          <w:vertAlign w:val="subscript"/>
          <w:lang w:val="en-US"/>
        </w:rPr>
        <w:t xml:space="preserve"> </w:t>
      </w:r>
      <w:r w:rsidRPr="00250403">
        <w:rPr>
          <w:b/>
          <w:lang w:val="en-US"/>
        </w:rPr>
        <w:t xml:space="preserve">× </w:t>
      </w:r>
      <w:proofErr w:type="gramStart"/>
      <w:r w:rsidRPr="00250403">
        <w:rPr>
          <w:b/>
          <w:lang w:val="en-US"/>
        </w:rPr>
        <w:t>k3(</w:t>
      </w:r>
      <w:proofErr w:type="gramEnd"/>
      <w:r w:rsidRPr="00250403">
        <w:rPr>
          <w:b/>
          <w:lang w:val="en-US"/>
        </w:rPr>
        <w:t>n;p;1-α)</w:t>
      </w:r>
    </w:p>
    <w:p w:rsidR="00B14AD8" w:rsidRPr="0014434B" w:rsidRDefault="00B14AD8" w:rsidP="0014434B">
      <w:pPr>
        <w:pStyle w:val="SingleTxtG"/>
      </w:pPr>
      <w:proofErr w:type="gramStart"/>
      <w:r w:rsidRPr="0014434B">
        <w:t>with</w:t>
      </w:r>
      <w:proofErr w:type="gramEnd"/>
    </w:p>
    <w:p w:rsidR="00B14AD8" w:rsidRPr="0014434B" w:rsidRDefault="00B14AD8" w:rsidP="0014434B">
      <w:pPr>
        <w:pStyle w:val="SingleTxtG"/>
      </w:pPr>
      <w:r w:rsidRPr="0014434B">
        <w:t xml:space="preserve">k3:  tabulated factor function of n, p and </w:t>
      </w:r>
      <w:proofErr w:type="gramStart"/>
      <w:r w:rsidRPr="0014434B">
        <w:t>1-</w:t>
      </w:r>
      <w:proofErr w:type="gramEnd"/>
      <w:r w:rsidRPr="0014434B">
        <w:t>α;</w:t>
      </w:r>
    </w:p>
    <w:p w:rsidR="00B14AD8" w:rsidRPr="0014434B" w:rsidRDefault="00B14AD8" w:rsidP="0014434B">
      <w:pPr>
        <w:pStyle w:val="SingleTxtG"/>
      </w:pPr>
      <w:proofErr w:type="gramStart"/>
      <w:r w:rsidRPr="0014434B">
        <w:t>p</w:t>
      </w:r>
      <w:proofErr w:type="gramEnd"/>
      <w:r w:rsidRPr="0014434B">
        <w:t>: proportion of the population selected for the tolerance interval (99.9999%);</w:t>
      </w:r>
    </w:p>
    <w:p w:rsidR="00B14AD8" w:rsidRPr="0014434B" w:rsidRDefault="00B14AD8" w:rsidP="0014434B">
      <w:pPr>
        <w:pStyle w:val="SingleTxtG"/>
      </w:pPr>
      <w:r w:rsidRPr="0014434B">
        <w:t xml:space="preserve">1- </w:t>
      </w:r>
      <w:proofErr w:type="gramStart"/>
      <w:r w:rsidRPr="0014434B">
        <w:t>α</w:t>
      </w:r>
      <w:proofErr w:type="gramEnd"/>
      <w:r w:rsidRPr="0014434B">
        <w:t>: confidence level (95%);</w:t>
      </w:r>
    </w:p>
    <w:p w:rsidR="00B14AD8" w:rsidRPr="0014434B" w:rsidRDefault="00B14AD8" w:rsidP="0014434B">
      <w:pPr>
        <w:pStyle w:val="SingleTxtG"/>
      </w:pPr>
      <w:proofErr w:type="gramStart"/>
      <w:r w:rsidRPr="0014434B">
        <w:t>n</w:t>
      </w:r>
      <w:proofErr w:type="gramEnd"/>
      <w:r w:rsidRPr="0014434B">
        <w:t>: sample size.</w:t>
      </w:r>
    </w:p>
    <w:p w:rsidR="00B14AD8" w:rsidRPr="0014434B" w:rsidRDefault="00B14AD8" w:rsidP="0014434B">
      <w:pPr>
        <w:pStyle w:val="SingleTxtG"/>
      </w:pPr>
      <w:r w:rsidRPr="0014434B">
        <w:t xml:space="preserve">The value for k3 dedicated to Normal Distributions </w:t>
      </w:r>
      <w:proofErr w:type="gramStart"/>
      <w:r w:rsidRPr="0014434B">
        <w:t>shall be taken</w:t>
      </w:r>
      <w:proofErr w:type="gramEnd"/>
      <w:r w:rsidRPr="0014434B">
        <w:t xml:space="preserve"> from the table at end of Step 3.</w:t>
      </w:r>
    </w:p>
    <w:p w:rsidR="00B14AD8" w:rsidRPr="00FF20F6" w:rsidRDefault="00B14AD8" w:rsidP="0014434B">
      <w:pPr>
        <w:pStyle w:val="SingleTxtG"/>
      </w:pPr>
      <w:r w:rsidRPr="00687F09">
        <w:t xml:space="preserve">Step </w:t>
      </w:r>
      <w:r w:rsidRPr="00D01AFF">
        <w:t>3</w:t>
      </w:r>
      <w:r w:rsidRPr="00175A7E">
        <w:t xml:space="preserve">.2: lower limit of tolerance </w:t>
      </w:r>
      <w:r>
        <w:t xml:space="preserve">interval </w:t>
      </w:r>
      <w:r w:rsidRPr="002F63F6">
        <w:t>for results following a non-normal distribution</w:t>
      </w:r>
    </w:p>
    <w:p w:rsidR="00B14AD8" w:rsidRPr="0014434B" w:rsidRDefault="00B14AD8" w:rsidP="0014434B">
      <w:pPr>
        <w:pStyle w:val="SingleTxtG"/>
      </w:pPr>
      <w:r w:rsidRPr="0014434B">
        <w:t xml:space="preserve">The unilateral statistical tolerance interval </w:t>
      </w:r>
      <w:proofErr w:type="gramStart"/>
      <w:r w:rsidRPr="0014434B">
        <w:t>shall be calculated</w:t>
      </w:r>
      <w:proofErr w:type="gramEnd"/>
      <w:r w:rsidRPr="0014434B">
        <w:t xml:space="preserve"> for a confidence level of 95% and a fraction of population equal to 99.9999%.</w:t>
      </w:r>
    </w:p>
    <w:p w:rsidR="00B14AD8" w:rsidRPr="0014434B" w:rsidRDefault="00B14AD8" w:rsidP="0014434B">
      <w:pPr>
        <w:pStyle w:val="SingleTxtG"/>
      </w:pPr>
      <w:r w:rsidRPr="0014434B">
        <w:t xml:space="preserve">The lower limit of tolerance </w:t>
      </w:r>
      <w:proofErr w:type="gramStart"/>
      <w:r w:rsidRPr="0014434B">
        <w:t>is represented</w:t>
      </w:r>
      <w:proofErr w:type="gramEnd"/>
      <w:r w:rsidRPr="0014434B">
        <w:t xml:space="preserve"> by a line of constant survival rate defined by the formula given in previous step 3.1, with factors k3 based and calculated on the properties of a Weibull Distribution.</w:t>
      </w:r>
    </w:p>
    <w:p w:rsidR="00B14AD8" w:rsidRPr="0014434B" w:rsidRDefault="00B14AD8" w:rsidP="0014434B">
      <w:pPr>
        <w:pStyle w:val="SingleTxtG"/>
      </w:pPr>
      <w:r w:rsidRPr="0014434B">
        <w:t xml:space="preserve">The value for k3 dedicated to Weibull Distributions </w:t>
      </w:r>
      <w:proofErr w:type="gramStart"/>
      <w:r w:rsidRPr="0014434B">
        <w:t>shall be taken</w:t>
      </w:r>
      <w:proofErr w:type="gramEnd"/>
      <w:r w:rsidRPr="0014434B">
        <w:t xml:space="preserve"> from the table at end of Step 3.</w:t>
      </w:r>
    </w:p>
    <w:p w:rsidR="00B14AD8" w:rsidRDefault="00B14AD8" w:rsidP="00B14AD8">
      <w:pPr>
        <w:suppressAutoHyphens w:val="0"/>
        <w:spacing w:line="240" w:lineRule="auto"/>
        <w:rPr>
          <w:lang w:val="en-US"/>
        </w:rPr>
      </w:pPr>
      <w:r>
        <w:rPr>
          <w:lang w:val="en-US"/>
        </w:rPr>
        <w:br w:type="page"/>
      </w:r>
    </w:p>
    <w:p w:rsidR="00B14AD8" w:rsidRPr="0014434B" w:rsidRDefault="00B14AD8" w:rsidP="00B14AD8">
      <w:pPr>
        <w:pStyle w:val="SingleTxtG"/>
        <w:ind w:left="1689"/>
        <w:rPr>
          <w:lang w:val="en-US"/>
        </w:rPr>
      </w:pPr>
    </w:p>
    <w:tbl>
      <w:tblPr>
        <w:tblStyle w:val="TableGrid"/>
        <w:tblW w:w="0" w:type="auto"/>
        <w:tblInd w:w="3397" w:type="dxa"/>
        <w:tblLook w:val="04A0" w:firstRow="1" w:lastRow="0" w:firstColumn="1" w:lastColumn="0" w:noHBand="0" w:noVBand="1"/>
      </w:tblPr>
      <w:tblGrid>
        <w:gridCol w:w="1699"/>
        <w:gridCol w:w="1417"/>
        <w:gridCol w:w="1418"/>
      </w:tblGrid>
      <w:tr w:rsidR="00B14AD8" w:rsidRPr="0014434B" w:rsidTr="000072E9">
        <w:tc>
          <w:tcPr>
            <w:tcW w:w="4534" w:type="dxa"/>
            <w:gridSpan w:val="3"/>
          </w:tcPr>
          <w:p w:rsidR="00B14AD8" w:rsidRPr="0014434B" w:rsidRDefault="00B14AD8" w:rsidP="000072E9">
            <w:pPr>
              <w:tabs>
                <w:tab w:val="left" w:pos="2423"/>
              </w:tabs>
              <w:spacing w:before="121"/>
              <w:jc w:val="center"/>
              <w:rPr>
                <w:b/>
                <w:sz w:val="18"/>
                <w:szCs w:val="18"/>
              </w:rPr>
            </w:pPr>
            <w:r w:rsidRPr="0014434B">
              <w:rPr>
                <w:b/>
                <w:sz w:val="18"/>
                <w:szCs w:val="18"/>
              </w:rPr>
              <w:t>Table for k3</w:t>
            </w:r>
          </w:p>
          <w:p w:rsidR="00B14AD8" w:rsidRPr="0014434B" w:rsidRDefault="00B14AD8" w:rsidP="000072E9">
            <w:pPr>
              <w:tabs>
                <w:tab w:val="left" w:pos="2423"/>
              </w:tabs>
              <w:spacing w:before="121"/>
              <w:jc w:val="center"/>
              <w:rPr>
                <w:sz w:val="18"/>
                <w:szCs w:val="18"/>
              </w:rPr>
            </w:pPr>
            <w:r w:rsidRPr="0014434B">
              <w:rPr>
                <w:sz w:val="18"/>
                <w:szCs w:val="18"/>
              </w:rPr>
              <w:t>p=99.9999% and (1-</w:t>
            </w:r>
            <w:r w:rsidRPr="0014434B">
              <w:rPr>
                <w:sz w:val="18"/>
                <w:szCs w:val="18"/>
                <w:lang w:val="en-US"/>
              </w:rPr>
              <w:t xml:space="preserve"> α)=0.95</w:t>
            </w:r>
          </w:p>
        </w:tc>
      </w:tr>
      <w:tr w:rsidR="00B14AD8" w:rsidRPr="0014434B" w:rsidTr="000072E9">
        <w:tc>
          <w:tcPr>
            <w:tcW w:w="1699" w:type="dxa"/>
          </w:tcPr>
          <w:p w:rsidR="00B14AD8" w:rsidRPr="0014434B" w:rsidRDefault="00B14AD8" w:rsidP="000072E9">
            <w:pPr>
              <w:tabs>
                <w:tab w:val="left" w:pos="2423"/>
              </w:tabs>
              <w:spacing w:before="121"/>
              <w:jc w:val="center"/>
              <w:rPr>
                <w:b/>
                <w:sz w:val="18"/>
                <w:szCs w:val="18"/>
              </w:rPr>
            </w:pPr>
            <w:r w:rsidRPr="0014434B">
              <w:rPr>
                <w:b/>
                <w:sz w:val="18"/>
                <w:szCs w:val="18"/>
              </w:rPr>
              <w:t>Sample Size</w:t>
            </w:r>
          </w:p>
          <w:p w:rsidR="00B14AD8" w:rsidRPr="0014434B" w:rsidRDefault="00B14AD8" w:rsidP="000072E9">
            <w:pPr>
              <w:tabs>
                <w:tab w:val="left" w:pos="2423"/>
              </w:tabs>
              <w:spacing w:before="121"/>
              <w:jc w:val="center"/>
              <w:rPr>
                <w:b/>
                <w:sz w:val="18"/>
                <w:szCs w:val="18"/>
              </w:rPr>
            </w:pPr>
            <w:r w:rsidRPr="0014434B">
              <w:rPr>
                <w:b/>
                <w:sz w:val="18"/>
                <w:szCs w:val="18"/>
              </w:rPr>
              <w:t>n</w:t>
            </w:r>
          </w:p>
        </w:tc>
        <w:tc>
          <w:tcPr>
            <w:tcW w:w="1417" w:type="dxa"/>
          </w:tcPr>
          <w:p w:rsidR="00B14AD8" w:rsidRPr="0014434B" w:rsidRDefault="00B14AD8" w:rsidP="000072E9">
            <w:pPr>
              <w:tabs>
                <w:tab w:val="left" w:pos="2423"/>
              </w:tabs>
              <w:spacing w:before="121"/>
              <w:jc w:val="center"/>
              <w:rPr>
                <w:b/>
                <w:sz w:val="18"/>
                <w:szCs w:val="18"/>
              </w:rPr>
            </w:pPr>
            <w:r w:rsidRPr="0014434B">
              <w:rPr>
                <w:b/>
                <w:sz w:val="18"/>
                <w:szCs w:val="18"/>
              </w:rPr>
              <w:t>Normal Distribution</w:t>
            </w:r>
          </w:p>
          <w:p w:rsidR="00B14AD8" w:rsidRPr="0014434B" w:rsidRDefault="00B14AD8" w:rsidP="000072E9">
            <w:pPr>
              <w:tabs>
                <w:tab w:val="left" w:pos="2423"/>
              </w:tabs>
              <w:spacing w:before="121"/>
              <w:jc w:val="center"/>
              <w:rPr>
                <w:b/>
                <w:sz w:val="18"/>
                <w:szCs w:val="18"/>
              </w:rPr>
            </w:pPr>
            <w:r w:rsidRPr="0014434B">
              <w:rPr>
                <w:b/>
                <w:sz w:val="18"/>
                <w:szCs w:val="18"/>
              </w:rPr>
              <w:t>k3</w:t>
            </w:r>
          </w:p>
        </w:tc>
        <w:tc>
          <w:tcPr>
            <w:tcW w:w="1418" w:type="dxa"/>
          </w:tcPr>
          <w:p w:rsidR="00B14AD8" w:rsidRPr="0014434B" w:rsidRDefault="00B14AD8" w:rsidP="000072E9">
            <w:pPr>
              <w:tabs>
                <w:tab w:val="left" w:pos="2423"/>
              </w:tabs>
              <w:spacing w:before="121"/>
              <w:jc w:val="center"/>
              <w:rPr>
                <w:b/>
                <w:sz w:val="18"/>
                <w:szCs w:val="18"/>
              </w:rPr>
            </w:pPr>
            <w:r w:rsidRPr="0014434B">
              <w:rPr>
                <w:b/>
                <w:sz w:val="18"/>
                <w:szCs w:val="18"/>
              </w:rPr>
              <w:t>Weibull Distribution</w:t>
            </w:r>
          </w:p>
          <w:p w:rsidR="00B14AD8" w:rsidRPr="0014434B" w:rsidRDefault="00B14AD8" w:rsidP="000072E9">
            <w:pPr>
              <w:tabs>
                <w:tab w:val="left" w:pos="2423"/>
              </w:tabs>
              <w:spacing w:before="121"/>
              <w:jc w:val="center"/>
              <w:rPr>
                <w:b/>
                <w:sz w:val="18"/>
                <w:szCs w:val="18"/>
              </w:rPr>
            </w:pPr>
            <w:r w:rsidRPr="0014434B">
              <w:rPr>
                <w:b/>
                <w:sz w:val="18"/>
                <w:szCs w:val="18"/>
              </w:rPr>
              <w:t>k3</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lang w:val="en-US" w:eastAsia="fr-FR"/>
              </w:rPr>
              <w:t>20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6,901</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16,021</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lang w:val="en-US" w:eastAsia="fr-FR"/>
              </w:rPr>
              <w:t>22</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6,765</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15,722</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lang w:val="en-US" w:eastAsia="fr-FR"/>
              </w:rPr>
              <w:t>24</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6,651</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15,472</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lang w:val="en-US" w:eastAsia="fr-FR"/>
              </w:rPr>
              <w:t>26</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6,553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15,258</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lang w:val="en-US" w:eastAsia="fr-FR"/>
              </w:rPr>
              <w:t>28</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6,468</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15,072</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lang w:val="en-US" w:eastAsia="fr-FR"/>
              </w:rPr>
              <w:t>30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en-US" w:eastAsia="fr-FR"/>
              </w:rPr>
            </w:pPr>
            <w:r w:rsidRPr="0014434B">
              <w:rPr>
                <w:color w:val="000000"/>
                <w:sz w:val="18"/>
                <w:szCs w:val="18"/>
              </w:rPr>
              <w:t>6,393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14,909</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35</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6,241</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14,578</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40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6,123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14,321</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45</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6,028</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14,116</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50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5,949</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13,947</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60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5,827</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13,683</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70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5,735</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13,485</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80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5,662</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13,329</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90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5,603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13,203</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100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5,554</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13,098</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150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5,393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12,754</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200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5,300</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12,557</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250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5,238</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12,426</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300</w:t>
            </w:r>
          </w:p>
        </w:tc>
        <w:tc>
          <w:tcPr>
            <w:tcW w:w="1417" w:type="dxa"/>
            <w:tcBorders>
              <w:top w:val="nil"/>
              <w:left w:val="single" w:sz="4" w:space="0" w:color="auto"/>
              <w:bottom w:val="single" w:sz="4" w:space="0" w:color="auto"/>
              <w:right w:val="single" w:sz="8" w:space="0" w:color="auto"/>
            </w:tcBorders>
            <w:shd w:val="clear" w:color="000000" w:fill="FFFFFF"/>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5,193</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12,330</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400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5,131</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12,199</w:t>
            </w:r>
          </w:p>
        </w:tc>
      </w:tr>
      <w:tr w:rsidR="00B14AD8" w:rsidRPr="0014434B" w:rsidTr="000072E9">
        <w:trPr>
          <w:trHeight w:val="300"/>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500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5,089</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12,111</w:t>
            </w:r>
          </w:p>
        </w:tc>
      </w:tr>
      <w:tr w:rsidR="00B14AD8" w:rsidRPr="0014434B" w:rsidTr="000072E9">
        <w:trPr>
          <w:trHeight w:val="315"/>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4,988</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rPr>
              <w:t>11,897</w:t>
            </w:r>
          </w:p>
        </w:tc>
      </w:tr>
      <w:tr w:rsidR="00B14AD8" w:rsidRPr="0014434B" w:rsidTr="000072E9">
        <w:trPr>
          <w:trHeight w:val="375"/>
        </w:trPr>
        <w:tc>
          <w:tcPr>
            <w:tcW w:w="1699" w:type="dxa"/>
          </w:tcPr>
          <w:p w:rsidR="00B14AD8" w:rsidRPr="0014434B" w:rsidRDefault="00B14AD8" w:rsidP="000072E9">
            <w:pPr>
              <w:suppressAutoHyphens w:val="0"/>
              <w:spacing w:line="240" w:lineRule="auto"/>
              <w:jc w:val="center"/>
              <w:rPr>
                <w:color w:val="000000"/>
                <w:sz w:val="18"/>
                <w:szCs w:val="18"/>
                <w:lang w:val="fr-FR" w:eastAsia="fr-FR"/>
              </w:rPr>
            </w:pPr>
            <w:r w:rsidRPr="0014434B">
              <w:rPr>
                <w:color w:val="000000"/>
                <w:sz w:val="18"/>
                <w:szCs w:val="18"/>
                <w:lang w:val="fr-FR" w:eastAsia="fr-FR"/>
              </w:rPr>
              <w:t>∞</w:t>
            </w:r>
          </w:p>
        </w:tc>
        <w:tc>
          <w:tcPr>
            <w:tcW w:w="1417" w:type="dxa"/>
            <w:tcBorders>
              <w:top w:val="nil"/>
              <w:left w:val="nil"/>
              <w:bottom w:val="single" w:sz="8"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rPr>
            </w:pPr>
            <w:r w:rsidRPr="0014434B">
              <w:rPr>
                <w:color w:val="000000"/>
                <w:sz w:val="18"/>
                <w:szCs w:val="18"/>
              </w:rPr>
              <w:t>4,753</w:t>
            </w:r>
          </w:p>
        </w:tc>
        <w:tc>
          <w:tcPr>
            <w:tcW w:w="1418" w:type="dxa"/>
            <w:tcBorders>
              <w:top w:val="nil"/>
              <w:left w:val="nil"/>
              <w:bottom w:val="single" w:sz="8" w:space="0" w:color="auto"/>
              <w:right w:val="single" w:sz="8" w:space="0" w:color="auto"/>
            </w:tcBorders>
            <w:shd w:val="clear" w:color="auto" w:fill="auto"/>
            <w:noWrap/>
            <w:vAlign w:val="bottom"/>
          </w:tcPr>
          <w:p w:rsidR="00B14AD8" w:rsidRPr="0014434B" w:rsidRDefault="00B14AD8" w:rsidP="000072E9">
            <w:pPr>
              <w:suppressAutoHyphens w:val="0"/>
              <w:spacing w:line="240" w:lineRule="auto"/>
              <w:jc w:val="center"/>
              <w:rPr>
                <w:color w:val="000000"/>
                <w:sz w:val="18"/>
                <w:szCs w:val="18"/>
              </w:rPr>
            </w:pPr>
            <w:r w:rsidRPr="0014434B">
              <w:rPr>
                <w:color w:val="000000"/>
                <w:sz w:val="18"/>
                <w:szCs w:val="18"/>
              </w:rPr>
              <w:t>11,408</w:t>
            </w:r>
          </w:p>
        </w:tc>
      </w:tr>
    </w:tbl>
    <w:p w:rsidR="00B14AD8" w:rsidRPr="00567F98" w:rsidRDefault="00B14AD8" w:rsidP="0014434B">
      <w:pPr>
        <w:pStyle w:val="SingleTxtG"/>
        <w:spacing w:before="120"/>
      </w:pPr>
      <w:proofErr w:type="gramStart"/>
      <w:r>
        <w:t>Note :</w:t>
      </w:r>
      <w:proofErr w:type="gramEnd"/>
      <w:r>
        <w:t xml:space="preserve"> if sample size is between two values, the closest lower sample size shall be selected</w:t>
      </w:r>
    </w:p>
    <w:p w:rsidR="00B14AD8" w:rsidRPr="003D4D66" w:rsidRDefault="0014434B" w:rsidP="0014434B">
      <w:pPr>
        <w:pStyle w:val="SingleTxtG"/>
      </w:pPr>
      <w:r>
        <w:t>(h)</w:t>
      </w:r>
      <w:r>
        <w:tab/>
      </w:r>
      <w:r w:rsidR="00B14AD8" w:rsidRPr="003D4D66">
        <w:t>Measures if the acceptance criteria are not met</w:t>
      </w:r>
    </w:p>
    <w:p w:rsidR="00B14AD8" w:rsidRPr="003D4D66" w:rsidRDefault="00B14AD8" w:rsidP="001C4931">
      <w:pPr>
        <w:pStyle w:val="SingleTxtG"/>
        <w:ind w:left="1701"/>
      </w:pPr>
      <w:r w:rsidRPr="003D4D66">
        <w:t xml:space="preserve">If a result of the burst test, peeling </w:t>
      </w:r>
      <w:r w:rsidRPr="003D4D66">
        <w:rPr>
          <w:lang w:val="en-US"/>
        </w:rPr>
        <w:t xml:space="preserve">and corrosion </w:t>
      </w:r>
      <w:r w:rsidRPr="003D4D66">
        <w:t xml:space="preserve">test or adhesion test does not comply with the criteria detailed in the previous table, </w:t>
      </w:r>
      <w:r w:rsidRPr="003D4D66">
        <w:rPr>
          <w:lang w:val="en-US"/>
        </w:rPr>
        <w:t xml:space="preserve">the </w:t>
      </w:r>
      <w:r w:rsidRPr="003D4D66">
        <w:t xml:space="preserve">potentially affected </w:t>
      </w:r>
      <w:r w:rsidRPr="003D4D66">
        <w:rPr>
          <w:lang w:val="en-US"/>
        </w:rPr>
        <w:t>p</w:t>
      </w:r>
      <w:r w:rsidRPr="003D4D66">
        <w:t>op</w:t>
      </w:r>
      <w:r w:rsidRPr="003D4D66">
        <w:rPr>
          <w:lang w:val="en-US"/>
        </w:rPr>
        <w:t>u</w:t>
      </w:r>
      <w:r w:rsidRPr="003D4D66">
        <w:t>l</w:t>
      </w:r>
      <w:r w:rsidRPr="003D4D66">
        <w:rPr>
          <w:lang w:val="en-US"/>
        </w:rPr>
        <w:t>a</w:t>
      </w:r>
      <w:proofErr w:type="spellStart"/>
      <w:r w:rsidRPr="003D4D66">
        <w:t>tion</w:t>
      </w:r>
      <w:proofErr w:type="spellEnd"/>
      <w:r w:rsidRPr="003D4D66">
        <w:t xml:space="preserve"> group of over-moulded cylinders </w:t>
      </w:r>
      <w:proofErr w:type="gramStart"/>
      <w:r w:rsidRPr="003D4D66">
        <w:t xml:space="preserve">shall </w:t>
      </w:r>
      <w:r w:rsidRPr="003D4D66">
        <w:rPr>
          <w:lang w:val="en-US"/>
        </w:rPr>
        <w:t>be segregated</w:t>
      </w:r>
      <w:proofErr w:type="gramEnd"/>
      <w:r w:rsidRPr="003D4D66">
        <w:rPr>
          <w:lang w:val="en-US"/>
        </w:rPr>
        <w:t xml:space="preserve"> for further investigations and </w:t>
      </w:r>
      <w:r w:rsidRPr="003D4D66">
        <w:t xml:space="preserve">not be </w:t>
      </w:r>
      <w:r w:rsidRPr="003D4D66">
        <w:rPr>
          <w:lang w:val="en-US"/>
        </w:rPr>
        <w:t xml:space="preserve">filled or </w:t>
      </w:r>
      <w:r w:rsidRPr="003D4D66">
        <w:t>made available for transport and use.</w:t>
      </w:r>
    </w:p>
    <w:p w:rsidR="00B14AD8" w:rsidRPr="003D4D66" w:rsidRDefault="00B14AD8" w:rsidP="001C4931">
      <w:pPr>
        <w:pStyle w:val="SingleTxtG"/>
        <w:ind w:left="1701"/>
        <w:rPr>
          <w:lang w:val="en-US"/>
        </w:rPr>
      </w:pPr>
      <w:r w:rsidRPr="003D4D66">
        <w:t xml:space="preserve">In agreement with the competent authority, its delegates or the </w:t>
      </w:r>
      <w:proofErr w:type="spellStart"/>
      <w:r w:rsidRPr="003D4D66">
        <w:t>Xa</w:t>
      </w:r>
      <w:proofErr w:type="spellEnd"/>
      <w:r w:rsidRPr="003D4D66">
        <w:t xml:space="preserve">-body which issued the design approval, additional tests </w:t>
      </w:r>
      <w:r w:rsidRPr="003D4D66">
        <w:rPr>
          <w:lang w:val="en-US"/>
        </w:rPr>
        <w:t>may</w:t>
      </w:r>
      <w:r w:rsidRPr="003D4D66">
        <w:t xml:space="preserve"> be performed to determine the root cause of the failure</w:t>
      </w:r>
      <w:r w:rsidRPr="003D4D66">
        <w:rPr>
          <w:lang w:val="en-US"/>
        </w:rPr>
        <w:t xml:space="preserve"> </w:t>
      </w:r>
      <w:r w:rsidRPr="003D4D66">
        <w:t xml:space="preserve">and the </w:t>
      </w:r>
      <w:r w:rsidRPr="003D4D66">
        <w:rPr>
          <w:lang w:val="en-US"/>
        </w:rPr>
        <w:t xml:space="preserve">part(s) of that population group which </w:t>
      </w:r>
      <w:proofErr w:type="gramStart"/>
      <w:r w:rsidRPr="003D4D66">
        <w:rPr>
          <w:lang w:val="en-US"/>
        </w:rPr>
        <w:t>is(</w:t>
      </w:r>
      <w:proofErr w:type="gramEnd"/>
      <w:r w:rsidRPr="003D4D66">
        <w:rPr>
          <w:lang w:val="en-US"/>
        </w:rPr>
        <w:t xml:space="preserve">are) </w:t>
      </w:r>
      <w:r w:rsidRPr="003D4D66">
        <w:t>affected</w:t>
      </w:r>
      <w:r w:rsidRPr="003D4D66">
        <w:rPr>
          <w:lang w:val="en-US"/>
        </w:rPr>
        <w:t>.</w:t>
      </w:r>
    </w:p>
    <w:p w:rsidR="00B14AD8" w:rsidRPr="003D4D66" w:rsidRDefault="00B14AD8" w:rsidP="001C4931">
      <w:pPr>
        <w:pStyle w:val="SingleTxtG"/>
        <w:ind w:left="1701"/>
      </w:pPr>
      <w:r w:rsidRPr="003D4D66">
        <w:rPr>
          <w:lang w:val="en-US"/>
        </w:rPr>
        <w:t>Those part(s) of the population group</w:t>
      </w:r>
      <w:r w:rsidRPr="003D4D66">
        <w:t xml:space="preserve"> not</w:t>
      </w:r>
      <w:r w:rsidRPr="003D4D66">
        <w:rPr>
          <w:spacing w:val="-3"/>
        </w:rPr>
        <w:t xml:space="preserve"> </w:t>
      </w:r>
      <w:r w:rsidRPr="003D4D66">
        <w:rPr>
          <w:lang w:val="en-US"/>
        </w:rPr>
        <w:t>affected</w:t>
      </w:r>
      <w:r w:rsidRPr="003D4D66">
        <w:rPr>
          <w:spacing w:val="-3"/>
        </w:rPr>
        <w:t xml:space="preserve"> by the root cause of the failure </w:t>
      </w:r>
      <w:proofErr w:type="gramStart"/>
      <w:r w:rsidRPr="003D4D66">
        <w:t>may</w:t>
      </w:r>
      <w:r w:rsidRPr="003D4D66">
        <w:rPr>
          <w:spacing w:val="-3"/>
        </w:rPr>
        <w:t xml:space="preserve"> </w:t>
      </w:r>
      <w:r w:rsidRPr="003D4D66">
        <w:t>be</w:t>
      </w:r>
      <w:r w:rsidRPr="003D4D66">
        <w:rPr>
          <w:spacing w:val="-3"/>
        </w:rPr>
        <w:t xml:space="preserve"> authorized</w:t>
      </w:r>
      <w:proofErr w:type="gramEnd"/>
      <w:r w:rsidRPr="003D4D66">
        <w:rPr>
          <w:spacing w:val="-3"/>
        </w:rPr>
        <w:t xml:space="preserve"> by the </w:t>
      </w:r>
      <w:r w:rsidRPr="003D4D66">
        <w:t xml:space="preserve">competent authority to </w:t>
      </w:r>
      <w:r w:rsidRPr="003D4D66">
        <w:rPr>
          <w:lang w:val="en-US"/>
        </w:rPr>
        <w:t>return to</w:t>
      </w:r>
      <w:r w:rsidRPr="003D4D66">
        <w:t xml:space="preserve"> service.</w:t>
      </w:r>
    </w:p>
    <w:p w:rsidR="00B14AD8" w:rsidRPr="003D4D66" w:rsidRDefault="001C4931" w:rsidP="001C4931">
      <w:pPr>
        <w:pStyle w:val="SingleTxtG"/>
      </w:pPr>
      <w:r>
        <w:lastRenderedPageBreak/>
        <w:t>(</w:t>
      </w:r>
      <w:proofErr w:type="spellStart"/>
      <w:r>
        <w:t>i</w:t>
      </w:r>
      <w:proofErr w:type="spellEnd"/>
      <w:r>
        <w:t>)</w:t>
      </w:r>
      <w:r>
        <w:tab/>
      </w:r>
      <w:r w:rsidR="00B14AD8" w:rsidRPr="003D4D66">
        <w:t>Filling centre</w:t>
      </w:r>
      <w:r w:rsidR="00B14AD8" w:rsidRPr="003D4D66">
        <w:rPr>
          <w:spacing w:val="-19"/>
        </w:rPr>
        <w:t xml:space="preserve"> </w:t>
      </w:r>
      <w:r w:rsidR="00B14AD8" w:rsidRPr="003D4D66">
        <w:t>requirements</w:t>
      </w:r>
    </w:p>
    <w:p w:rsidR="00B14AD8" w:rsidRPr="003D4D66" w:rsidRDefault="00B14AD8" w:rsidP="001C4931">
      <w:pPr>
        <w:pStyle w:val="SingleTxtG"/>
        <w:ind w:left="1701"/>
        <w:rPr>
          <w:lang w:val="en-US"/>
        </w:rPr>
      </w:pPr>
      <w:r w:rsidRPr="003D4D66">
        <w:t xml:space="preserve">The owner shall make available to the competent authority </w:t>
      </w:r>
      <w:r w:rsidRPr="003D4D66">
        <w:rPr>
          <w:lang w:val="en-US"/>
        </w:rPr>
        <w:t xml:space="preserve">documentary evidence </w:t>
      </w:r>
      <w:r w:rsidRPr="003D4D66">
        <w:t xml:space="preserve">that the filling </w:t>
      </w:r>
      <w:proofErr w:type="spellStart"/>
      <w:r w:rsidRPr="003D4D66">
        <w:t>centr</w:t>
      </w:r>
      <w:proofErr w:type="spellEnd"/>
      <w:r w:rsidRPr="003D4D66">
        <w:rPr>
          <w:lang w:val="en-US"/>
        </w:rPr>
        <w:t>e</w:t>
      </w:r>
      <w:r w:rsidRPr="003D4D66">
        <w:t>s</w:t>
      </w:r>
      <w:r w:rsidRPr="003D4D66">
        <w:rPr>
          <w:lang w:val="en-US"/>
        </w:rPr>
        <w:t>:</w:t>
      </w:r>
    </w:p>
    <w:p w:rsidR="00B14AD8" w:rsidRPr="003D4D66" w:rsidRDefault="00B14AD8" w:rsidP="001C4931">
      <w:pPr>
        <w:pStyle w:val="Bullet1G"/>
      </w:pPr>
      <w:r w:rsidRPr="003D4D66">
        <w:rPr>
          <w:lang w:val="en-US"/>
        </w:rPr>
        <w:t>C</w:t>
      </w:r>
      <w:proofErr w:type="spellStart"/>
      <w:r w:rsidRPr="003D4D66">
        <w:t>omply</w:t>
      </w:r>
      <w:proofErr w:type="spellEnd"/>
      <w:r w:rsidRPr="003D4D66">
        <w:t xml:space="preserve"> with the provision of packing instruction P200 (7) and that the requirements of the standard on pre-fill inspections referenced in table P200 (11) are fulfilled and correctly applied;</w:t>
      </w:r>
    </w:p>
    <w:p w:rsidR="00B14AD8" w:rsidRPr="003D4D66" w:rsidRDefault="00B14AD8" w:rsidP="001C4931">
      <w:pPr>
        <w:pStyle w:val="Bullet1G"/>
      </w:pPr>
      <w:r w:rsidRPr="003D4D66">
        <w:t>Have the appropriate means to identify over-moulded cylinders through the electronic identification device;</w:t>
      </w:r>
    </w:p>
    <w:p w:rsidR="00B14AD8" w:rsidRPr="003D4D66" w:rsidRDefault="00B14AD8" w:rsidP="001C4931">
      <w:pPr>
        <w:pStyle w:val="Bullet1G"/>
      </w:pPr>
      <w:r w:rsidRPr="003D4D66">
        <w:t>Have access to the database as defined in (d);</w:t>
      </w:r>
    </w:p>
    <w:p w:rsidR="00B14AD8" w:rsidRPr="003D4D66" w:rsidRDefault="00B14AD8" w:rsidP="001C4931">
      <w:pPr>
        <w:pStyle w:val="Bullet1G"/>
      </w:pPr>
      <w:r w:rsidRPr="003D4D66">
        <w:t>Have the capacity to update the database;</w:t>
      </w:r>
    </w:p>
    <w:p w:rsidR="00B14AD8" w:rsidRPr="003D4D66" w:rsidRDefault="00B14AD8" w:rsidP="001C4931">
      <w:pPr>
        <w:pStyle w:val="Bullet1G"/>
      </w:pPr>
      <w:r w:rsidRPr="003D4D66">
        <w:t>Apply a quality system, according to the ISO 9000 (series) or equivalent, certified by an accredited independent body recognized by the competent authority.</w:t>
      </w:r>
    </w:p>
    <w:p w:rsidR="00B14AD8" w:rsidRPr="00156154" w:rsidRDefault="008E57F7" w:rsidP="001C4931">
      <w:pPr>
        <w:pStyle w:val="SingleTxtG"/>
      </w:pPr>
      <w:r>
        <w:t>1</w:t>
      </w:r>
      <w:r w:rsidR="00C30677">
        <w:t>9</w:t>
      </w:r>
      <w:r w:rsidR="001C4931">
        <w:t>.</w:t>
      </w:r>
      <w:r w:rsidR="001C4931">
        <w:tab/>
      </w:r>
      <w:r w:rsidR="00B14AD8" w:rsidRPr="00B8339B">
        <w:t xml:space="preserve">Remove the </w:t>
      </w:r>
      <w:r w:rsidR="00B14AD8">
        <w:t>exception</w:t>
      </w:r>
      <w:r w:rsidR="00B14AD8" w:rsidRPr="00B8339B">
        <w:t xml:space="preserve"> </w:t>
      </w:r>
      <w:r w:rsidR="00B14AD8">
        <w:t>about</w:t>
      </w:r>
      <w:r w:rsidR="00B14AD8" w:rsidRPr="00B8339B">
        <w:t xml:space="preserve"> </w:t>
      </w:r>
      <w:r w:rsidR="00B14AD8">
        <w:t>“</w:t>
      </w:r>
      <w:r w:rsidR="00B14AD8" w:rsidRPr="00B8339B">
        <w:t>3.5 and annex G</w:t>
      </w:r>
      <w:r w:rsidR="00B14AD8">
        <w:t>”</w:t>
      </w:r>
      <w:r w:rsidR="00B14AD8" w:rsidRPr="00B8339B">
        <w:t xml:space="preserve"> for EN 1439:</w:t>
      </w:r>
      <w:r w:rsidR="00B14AD8">
        <w:t xml:space="preserve">2008 in table </w:t>
      </w:r>
      <w:r w:rsidR="00B14AD8" w:rsidRPr="00B8339B">
        <w:t>P200</w:t>
      </w:r>
      <w:r w:rsidR="00B14AD8">
        <w:t xml:space="preserve"> (11)</w:t>
      </w:r>
      <w:r w:rsidR="00B14AD8" w:rsidRPr="00B8339B">
        <w:t>.</w:t>
      </w:r>
    </w:p>
    <w:p w:rsidR="00B14AD8" w:rsidRDefault="00C30677" w:rsidP="001C4931">
      <w:pPr>
        <w:pStyle w:val="SingleTxtG"/>
      </w:pPr>
      <w:r>
        <w:t>20</w:t>
      </w:r>
      <w:r w:rsidR="001C4931">
        <w:t>.</w:t>
      </w:r>
      <w:r w:rsidR="001C4931">
        <w:tab/>
      </w:r>
      <w:r w:rsidR="00B14AD8" w:rsidRPr="00B8339B">
        <w:t xml:space="preserve">Remove the </w:t>
      </w:r>
      <w:r w:rsidR="00B14AD8">
        <w:t>exception</w:t>
      </w:r>
      <w:r w:rsidR="00B14AD8" w:rsidRPr="00B8339B">
        <w:t xml:space="preserve"> </w:t>
      </w:r>
      <w:r w:rsidR="00B14AD8">
        <w:t>about “Over-moulded cylinders”</w:t>
      </w:r>
      <w:r w:rsidR="00B14AD8" w:rsidRPr="00B8339B">
        <w:t xml:space="preserve"> for EN </w:t>
      </w:r>
      <w:r w:rsidR="00B14AD8">
        <w:t>14140</w:t>
      </w:r>
      <w:r w:rsidR="00B14AD8" w:rsidRPr="00B8339B">
        <w:t>:20</w:t>
      </w:r>
      <w:r w:rsidR="00B14AD8">
        <w:t>14+AC</w:t>
      </w:r>
      <w:proofErr w:type="gramStart"/>
      <w:r w:rsidR="00B14AD8">
        <w:t>:2015</w:t>
      </w:r>
      <w:proofErr w:type="gramEnd"/>
      <w:r w:rsidR="00B14AD8" w:rsidRPr="00B8339B">
        <w:t xml:space="preserve"> in the table in sub-section</w:t>
      </w:r>
      <w:r w:rsidR="00B14AD8" w:rsidRPr="00B8339B">
        <w:rPr>
          <w:spacing w:val="-22"/>
        </w:rPr>
        <w:t xml:space="preserve"> </w:t>
      </w:r>
      <w:r w:rsidR="00B14AD8">
        <w:t>6.2.4.1</w:t>
      </w:r>
    </w:p>
    <w:p w:rsidR="00B14AD8" w:rsidRDefault="008E57F7" w:rsidP="001C4931">
      <w:pPr>
        <w:pStyle w:val="SingleTxtG"/>
      </w:pPr>
      <w:r>
        <w:t>2</w:t>
      </w:r>
      <w:r w:rsidR="00C30677">
        <w:t>1</w:t>
      </w:r>
      <w:r w:rsidR="001C4931">
        <w:t>.</w:t>
      </w:r>
      <w:r w:rsidR="001C4931">
        <w:tab/>
      </w:r>
      <w:r w:rsidR="00B14AD8" w:rsidRPr="00B8339B">
        <w:t xml:space="preserve">Remove the </w:t>
      </w:r>
      <w:r w:rsidR="00B14AD8">
        <w:t>exception</w:t>
      </w:r>
      <w:r w:rsidR="00B14AD8" w:rsidRPr="00B8339B">
        <w:t xml:space="preserve"> </w:t>
      </w:r>
      <w:r w:rsidR="00B14AD8">
        <w:t>about “clause 3.5, Annex F and Annex G”</w:t>
      </w:r>
      <w:r w:rsidR="00B14AD8" w:rsidRPr="00B8339B">
        <w:t xml:space="preserve"> for EN </w:t>
      </w:r>
      <w:r w:rsidR="00B14AD8">
        <w:t>16728</w:t>
      </w:r>
      <w:r w:rsidR="00B14AD8" w:rsidRPr="00B8339B">
        <w:t>:20</w:t>
      </w:r>
      <w:r w:rsidR="00B14AD8">
        <w:t>16</w:t>
      </w:r>
      <w:r w:rsidR="00B14AD8" w:rsidRPr="00B8339B">
        <w:t xml:space="preserve"> in the table in sub-section</w:t>
      </w:r>
      <w:r w:rsidR="00B14AD8" w:rsidRPr="00B8339B">
        <w:rPr>
          <w:spacing w:val="-22"/>
        </w:rPr>
        <w:t xml:space="preserve"> </w:t>
      </w:r>
      <w:r w:rsidR="00B14AD8">
        <w:t>6.2.4.2, awaiting the ongoing update.</w:t>
      </w:r>
    </w:p>
    <w:p w:rsidR="007A4FC2" w:rsidRDefault="007A4FC2" w:rsidP="007A4FC2">
      <w:pPr>
        <w:spacing w:after="120"/>
        <w:ind w:left="1120" w:right="1120"/>
        <w:jc w:val="center"/>
        <w:rPr>
          <w:color w:val="000000"/>
          <w:lang w:val="en-US" w:eastAsia="ru-RU"/>
        </w:rPr>
      </w:pPr>
      <w:r>
        <w:rPr>
          <w:color w:val="000000"/>
          <w:lang w:val="en-US" w:eastAsia="ru-RU"/>
        </w:rPr>
        <w:t>__________</w:t>
      </w:r>
    </w:p>
    <w:sectPr w:rsidR="007A4FC2" w:rsidSect="007A4FC2">
      <w:headerReference w:type="even" r:id="rId17"/>
      <w:headerReference w:type="default" r:id="rId18"/>
      <w:footerReference w:type="even" r:id="rId19"/>
      <w:footerReference w:type="default" r:id="rId20"/>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71" w:rsidRDefault="00540471"/>
  </w:endnote>
  <w:endnote w:type="continuationSeparator" w:id="0">
    <w:p w:rsidR="00540471" w:rsidRDefault="00540471"/>
  </w:endnote>
  <w:endnote w:type="continuationNotice" w:id="1">
    <w:p w:rsidR="00540471" w:rsidRDefault="00540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E9" w:rsidRPr="009D2A5B" w:rsidRDefault="000072E9"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0173A7">
      <w:rPr>
        <w:b/>
        <w:noProof/>
        <w:sz w:val="18"/>
      </w:rPr>
      <w:t>10</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E9" w:rsidRPr="009D2A5B" w:rsidRDefault="000072E9"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0173A7">
      <w:rPr>
        <w:b/>
        <w:noProof/>
        <w:sz w:val="18"/>
      </w:rPr>
      <w:t>9</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71" w:rsidRPr="000B175B" w:rsidRDefault="00540471" w:rsidP="000B175B">
      <w:pPr>
        <w:tabs>
          <w:tab w:val="right" w:pos="2155"/>
        </w:tabs>
        <w:spacing w:after="80"/>
        <w:ind w:left="680"/>
        <w:rPr>
          <w:u w:val="single"/>
        </w:rPr>
      </w:pPr>
      <w:r>
        <w:rPr>
          <w:u w:val="single"/>
        </w:rPr>
        <w:tab/>
      </w:r>
    </w:p>
  </w:footnote>
  <w:footnote w:type="continuationSeparator" w:id="0">
    <w:p w:rsidR="00540471" w:rsidRPr="00FC68B7" w:rsidRDefault="00540471" w:rsidP="00FC68B7">
      <w:pPr>
        <w:tabs>
          <w:tab w:val="left" w:pos="2155"/>
        </w:tabs>
        <w:spacing w:after="80"/>
        <w:ind w:left="680"/>
        <w:rPr>
          <w:u w:val="single"/>
        </w:rPr>
      </w:pPr>
      <w:r>
        <w:rPr>
          <w:u w:val="single"/>
        </w:rPr>
        <w:tab/>
      </w:r>
    </w:p>
  </w:footnote>
  <w:footnote w:type="continuationNotice" w:id="1">
    <w:p w:rsidR="00540471" w:rsidRDefault="00540471"/>
  </w:footnote>
  <w:footnote w:id="2">
    <w:p w:rsidR="000072E9" w:rsidRPr="000C686C" w:rsidRDefault="000072E9" w:rsidP="00C563BF">
      <w:pPr>
        <w:pStyle w:val="FootnoteText"/>
        <w:ind w:left="1418" w:hanging="284"/>
        <w:jc w:val="both"/>
        <w:rPr>
          <w:lang w:val="en-US"/>
        </w:rPr>
      </w:pPr>
      <w:r w:rsidRPr="00C563BF">
        <w:rPr>
          <w:rStyle w:val="FootnoteReference"/>
          <w:sz w:val="20"/>
        </w:rPr>
        <w:footnoteRef/>
      </w:r>
      <w:r>
        <w:tab/>
        <w:t>In accordance with the programme of work of the Inland Transport Committee for 2016-2017, (ECE/TRANS/2016/28/Add.1 (9.2)).</w:t>
      </w:r>
    </w:p>
  </w:footnote>
  <w:footnote w:id="3">
    <w:p w:rsidR="000072E9" w:rsidRPr="000C686C" w:rsidRDefault="000072E9" w:rsidP="00C563BF">
      <w:pPr>
        <w:pStyle w:val="FootnoteText"/>
        <w:ind w:left="1418" w:hanging="284"/>
        <w:jc w:val="both"/>
        <w:rPr>
          <w:lang w:val="en-US"/>
        </w:rPr>
      </w:pP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t>7</w:t>
      </w:r>
      <w:r w:rsidRPr="00561474">
        <w:t>/</w:t>
      </w:r>
      <w:r>
        <w:t>33</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E9" w:rsidRPr="009D2A5B" w:rsidRDefault="000072E9" w:rsidP="009D2A5B">
    <w:pPr>
      <w:pStyle w:val="Header"/>
    </w:pPr>
    <w:r w:rsidRPr="009D2A5B">
      <w:t>ECE/TRANS/WP.15/AC.1/201</w:t>
    </w:r>
    <w:r>
      <w:t>7</w:t>
    </w:r>
    <w:r w:rsidRPr="009D2A5B">
      <w:t>/</w:t>
    </w:r>
    <w:r>
      <w:t>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E9" w:rsidRPr="009D2A5B" w:rsidRDefault="000072E9" w:rsidP="009D2A5B">
    <w:pPr>
      <w:pStyle w:val="Header"/>
      <w:jc w:val="right"/>
    </w:pPr>
    <w:r w:rsidRPr="009D2A5B">
      <w:t>ECE/TRANS/WP.15/AC.1/201</w:t>
    </w:r>
    <w:r>
      <w:t>7</w:t>
    </w:r>
    <w:r w:rsidRPr="009D2A5B">
      <w:t>/</w:t>
    </w:r>
    <w:r>
      <w:t>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7B5E68"/>
    <w:multiLevelType w:val="hybridMultilevel"/>
    <w:tmpl w:val="14A2E63A"/>
    <w:lvl w:ilvl="0" w:tplc="BAAC110E">
      <w:start w:val="1"/>
      <w:numFmt w:val="decimal"/>
      <w:lvlText w:val="%1."/>
      <w:lvlJc w:val="left"/>
      <w:pPr>
        <w:ind w:left="1288" w:hanging="568"/>
      </w:pPr>
      <w:rPr>
        <w:rFonts w:ascii="Times New Roman" w:eastAsia="Times New Roman" w:hAnsi="Times New Roman" w:hint="default"/>
        <w:w w:val="100"/>
        <w:sz w:val="20"/>
        <w:szCs w:val="20"/>
      </w:rPr>
    </w:lvl>
    <w:lvl w:ilvl="1" w:tplc="B3B6E27E">
      <w:start w:val="1"/>
      <w:numFmt w:val="lowerLetter"/>
      <w:lvlText w:val="(%2)"/>
      <w:lvlJc w:val="left"/>
      <w:pPr>
        <w:ind w:left="1288" w:hanging="567"/>
      </w:pPr>
      <w:rPr>
        <w:rFonts w:ascii="Times New Roman" w:eastAsia="Times New Roman" w:hAnsi="Times New Roman" w:hint="default"/>
        <w:b/>
        <w:bCs/>
        <w:spacing w:val="-1"/>
        <w:w w:val="100"/>
        <w:sz w:val="20"/>
        <w:szCs w:val="20"/>
      </w:rPr>
    </w:lvl>
    <w:lvl w:ilvl="2" w:tplc="A0CA036C">
      <w:start w:val="1"/>
      <w:numFmt w:val="bullet"/>
      <w:lvlText w:val="•"/>
      <w:lvlJc w:val="left"/>
      <w:pPr>
        <w:ind w:left="3012" w:hanging="567"/>
      </w:pPr>
      <w:rPr>
        <w:rFonts w:hint="default"/>
      </w:rPr>
    </w:lvl>
    <w:lvl w:ilvl="3" w:tplc="B1965F44">
      <w:start w:val="1"/>
      <w:numFmt w:val="bullet"/>
      <w:lvlText w:val="•"/>
      <w:lvlJc w:val="left"/>
      <w:pPr>
        <w:ind w:left="3879" w:hanging="567"/>
      </w:pPr>
      <w:rPr>
        <w:rFonts w:hint="default"/>
      </w:rPr>
    </w:lvl>
    <w:lvl w:ilvl="4" w:tplc="4288BCB8">
      <w:start w:val="1"/>
      <w:numFmt w:val="bullet"/>
      <w:lvlText w:val="•"/>
      <w:lvlJc w:val="left"/>
      <w:pPr>
        <w:ind w:left="4745" w:hanging="567"/>
      </w:pPr>
      <w:rPr>
        <w:rFonts w:hint="default"/>
      </w:rPr>
    </w:lvl>
    <w:lvl w:ilvl="5" w:tplc="62942518">
      <w:start w:val="1"/>
      <w:numFmt w:val="bullet"/>
      <w:lvlText w:val="•"/>
      <w:lvlJc w:val="left"/>
      <w:pPr>
        <w:ind w:left="5612" w:hanging="567"/>
      </w:pPr>
      <w:rPr>
        <w:rFonts w:hint="default"/>
      </w:rPr>
    </w:lvl>
    <w:lvl w:ilvl="6" w:tplc="7A80FF1E">
      <w:start w:val="1"/>
      <w:numFmt w:val="bullet"/>
      <w:lvlText w:val="•"/>
      <w:lvlJc w:val="left"/>
      <w:pPr>
        <w:ind w:left="6478" w:hanging="567"/>
      </w:pPr>
      <w:rPr>
        <w:rFonts w:hint="default"/>
      </w:rPr>
    </w:lvl>
    <w:lvl w:ilvl="7" w:tplc="A712CEC0">
      <w:start w:val="1"/>
      <w:numFmt w:val="bullet"/>
      <w:lvlText w:val="•"/>
      <w:lvlJc w:val="left"/>
      <w:pPr>
        <w:ind w:left="7345" w:hanging="567"/>
      </w:pPr>
      <w:rPr>
        <w:rFonts w:hint="default"/>
      </w:rPr>
    </w:lvl>
    <w:lvl w:ilvl="8" w:tplc="3094152E">
      <w:start w:val="1"/>
      <w:numFmt w:val="bullet"/>
      <w:lvlText w:val="•"/>
      <w:lvlJc w:val="left"/>
      <w:pPr>
        <w:ind w:left="8211" w:hanging="567"/>
      </w:pPr>
      <w:rPr>
        <w:rFont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63ED6"/>
    <w:multiLevelType w:val="hybridMultilevel"/>
    <w:tmpl w:val="9B4E69C6"/>
    <w:lvl w:ilvl="0" w:tplc="2CC0407A">
      <w:start w:val="7"/>
      <w:numFmt w:val="lowerLetter"/>
      <w:lvlText w:val="(%1)"/>
      <w:lvlJc w:val="left"/>
      <w:pPr>
        <w:ind w:left="2422" w:hanging="567"/>
      </w:pPr>
      <w:rPr>
        <w:rFonts w:ascii="Times New Roman" w:eastAsia="Times New Roman" w:hAnsi="Times New Roman" w:hint="default"/>
        <w:spacing w:val="-1"/>
        <w:w w:val="100"/>
        <w:sz w:val="20"/>
        <w:szCs w:val="20"/>
      </w:rPr>
    </w:lvl>
    <w:lvl w:ilvl="1" w:tplc="EE442E0E">
      <w:start w:val="1"/>
      <w:numFmt w:val="bullet"/>
      <w:lvlText w:val="-"/>
      <w:lvlJc w:val="left"/>
      <w:pPr>
        <w:ind w:left="2422" w:hanging="569"/>
      </w:pPr>
      <w:rPr>
        <w:rFonts w:ascii="Times New Roman" w:eastAsia="Times New Roman" w:hAnsi="Times New Roman" w:hint="default"/>
        <w:w w:val="100"/>
        <w:sz w:val="20"/>
        <w:szCs w:val="20"/>
      </w:rPr>
    </w:lvl>
    <w:lvl w:ilvl="2" w:tplc="1B6A2BAA">
      <w:start w:val="1"/>
      <w:numFmt w:val="bullet"/>
      <w:lvlText w:val="•"/>
      <w:lvlJc w:val="left"/>
      <w:pPr>
        <w:ind w:left="3924" w:hanging="569"/>
      </w:pPr>
      <w:rPr>
        <w:rFonts w:hint="default"/>
      </w:rPr>
    </w:lvl>
    <w:lvl w:ilvl="3" w:tplc="7ED2C226">
      <w:start w:val="1"/>
      <w:numFmt w:val="bullet"/>
      <w:lvlText w:val="•"/>
      <w:lvlJc w:val="left"/>
      <w:pPr>
        <w:ind w:left="4677" w:hanging="569"/>
      </w:pPr>
      <w:rPr>
        <w:rFonts w:hint="default"/>
      </w:rPr>
    </w:lvl>
    <w:lvl w:ilvl="4" w:tplc="E67EFFEC">
      <w:start w:val="1"/>
      <w:numFmt w:val="bullet"/>
      <w:lvlText w:val="•"/>
      <w:lvlJc w:val="left"/>
      <w:pPr>
        <w:ind w:left="5429" w:hanging="569"/>
      </w:pPr>
      <w:rPr>
        <w:rFonts w:hint="default"/>
      </w:rPr>
    </w:lvl>
    <w:lvl w:ilvl="5" w:tplc="947A808C">
      <w:start w:val="1"/>
      <w:numFmt w:val="bullet"/>
      <w:lvlText w:val="•"/>
      <w:lvlJc w:val="left"/>
      <w:pPr>
        <w:ind w:left="6182" w:hanging="569"/>
      </w:pPr>
      <w:rPr>
        <w:rFonts w:hint="default"/>
      </w:rPr>
    </w:lvl>
    <w:lvl w:ilvl="6" w:tplc="1F1A8678">
      <w:start w:val="1"/>
      <w:numFmt w:val="bullet"/>
      <w:lvlText w:val="•"/>
      <w:lvlJc w:val="left"/>
      <w:pPr>
        <w:ind w:left="6934" w:hanging="569"/>
      </w:pPr>
      <w:rPr>
        <w:rFonts w:hint="default"/>
      </w:rPr>
    </w:lvl>
    <w:lvl w:ilvl="7" w:tplc="19D44746">
      <w:start w:val="1"/>
      <w:numFmt w:val="bullet"/>
      <w:lvlText w:val="•"/>
      <w:lvlJc w:val="left"/>
      <w:pPr>
        <w:ind w:left="7687" w:hanging="569"/>
      </w:pPr>
      <w:rPr>
        <w:rFonts w:hint="default"/>
      </w:rPr>
    </w:lvl>
    <w:lvl w:ilvl="8" w:tplc="D422AB74">
      <w:start w:val="1"/>
      <w:numFmt w:val="bullet"/>
      <w:lvlText w:val="•"/>
      <w:lvlJc w:val="left"/>
      <w:pPr>
        <w:ind w:left="8439" w:hanging="569"/>
      </w:pPr>
      <w:rPr>
        <w:rFonts w:hint="default"/>
      </w:rPr>
    </w:lvl>
  </w:abstractNum>
  <w:abstractNum w:abstractNumId="15" w15:restartNumberingAfterBreak="0">
    <w:nsid w:val="1A8516A3"/>
    <w:multiLevelType w:val="hybridMultilevel"/>
    <w:tmpl w:val="3DFE920A"/>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94A58"/>
    <w:multiLevelType w:val="hybridMultilevel"/>
    <w:tmpl w:val="B5422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0" w15:restartNumberingAfterBreak="0">
    <w:nsid w:val="4D6B5219"/>
    <w:multiLevelType w:val="hybridMultilevel"/>
    <w:tmpl w:val="823E20FE"/>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52473F32"/>
    <w:multiLevelType w:val="hybridMultilevel"/>
    <w:tmpl w:val="23385D10"/>
    <w:lvl w:ilvl="0" w:tplc="040C0001">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0066C75"/>
    <w:multiLevelType w:val="hybridMultilevel"/>
    <w:tmpl w:val="3918C356"/>
    <w:lvl w:ilvl="0" w:tplc="62E8EFF4">
      <w:start w:val="1"/>
      <w:numFmt w:val="lowerLetter"/>
      <w:lvlText w:val="(%1)"/>
      <w:lvlJc w:val="left"/>
      <w:pPr>
        <w:ind w:left="2422" w:hanging="567"/>
      </w:pPr>
      <w:rPr>
        <w:rFonts w:ascii="Times New Roman" w:eastAsia="Times New Roman" w:hAnsi="Times New Roman" w:hint="default"/>
        <w:w w:val="100"/>
        <w:sz w:val="20"/>
        <w:szCs w:val="20"/>
      </w:rPr>
    </w:lvl>
    <w:lvl w:ilvl="1" w:tplc="1AD24BF8">
      <w:start w:val="1"/>
      <w:numFmt w:val="bullet"/>
      <w:lvlText w:val="-"/>
      <w:lvlJc w:val="left"/>
      <w:pPr>
        <w:ind w:left="2422" w:hanging="569"/>
      </w:pPr>
      <w:rPr>
        <w:rFonts w:ascii="Times New Roman" w:eastAsia="Times New Roman" w:hAnsi="Times New Roman" w:hint="default"/>
        <w:w w:val="100"/>
        <w:sz w:val="20"/>
        <w:szCs w:val="20"/>
      </w:rPr>
    </w:lvl>
    <w:lvl w:ilvl="2" w:tplc="CE366CDA">
      <w:start w:val="1"/>
      <w:numFmt w:val="bullet"/>
      <w:lvlText w:val="•"/>
      <w:lvlJc w:val="left"/>
      <w:pPr>
        <w:ind w:left="3924" w:hanging="569"/>
      </w:pPr>
      <w:rPr>
        <w:rFonts w:hint="default"/>
      </w:rPr>
    </w:lvl>
    <w:lvl w:ilvl="3" w:tplc="47B66356">
      <w:start w:val="1"/>
      <w:numFmt w:val="bullet"/>
      <w:lvlText w:val="•"/>
      <w:lvlJc w:val="left"/>
      <w:pPr>
        <w:ind w:left="4677" w:hanging="569"/>
      </w:pPr>
      <w:rPr>
        <w:rFonts w:hint="default"/>
      </w:rPr>
    </w:lvl>
    <w:lvl w:ilvl="4" w:tplc="5770CC24">
      <w:start w:val="1"/>
      <w:numFmt w:val="bullet"/>
      <w:lvlText w:val="•"/>
      <w:lvlJc w:val="left"/>
      <w:pPr>
        <w:ind w:left="5429" w:hanging="569"/>
      </w:pPr>
      <w:rPr>
        <w:rFonts w:hint="default"/>
      </w:rPr>
    </w:lvl>
    <w:lvl w:ilvl="5" w:tplc="078E568C">
      <w:start w:val="1"/>
      <w:numFmt w:val="bullet"/>
      <w:lvlText w:val="•"/>
      <w:lvlJc w:val="left"/>
      <w:pPr>
        <w:ind w:left="6182" w:hanging="569"/>
      </w:pPr>
      <w:rPr>
        <w:rFonts w:hint="default"/>
      </w:rPr>
    </w:lvl>
    <w:lvl w:ilvl="6" w:tplc="A4641E02">
      <w:start w:val="1"/>
      <w:numFmt w:val="bullet"/>
      <w:lvlText w:val="•"/>
      <w:lvlJc w:val="left"/>
      <w:pPr>
        <w:ind w:left="6934" w:hanging="569"/>
      </w:pPr>
      <w:rPr>
        <w:rFonts w:hint="default"/>
      </w:rPr>
    </w:lvl>
    <w:lvl w:ilvl="7" w:tplc="7714A110">
      <w:start w:val="1"/>
      <w:numFmt w:val="bullet"/>
      <w:lvlText w:val="•"/>
      <w:lvlJc w:val="left"/>
      <w:pPr>
        <w:ind w:left="7687" w:hanging="569"/>
      </w:pPr>
      <w:rPr>
        <w:rFonts w:hint="default"/>
      </w:rPr>
    </w:lvl>
    <w:lvl w:ilvl="8" w:tplc="4CD86F28">
      <w:start w:val="1"/>
      <w:numFmt w:val="bullet"/>
      <w:lvlText w:val="•"/>
      <w:lvlJc w:val="left"/>
      <w:pPr>
        <w:ind w:left="8439" w:hanging="56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2"/>
  </w:num>
  <w:num w:numId="15">
    <w:abstractNumId w:val="13"/>
  </w:num>
  <w:num w:numId="16">
    <w:abstractNumId w:val="12"/>
  </w:num>
  <w:num w:numId="17">
    <w:abstractNumId w:val="19"/>
  </w:num>
  <w:num w:numId="18">
    <w:abstractNumId w:val="15"/>
  </w:num>
  <w:num w:numId="19">
    <w:abstractNumId w:val="14"/>
  </w:num>
  <w:num w:numId="20">
    <w:abstractNumId w:val="23"/>
  </w:num>
  <w:num w:numId="21">
    <w:abstractNumId w:val="11"/>
  </w:num>
  <w:num w:numId="22">
    <w:abstractNumId w:val="21"/>
  </w:num>
  <w:num w:numId="23">
    <w:abstractNumId w:val="20"/>
  </w:num>
  <w:num w:numId="24">
    <w:abstractNumId w:val="17"/>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72E9"/>
    <w:rsid w:val="000173A7"/>
    <w:rsid w:val="00034A36"/>
    <w:rsid w:val="00037F90"/>
    <w:rsid w:val="0004238C"/>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293"/>
    <w:rsid w:val="000B4EF7"/>
    <w:rsid w:val="000C2C03"/>
    <w:rsid w:val="000C2D2E"/>
    <w:rsid w:val="000C2EEA"/>
    <w:rsid w:val="000C4D51"/>
    <w:rsid w:val="000C686C"/>
    <w:rsid w:val="000C7E8F"/>
    <w:rsid w:val="000E0415"/>
    <w:rsid w:val="001103AA"/>
    <w:rsid w:val="0011666B"/>
    <w:rsid w:val="001208E2"/>
    <w:rsid w:val="0014434B"/>
    <w:rsid w:val="00155068"/>
    <w:rsid w:val="00165F3A"/>
    <w:rsid w:val="00175081"/>
    <w:rsid w:val="0017587F"/>
    <w:rsid w:val="001B13A5"/>
    <w:rsid w:val="001B4B04"/>
    <w:rsid w:val="001C4931"/>
    <w:rsid w:val="001C6663"/>
    <w:rsid w:val="001C7895"/>
    <w:rsid w:val="001D0C8C"/>
    <w:rsid w:val="001D1419"/>
    <w:rsid w:val="001D26DF"/>
    <w:rsid w:val="001D3A03"/>
    <w:rsid w:val="001D70FB"/>
    <w:rsid w:val="001D7F46"/>
    <w:rsid w:val="001E0B9E"/>
    <w:rsid w:val="001E7B67"/>
    <w:rsid w:val="001F7435"/>
    <w:rsid w:val="00202DA8"/>
    <w:rsid w:val="0021157B"/>
    <w:rsid w:val="00211E0B"/>
    <w:rsid w:val="002253D8"/>
    <w:rsid w:val="0026575C"/>
    <w:rsid w:val="00267F5F"/>
    <w:rsid w:val="00277C12"/>
    <w:rsid w:val="00286B4D"/>
    <w:rsid w:val="002A5FF3"/>
    <w:rsid w:val="002A603B"/>
    <w:rsid w:val="002D4643"/>
    <w:rsid w:val="002D4B6C"/>
    <w:rsid w:val="002E4249"/>
    <w:rsid w:val="002E7E8E"/>
    <w:rsid w:val="002F175C"/>
    <w:rsid w:val="00302E18"/>
    <w:rsid w:val="00312506"/>
    <w:rsid w:val="003229D8"/>
    <w:rsid w:val="00352709"/>
    <w:rsid w:val="00371178"/>
    <w:rsid w:val="00381475"/>
    <w:rsid w:val="00384140"/>
    <w:rsid w:val="0039377E"/>
    <w:rsid w:val="003A6810"/>
    <w:rsid w:val="003C2CC4"/>
    <w:rsid w:val="003D4B23"/>
    <w:rsid w:val="004059B4"/>
    <w:rsid w:val="00410C89"/>
    <w:rsid w:val="00422E03"/>
    <w:rsid w:val="00426B9B"/>
    <w:rsid w:val="00426D2C"/>
    <w:rsid w:val="00430EFE"/>
    <w:rsid w:val="004325CB"/>
    <w:rsid w:val="00441896"/>
    <w:rsid w:val="00442A83"/>
    <w:rsid w:val="00443AB5"/>
    <w:rsid w:val="00450C73"/>
    <w:rsid w:val="0045495B"/>
    <w:rsid w:val="0048397A"/>
    <w:rsid w:val="004A12F2"/>
    <w:rsid w:val="004C2461"/>
    <w:rsid w:val="004C7462"/>
    <w:rsid w:val="004D4A0C"/>
    <w:rsid w:val="004D4E04"/>
    <w:rsid w:val="004D5426"/>
    <w:rsid w:val="004E0C05"/>
    <w:rsid w:val="004E77B2"/>
    <w:rsid w:val="004F6ED8"/>
    <w:rsid w:val="00503DEB"/>
    <w:rsid w:val="00504B2D"/>
    <w:rsid w:val="00511A9B"/>
    <w:rsid w:val="0052136D"/>
    <w:rsid w:val="00522B58"/>
    <w:rsid w:val="0052775E"/>
    <w:rsid w:val="00535C90"/>
    <w:rsid w:val="00540471"/>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17F6C"/>
    <w:rsid w:val="0062377A"/>
    <w:rsid w:val="00640B26"/>
    <w:rsid w:val="00652D0A"/>
    <w:rsid w:val="00656B98"/>
    <w:rsid w:val="006623D5"/>
    <w:rsid w:val="00662BB6"/>
    <w:rsid w:val="00667F8F"/>
    <w:rsid w:val="00684C21"/>
    <w:rsid w:val="0069232B"/>
    <w:rsid w:val="006A2530"/>
    <w:rsid w:val="006A7EDC"/>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76D68"/>
    <w:rsid w:val="007A4FC2"/>
    <w:rsid w:val="007B6BA5"/>
    <w:rsid w:val="007C3390"/>
    <w:rsid w:val="007C3EC0"/>
    <w:rsid w:val="007C4F4B"/>
    <w:rsid w:val="007D46D5"/>
    <w:rsid w:val="007D4D60"/>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57F7"/>
    <w:rsid w:val="008E7526"/>
    <w:rsid w:val="00901B81"/>
    <w:rsid w:val="0092212D"/>
    <w:rsid w:val="009223CA"/>
    <w:rsid w:val="00940F93"/>
    <w:rsid w:val="0094558F"/>
    <w:rsid w:val="00961690"/>
    <w:rsid w:val="009760F3"/>
    <w:rsid w:val="00986931"/>
    <w:rsid w:val="009A0E8D"/>
    <w:rsid w:val="009B1518"/>
    <w:rsid w:val="009B26E7"/>
    <w:rsid w:val="009B6669"/>
    <w:rsid w:val="009C3EED"/>
    <w:rsid w:val="009C454F"/>
    <w:rsid w:val="009D2A5B"/>
    <w:rsid w:val="00A00A3F"/>
    <w:rsid w:val="00A01489"/>
    <w:rsid w:val="00A3009E"/>
    <w:rsid w:val="00A3026E"/>
    <w:rsid w:val="00A338F1"/>
    <w:rsid w:val="00A43545"/>
    <w:rsid w:val="00A72F22"/>
    <w:rsid w:val="00A7360F"/>
    <w:rsid w:val="00A748A6"/>
    <w:rsid w:val="00A769F4"/>
    <w:rsid w:val="00A776B4"/>
    <w:rsid w:val="00A81407"/>
    <w:rsid w:val="00A9093D"/>
    <w:rsid w:val="00A9142D"/>
    <w:rsid w:val="00A94361"/>
    <w:rsid w:val="00AA293C"/>
    <w:rsid w:val="00AE08DA"/>
    <w:rsid w:val="00AE6935"/>
    <w:rsid w:val="00AF3993"/>
    <w:rsid w:val="00AF6347"/>
    <w:rsid w:val="00B11BB4"/>
    <w:rsid w:val="00B14AD8"/>
    <w:rsid w:val="00B175D8"/>
    <w:rsid w:val="00B22BC2"/>
    <w:rsid w:val="00B30179"/>
    <w:rsid w:val="00B32242"/>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10FE6"/>
    <w:rsid w:val="00C11A03"/>
    <w:rsid w:val="00C22C0C"/>
    <w:rsid w:val="00C255AF"/>
    <w:rsid w:val="00C30677"/>
    <w:rsid w:val="00C30C61"/>
    <w:rsid w:val="00C3172E"/>
    <w:rsid w:val="00C35502"/>
    <w:rsid w:val="00C40B11"/>
    <w:rsid w:val="00C4527F"/>
    <w:rsid w:val="00C463DD"/>
    <w:rsid w:val="00C4724C"/>
    <w:rsid w:val="00C563BF"/>
    <w:rsid w:val="00C629A0"/>
    <w:rsid w:val="00C64629"/>
    <w:rsid w:val="00C745C3"/>
    <w:rsid w:val="00C76F8B"/>
    <w:rsid w:val="00C84193"/>
    <w:rsid w:val="00C92461"/>
    <w:rsid w:val="00CB3E03"/>
    <w:rsid w:val="00CE4A8F"/>
    <w:rsid w:val="00CF3A08"/>
    <w:rsid w:val="00D2031B"/>
    <w:rsid w:val="00D25FE2"/>
    <w:rsid w:val="00D30EFA"/>
    <w:rsid w:val="00D43252"/>
    <w:rsid w:val="00D47EEA"/>
    <w:rsid w:val="00D550D4"/>
    <w:rsid w:val="00D773DF"/>
    <w:rsid w:val="00D872AC"/>
    <w:rsid w:val="00D9255F"/>
    <w:rsid w:val="00D95303"/>
    <w:rsid w:val="00D96850"/>
    <w:rsid w:val="00D978C6"/>
    <w:rsid w:val="00DA3C1C"/>
    <w:rsid w:val="00DD29BD"/>
    <w:rsid w:val="00DD79E7"/>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D7A2A"/>
    <w:rsid w:val="00EE6B3A"/>
    <w:rsid w:val="00EF1D7F"/>
    <w:rsid w:val="00F31E5F"/>
    <w:rsid w:val="00F32BB7"/>
    <w:rsid w:val="00F47EDC"/>
    <w:rsid w:val="00F6100A"/>
    <w:rsid w:val="00F63C9D"/>
    <w:rsid w:val="00F65AE4"/>
    <w:rsid w:val="00F66565"/>
    <w:rsid w:val="00F75A16"/>
    <w:rsid w:val="00F909AE"/>
    <w:rsid w:val="00F92A22"/>
    <w:rsid w:val="00F93781"/>
    <w:rsid w:val="00FA3495"/>
    <w:rsid w:val="00FA55C9"/>
    <w:rsid w:val="00FA6DA6"/>
    <w:rsid w:val="00FB613B"/>
    <w:rsid w:val="00FC68B7"/>
    <w:rsid w:val="00FE106A"/>
    <w:rsid w:val="00FE351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98F89B"/>
  <w15:docId w15:val="{8440EADB-6F95-4790-8A5C-CA5C1E86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character" w:customStyle="1" w:styleId="BodyTextChar">
    <w:name w:val="Body Text Char"/>
    <w:link w:val="BodyText"/>
    <w:rsid w:val="00B14AD8"/>
    <w:rPr>
      <w:lang w:eastAsia="en-US"/>
    </w:rPr>
  </w:style>
  <w:style w:type="paragraph" w:customStyle="1" w:styleId="Tabletext9">
    <w:name w:val="Table text (9)"/>
    <w:basedOn w:val="Normal"/>
    <w:rsid w:val="00B14AD8"/>
    <w:pPr>
      <w:suppressAutoHyphens w:val="0"/>
      <w:spacing w:before="60" w:after="60" w:line="210" w:lineRule="atLeast"/>
      <w:jc w:val="both"/>
    </w:pPr>
    <w:rPr>
      <w:rFonts w:ascii="Arial" w:eastAsia="MS Mincho" w:hAnsi="Arial"/>
      <w:sz w:val="18"/>
      <w:lang w:eastAsia="fr-FR"/>
    </w:rPr>
  </w:style>
  <w:style w:type="paragraph" w:styleId="ListParagraph">
    <w:name w:val="List Paragraph"/>
    <w:basedOn w:val="Normal"/>
    <w:uiPriority w:val="1"/>
    <w:qFormat/>
    <w:rsid w:val="00B14AD8"/>
    <w:pPr>
      <w:ind w:left="720"/>
      <w:contextualSpacing/>
    </w:pPr>
  </w:style>
  <w:style w:type="character" w:customStyle="1" w:styleId="H23GChar">
    <w:name w:val="_ H_2/3_G Char"/>
    <w:link w:val="H23G"/>
    <w:locked/>
    <w:rsid w:val="00175081"/>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EEEE-91B9-43AE-B267-C76FBAC1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2830</Words>
  <Characters>16134</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2017-07-06T11:17:00Z</cp:lastPrinted>
  <dcterms:created xsi:type="dcterms:W3CDTF">2017-07-06T11:17:00Z</dcterms:created>
  <dcterms:modified xsi:type="dcterms:W3CDTF">2017-07-06T11:28:00Z</dcterms:modified>
</cp:coreProperties>
</file>