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30195A" w:rsidTr="00387CD4">
        <w:trPr>
          <w:trHeight w:hRule="exact" w:val="851"/>
        </w:trPr>
        <w:tc>
          <w:tcPr>
            <w:tcW w:w="142" w:type="dxa"/>
            <w:tcBorders>
              <w:bottom w:val="single" w:sz="4" w:space="0" w:color="auto"/>
            </w:tcBorders>
          </w:tcPr>
          <w:p w:rsidR="002D5AAC" w:rsidRDefault="002D5AAC" w:rsidP="002516B3">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Pr="002516B3" w:rsidRDefault="002516B3" w:rsidP="002516B3">
            <w:pPr>
              <w:jc w:val="right"/>
              <w:rPr>
                <w:lang w:val="en-US"/>
              </w:rPr>
            </w:pPr>
            <w:r w:rsidRPr="002516B3">
              <w:rPr>
                <w:sz w:val="40"/>
                <w:lang w:val="en-US"/>
              </w:rPr>
              <w:t>ECE</w:t>
            </w:r>
            <w:r w:rsidRPr="002516B3">
              <w:rPr>
                <w:lang w:val="en-US"/>
              </w:rPr>
              <w:t>/TRANS/WP.15/AC.1/148/Add.1</w:t>
            </w:r>
          </w:p>
        </w:tc>
      </w:tr>
      <w:tr w:rsidR="002D5AAC" w:rsidRPr="0030195A"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US" w:eastAsia="en-US"/>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2516B3" w:rsidP="00387CD4">
            <w:pPr>
              <w:spacing w:before="240"/>
              <w:rPr>
                <w:lang w:val="en-US"/>
              </w:rPr>
            </w:pPr>
            <w:r>
              <w:rPr>
                <w:lang w:val="en-US"/>
              </w:rPr>
              <w:t>Distr.: General</w:t>
            </w:r>
          </w:p>
          <w:p w:rsidR="002516B3" w:rsidRDefault="002516B3" w:rsidP="002516B3">
            <w:pPr>
              <w:spacing w:line="240" w:lineRule="exact"/>
              <w:rPr>
                <w:lang w:val="en-US"/>
              </w:rPr>
            </w:pPr>
            <w:r>
              <w:rPr>
                <w:lang w:val="en-US"/>
              </w:rPr>
              <w:t>20 October 2017</w:t>
            </w:r>
          </w:p>
          <w:p w:rsidR="002516B3" w:rsidRDefault="002516B3" w:rsidP="002516B3">
            <w:pPr>
              <w:spacing w:line="240" w:lineRule="exact"/>
              <w:rPr>
                <w:lang w:val="en-US"/>
              </w:rPr>
            </w:pPr>
            <w:r>
              <w:rPr>
                <w:lang w:val="en-US"/>
              </w:rPr>
              <w:t>Russian</w:t>
            </w:r>
          </w:p>
          <w:p w:rsidR="002516B3" w:rsidRPr="008D53B6" w:rsidRDefault="002516B3" w:rsidP="002516B3">
            <w:pPr>
              <w:spacing w:line="240" w:lineRule="exact"/>
              <w:rPr>
                <w:lang w:val="en-US"/>
              </w:rPr>
            </w:pPr>
            <w:r>
              <w:rPr>
                <w:lang w:val="en-US"/>
              </w:rPr>
              <w:t>Original: English and French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2516B3" w:rsidRPr="007A0339" w:rsidRDefault="002516B3" w:rsidP="002516B3">
      <w:pPr>
        <w:spacing w:before="120"/>
        <w:rPr>
          <w:sz w:val="28"/>
          <w:szCs w:val="28"/>
        </w:rPr>
      </w:pPr>
      <w:r w:rsidRPr="007A0339">
        <w:rPr>
          <w:sz w:val="28"/>
          <w:szCs w:val="28"/>
        </w:rPr>
        <w:t>Комитет по внутреннему транспорту</w:t>
      </w:r>
    </w:p>
    <w:p w:rsidR="002516B3" w:rsidRPr="007A0339" w:rsidRDefault="002516B3" w:rsidP="002516B3">
      <w:pPr>
        <w:spacing w:before="120" w:after="120"/>
        <w:rPr>
          <w:b/>
          <w:sz w:val="24"/>
          <w:szCs w:val="24"/>
        </w:rPr>
      </w:pPr>
      <w:r w:rsidRPr="007A0339">
        <w:rPr>
          <w:b/>
          <w:sz w:val="24"/>
          <w:szCs w:val="24"/>
        </w:rPr>
        <w:t>Рабочая группа по перевозкам опасных грузов</w:t>
      </w:r>
    </w:p>
    <w:p w:rsidR="002516B3" w:rsidRPr="00B75AEE" w:rsidRDefault="002516B3" w:rsidP="002516B3">
      <w:pPr>
        <w:rPr>
          <w:b/>
        </w:rPr>
      </w:pPr>
      <w:r w:rsidRPr="007A0339">
        <w:rPr>
          <w:b/>
        </w:rPr>
        <w:t xml:space="preserve">Совместное совещание Комиссии экспертов МПОГ </w:t>
      </w:r>
      <w:r w:rsidRPr="00B75AEE">
        <w:rPr>
          <w:b/>
        </w:rPr>
        <w:br/>
      </w:r>
      <w:r w:rsidRPr="007A0339">
        <w:rPr>
          <w:b/>
        </w:rPr>
        <w:t>и</w:t>
      </w:r>
      <w:r w:rsidRPr="00B75AEE">
        <w:rPr>
          <w:b/>
        </w:rPr>
        <w:t xml:space="preserve"> </w:t>
      </w:r>
      <w:r w:rsidRPr="007A0339">
        <w:rPr>
          <w:b/>
        </w:rPr>
        <w:t>Рабоч</w:t>
      </w:r>
      <w:r>
        <w:rPr>
          <w:b/>
        </w:rPr>
        <w:t>ей</w:t>
      </w:r>
      <w:r w:rsidRPr="007A0339">
        <w:rPr>
          <w:b/>
        </w:rPr>
        <w:t xml:space="preserve"> групп</w:t>
      </w:r>
      <w:r>
        <w:rPr>
          <w:b/>
        </w:rPr>
        <w:t>ы</w:t>
      </w:r>
      <w:r w:rsidRPr="007A0339">
        <w:rPr>
          <w:b/>
        </w:rPr>
        <w:t xml:space="preserve"> по перевозкам опасных грузов</w:t>
      </w:r>
    </w:p>
    <w:p w:rsidR="002516B3" w:rsidRPr="00A425E0" w:rsidRDefault="002516B3" w:rsidP="002516B3">
      <w:pPr>
        <w:pStyle w:val="HChGR"/>
      </w:pPr>
      <w:r w:rsidRPr="00FC387A">
        <w:tab/>
      </w:r>
      <w:r w:rsidRPr="00FC387A">
        <w:tab/>
      </w:r>
      <w:r w:rsidRPr="00A425E0">
        <w:t>Доклад Совместного совещания Комиссии экспертов МПОГ и Рабочей группы по перевозкам опасных грузов о работе его осенней сессии 2017 года</w:t>
      </w:r>
      <w:r w:rsidRPr="00B75AEE">
        <w:rPr>
          <w:rStyle w:val="FootnoteReference"/>
          <w:b w:val="0"/>
          <w:sz w:val="20"/>
          <w:vertAlign w:val="baseline"/>
        </w:rPr>
        <w:footnoteReference w:customMarkFollows="1" w:id="1"/>
        <w:t>*</w:t>
      </w:r>
      <w:r w:rsidRPr="00391DCE">
        <w:rPr>
          <w:rStyle w:val="FootnoteReference"/>
          <w:sz w:val="28"/>
          <w:vertAlign w:val="baseline"/>
        </w:rPr>
        <w:t>,</w:t>
      </w:r>
    </w:p>
    <w:p w:rsidR="002516B3" w:rsidRPr="00A425E0" w:rsidRDefault="002516B3" w:rsidP="002516B3">
      <w:pPr>
        <w:pStyle w:val="SingleTxtGR"/>
      </w:pPr>
      <w:r w:rsidRPr="00A425E0">
        <w:t>состоявшейся в Женеве 19–29 сентября 2017 года</w:t>
      </w:r>
    </w:p>
    <w:p w:rsidR="002516B3" w:rsidRPr="00DD5F7F" w:rsidRDefault="002516B3" w:rsidP="002516B3">
      <w:pPr>
        <w:pStyle w:val="H23GR"/>
      </w:pPr>
      <w:r w:rsidRPr="00A425E0">
        <w:tab/>
      </w:r>
      <w:r w:rsidRPr="00A425E0">
        <w:tab/>
        <w:t>Добавление</w:t>
      </w:r>
      <w:r w:rsidRPr="00B75AEE">
        <w:rPr>
          <w:rStyle w:val="FootnoteReference"/>
          <w:b w:val="0"/>
          <w:sz w:val="20"/>
          <w:vertAlign w:val="baseline"/>
        </w:rPr>
        <w:footnoteReference w:customMarkFollows="1" w:id="2"/>
        <w:t>**</w:t>
      </w:r>
    </w:p>
    <w:p w:rsidR="002516B3" w:rsidRPr="00A425E0" w:rsidRDefault="002516B3" w:rsidP="002516B3">
      <w:pPr>
        <w:pStyle w:val="SingleTxtGR"/>
        <w:rPr>
          <w:b/>
        </w:rPr>
      </w:pPr>
    </w:p>
    <w:p w:rsidR="002516B3" w:rsidRPr="00A425E0" w:rsidRDefault="002516B3" w:rsidP="002516B3">
      <w:pPr>
        <w:pStyle w:val="SingleTxtGR"/>
      </w:pPr>
    </w:p>
    <w:p w:rsidR="002516B3" w:rsidRPr="00A425E0" w:rsidRDefault="002516B3" w:rsidP="002516B3">
      <w:pPr>
        <w:pStyle w:val="HChGR"/>
      </w:pPr>
      <w:r w:rsidRPr="00A425E0">
        <w:br w:type="page"/>
      </w:r>
      <w:r w:rsidRPr="00A425E0">
        <w:lastRenderedPageBreak/>
        <w:t>Приложение I</w:t>
      </w:r>
    </w:p>
    <w:p w:rsidR="002516B3" w:rsidRPr="00A425E0" w:rsidRDefault="002516B3" w:rsidP="002516B3">
      <w:pPr>
        <w:pStyle w:val="HChGR"/>
      </w:pPr>
      <w:r w:rsidRPr="00A425E0">
        <w:tab/>
      </w:r>
      <w:r w:rsidRPr="00A425E0">
        <w:tab/>
        <w:t xml:space="preserve">Проект поправок к МПОГ, ДОПОГ и ВОПОГ </w:t>
      </w:r>
      <w:r w:rsidRPr="00B75AEE">
        <w:br/>
      </w:r>
      <w:r w:rsidRPr="00A425E0">
        <w:t>для вступления в силу 1 января 2019 года</w:t>
      </w:r>
    </w:p>
    <w:p w:rsidR="002516B3" w:rsidRPr="00A425E0" w:rsidRDefault="002516B3" w:rsidP="002516B3">
      <w:pPr>
        <w:pStyle w:val="H1GR"/>
      </w:pPr>
      <w:r w:rsidRPr="00A425E0">
        <w:tab/>
      </w:r>
      <w:r w:rsidRPr="00A425E0">
        <w:tab/>
        <w:t>Глава 1.1</w:t>
      </w:r>
    </w:p>
    <w:p w:rsidR="002516B3" w:rsidRPr="00A425E0" w:rsidRDefault="002516B3" w:rsidP="002516B3">
      <w:pPr>
        <w:pStyle w:val="SingleTxtGR"/>
      </w:pPr>
      <w:r w:rsidRPr="00A425E0">
        <w:t>1.1.3.6.3</w:t>
      </w:r>
      <w:r w:rsidRPr="00A425E0">
        <w:tab/>
        <w:t>В текст после таблицы, в первом подпункте заменить «массу брутто в килограммах» на «общую массу в килограммах изделий без их тары».</w:t>
      </w:r>
    </w:p>
    <w:p w:rsidR="002516B3" w:rsidRPr="00A425E0" w:rsidRDefault="002516B3" w:rsidP="002516B3">
      <w:pPr>
        <w:pStyle w:val="SingleTxtGR"/>
        <w:rPr>
          <w:i/>
          <w:iCs/>
        </w:rPr>
      </w:pPr>
      <w:r w:rsidRPr="00A425E0">
        <w:rPr>
          <w:i/>
          <w:iCs/>
        </w:rPr>
        <w:t>(Справочный документ: ECE/TRANS/WP.15/AC.1/2017/37, вариант 2 с поправками)</w:t>
      </w:r>
    </w:p>
    <w:p w:rsidR="002516B3" w:rsidRPr="00A425E0" w:rsidRDefault="002516B3" w:rsidP="002516B3">
      <w:pPr>
        <w:pStyle w:val="SingleTxtGR"/>
        <w:rPr>
          <w:i/>
        </w:rPr>
      </w:pPr>
      <w:r w:rsidRPr="00A425E0">
        <w:t>1.1.4.3</w:t>
      </w:r>
      <w:r w:rsidRPr="00A425E0">
        <w:tab/>
        <w:t>В сноске заменить «DSC.1/Circ.12 (с исправлениями)» на «CCC.1/Circ.3».</w:t>
      </w:r>
    </w:p>
    <w:p w:rsidR="002516B3" w:rsidRPr="00A425E0" w:rsidRDefault="002516B3" w:rsidP="002516B3">
      <w:pPr>
        <w:pStyle w:val="SingleTxtGR"/>
        <w:rPr>
          <w:i/>
        </w:rPr>
      </w:pPr>
      <w:r w:rsidRPr="00A425E0">
        <w:rPr>
          <w:i/>
          <w:iCs/>
        </w:rPr>
        <w:t>(Справочный документ: неофициальный документ INF.14)</w:t>
      </w:r>
    </w:p>
    <w:p w:rsidR="002516B3" w:rsidRPr="00B75AEE" w:rsidRDefault="002516B3" w:rsidP="002516B3">
      <w:pPr>
        <w:pStyle w:val="H1GR"/>
      </w:pPr>
      <w:r w:rsidRPr="00B75AEE">
        <w:tab/>
      </w:r>
      <w:r w:rsidRPr="00B75AEE">
        <w:tab/>
        <w:t>Глава 1.2</w:t>
      </w:r>
    </w:p>
    <w:p w:rsidR="002516B3" w:rsidRPr="00A425E0" w:rsidRDefault="002516B3" w:rsidP="002516B3">
      <w:pPr>
        <w:pStyle w:val="SingleTxtGR"/>
      </w:pPr>
      <w:r w:rsidRPr="00A425E0">
        <w:t>1.2.1</w:t>
      </w:r>
      <w:r w:rsidRPr="00A425E0">
        <w:tab/>
        <w:t>В определении «Типовые правила ООН» заменить «девятнадцатое» на «двадцатое» и заменить «(ST/SG/AC.10/1/Rev.19)» на «(ST/SG/AC.10/1/ Rev.20)».</w:t>
      </w:r>
    </w:p>
    <w:p w:rsidR="002516B3" w:rsidRPr="00A425E0" w:rsidRDefault="002516B3" w:rsidP="002516B3">
      <w:pPr>
        <w:pStyle w:val="SingleTxtGR"/>
      </w:pPr>
      <w:r w:rsidRPr="00A425E0">
        <w:t>1.2.1</w:t>
      </w:r>
      <w:r w:rsidRPr="00A425E0">
        <w:tab/>
        <w:t>Включить следующее новое определение:</w:t>
      </w:r>
    </w:p>
    <w:p w:rsidR="002516B3" w:rsidRPr="00A425E0" w:rsidRDefault="002516B3" w:rsidP="002516B3">
      <w:pPr>
        <w:pStyle w:val="SingleTxtGR"/>
      </w:pPr>
      <w:r>
        <w:t>«"</w:t>
      </w:r>
      <w:r w:rsidRPr="00A425E0">
        <w:rPr>
          <w:i/>
          <w:iCs/>
        </w:rPr>
        <w:t>Баллон с формованным кожухом</w:t>
      </w:r>
      <w:r>
        <w:rPr>
          <w:iCs/>
        </w:rPr>
        <w:t>" о</w:t>
      </w:r>
      <w:r w:rsidRPr="00A425E0">
        <w:t>значает баллон, предназначенный для перевозки СНГ, вместимостью по воде не более 13 л, состоящий из сварного стального внутреннего баллона с покрытием и формованным защитным кожухом из пористой пластмассы, который невозможно снять и который связан с внешней поверхностью стенки стального баллона».</w:t>
      </w:r>
    </w:p>
    <w:p w:rsidR="002516B3" w:rsidRPr="00A425E0" w:rsidRDefault="002516B3" w:rsidP="002516B3">
      <w:pPr>
        <w:pStyle w:val="SingleTxtGR"/>
        <w:rPr>
          <w:i/>
          <w:iCs/>
        </w:rPr>
      </w:pPr>
      <w:r w:rsidRPr="00A425E0">
        <w:rPr>
          <w:i/>
          <w:iCs/>
        </w:rPr>
        <w:t>(Справочный документ: ECE/TRANS/WP.15/AC.1/2017/33 с поправками, содержащимися в неофициальных документах INF.55 и INF.56)</w:t>
      </w:r>
    </w:p>
    <w:p w:rsidR="002516B3" w:rsidRPr="00B75AEE" w:rsidRDefault="002516B3" w:rsidP="002516B3">
      <w:pPr>
        <w:pStyle w:val="H1GR"/>
      </w:pPr>
      <w:r w:rsidRPr="00B75AEE">
        <w:tab/>
      </w:r>
      <w:r w:rsidRPr="00B75AEE">
        <w:tab/>
        <w:t>Глава 1.6</w:t>
      </w:r>
    </w:p>
    <w:p w:rsidR="002516B3" w:rsidRPr="00A425E0" w:rsidRDefault="002516B3" w:rsidP="002516B3">
      <w:pPr>
        <w:pStyle w:val="SingleTxtGR"/>
      </w:pPr>
      <w:r w:rsidRPr="00A425E0">
        <w:t>1.6.1.1</w:t>
      </w:r>
      <w:r w:rsidRPr="00A425E0">
        <w:tab/>
        <w:t>Заменить «30 июня 2017 года» на «30 июня 2019 года». Заменить «31 декабря 2016 года» на «31 декабря 2018 года».</w:t>
      </w:r>
    </w:p>
    <w:p w:rsidR="002516B3" w:rsidRPr="00A425E0" w:rsidRDefault="002516B3" w:rsidP="002516B3">
      <w:pPr>
        <w:pStyle w:val="SingleTxtGR"/>
      </w:pPr>
      <w:r w:rsidRPr="00A425E0">
        <w:t>(МПОГ:) В примечании 15 заменить «2015» на «2017».</w:t>
      </w:r>
    </w:p>
    <w:p w:rsidR="002516B3" w:rsidRPr="00A425E0" w:rsidRDefault="002516B3" w:rsidP="002516B3">
      <w:pPr>
        <w:pStyle w:val="SingleTxtGR"/>
        <w:rPr>
          <w:i/>
          <w:iCs/>
        </w:rPr>
      </w:pPr>
      <w:r w:rsidRPr="00A425E0">
        <w:rPr>
          <w:i/>
          <w:iCs/>
        </w:rPr>
        <w:t>(Справочный документ: неофициальный документ INF.30)</w:t>
      </w:r>
    </w:p>
    <w:p w:rsidR="002516B3" w:rsidRPr="00A425E0" w:rsidRDefault="002516B3" w:rsidP="002516B3">
      <w:pPr>
        <w:pStyle w:val="SingleTxtGR"/>
      </w:pPr>
      <w:r w:rsidRPr="00A425E0">
        <w:t>1.6.1.25, (МПОГ:) 1.6.1.37, 1.6.1.39, 1.6.1.40 и 1.6.1.42</w:t>
      </w:r>
      <w:r w:rsidRPr="00A425E0">
        <w:tab/>
        <w:t>Исключить и вставить «</w:t>
      </w:r>
      <w:r w:rsidRPr="00A425E0">
        <w:rPr>
          <w:i/>
          <w:iCs/>
        </w:rPr>
        <w:t>(Исключен)</w:t>
      </w:r>
      <w:r w:rsidRPr="00A425E0">
        <w:t xml:space="preserve">». </w:t>
      </w:r>
    </w:p>
    <w:p w:rsidR="002516B3" w:rsidRPr="00A425E0" w:rsidRDefault="002516B3" w:rsidP="002516B3">
      <w:pPr>
        <w:pStyle w:val="SingleTxtGR"/>
        <w:rPr>
          <w:i/>
          <w:iCs/>
        </w:rPr>
      </w:pPr>
      <w:r w:rsidRPr="00A425E0">
        <w:rPr>
          <w:i/>
          <w:iCs/>
        </w:rPr>
        <w:t>(Справочный документ: неофициальный документ INF.30)</w:t>
      </w:r>
    </w:p>
    <w:p w:rsidR="002516B3" w:rsidRPr="00A425E0" w:rsidRDefault="002516B3" w:rsidP="002516B3">
      <w:pPr>
        <w:pStyle w:val="SingleTxtGR"/>
        <w:tabs>
          <w:tab w:val="clear" w:pos="2268"/>
          <w:tab w:val="left" w:pos="2127"/>
        </w:tabs>
      </w:pPr>
      <w:r w:rsidRPr="00A425E0">
        <w:t>(МПОГ:)</w:t>
      </w:r>
      <w:r w:rsidRPr="00DD5F7F">
        <w:t xml:space="preserve"> </w:t>
      </w:r>
      <w:r w:rsidRPr="00A425E0">
        <w:t>1.6.3.15, (ДОПОГ:)</w:t>
      </w:r>
      <w:r w:rsidRPr="00DD5F7F">
        <w:t xml:space="preserve"> </w:t>
      </w:r>
      <w:r w:rsidRPr="00A425E0">
        <w:t xml:space="preserve">1.6.3.17, 1.6.3.42, 1.6.4.15, 1.6.4.38, 1.6.4.44, 1.6.4.45 </w:t>
      </w:r>
      <w:r w:rsidRPr="00DD5F7F">
        <w:tab/>
      </w:r>
      <w:r w:rsidRPr="00A425E0">
        <w:t>Исключить и добавить «</w:t>
      </w:r>
      <w:r w:rsidRPr="00A425E0">
        <w:rPr>
          <w:i/>
          <w:iCs/>
        </w:rPr>
        <w:t>(Исключен)</w:t>
      </w:r>
      <w:r w:rsidRPr="00A425E0">
        <w:t xml:space="preserve">». </w:t>
      </w:r>
    </w:p>
    <w:p w:rsidR="002516B3" w:rsidRPr="00A425E0" w:rsidRDefault="002516B3" w:rsidP="002516B3">
      <w:pPr>
        <w:pStyle w:val="SingleTxtGR"/>
        <w:rPr>
          <w:i/>
          <w:iCs/>
        </w:rPr>
      </w:pPr>
      <w:r w:rsidRPr="00A425E0">
        <w:rPr>
          <w:i/>
          <w:iCs/>
        </w:rPr>
        <w:t>(Справочный документ: неофициальный документ INF.30)</w:t>
      </w:r>
    </w:p>
    <w:p w:rsidR="002516B3" w:rsidRPr="00A425E0" w:rsidRDefault="002516B3" w:rsidP="002516B3">
      <w:pPr>
        <w:pStyle w:val="SingleTxtGR"/>
        <w:tabs>
          <w:tab w:val="clear" w:pos="3402"/>
          <w:tab w:val="left" w:pos="3119"/>
        </w:tabs>
      </w:pPr>
      <w:r w:rsidRPr="00A425E0">
        <w:t>(ДОПОГ:) 1.6.</w:t>
      </w:r>
      <w:r>
        <w:t>3.44</w:t>
      </w:r>
      <w:r>
        <w:tab/>
      </w:r>
      <w:r>
        <w:tab/>
      </w:r>
      <w:r w:rsidRPr="00A425E0">
        <w:t>Исключить «, могут по-прежнему эксплуатироваться до их первой промежуточной или периодической</w:t>
      </w:r>
      <w:r>
        <w:t xml:space="preserve"> проверки после 31 декабря 2015 </w:t>
      </w:r>
      <w:r w:rsidRPr="00A425E0">
        <w:t>года. После этой даты они».</w:t>
      </w:r>
    </w:p>
    <w:p w:rsidR="002516B3" w:rsidRPr="00A425E0" w:rsidRDefault="002516B3" w:rsidP="002516B3">
      <w:pPr>
        <w:pStyle w:val="SingleTxtGR"/>
        <w:rPr>
          <w:i/>
          <w:iCs/>
        </w:rPr>
      </w:pPr>
      <w:r w:rsidRPr="00A425E0">
        <w:rPr>
          <w:i/>
          <w:iCs/>
        </w:rPr>
        <w:t>(Справочный документ: неофициальный документ INF.30)</w:t>
      </w:r>
    </w:p>
    <w:p w:rsidR="002516B3" w:rsidRPr="00B75AEE" w:rsidRDefault="002516B3" w:rsidP="002516B3">
      <w:pPr>
        <w:pStyle w:val="H1GR"/>
      </w:pPr>
      <w:r w:rsidRPr="00B75AEE">
        <w:lastRenderedPageBreak/>
        <w:tab/>
      </w:r>
      <w:r w:rsidRPr="00B75AEE">
        <w:tab/>
        <w:t>Глава 1.10</w:t>
      </w:r>
    </w:p>
    <w:p w:rsidR="002516B3" w:rsidRPr="00A425E0" w:rsidRDefault="002516B3" w:rsidP="002516B3">
      <w:pPr>
        <w:pStyle w:val="SingleTxtGR"/>
      </w:pPr>
      <w:r w:rsidRPr="00A425E0">
        <w:t xml:space="preserve">Таблица подраздела </w:t>
      </w:r>
      <w:r w:rsidRPr="00DD5F7F">
        <w:t>1.10.3.1.2</w:t>
      </w:r>
      <w:r w:rsidRPr="00A425E0">
        <w:tab/>
        <w:t>Изменить текст первой строки для класса 2 в колонке «Вещество или изделие» следующим образом: «Воспламеняющиеся, нетоксичные газы (классификационные коды, включающие только буквы F или FC)».</w:t>
      </w:r>
    </w:p>
    <w:p w:rsidR="002516B3" w:rsidRPr="00A425E0" w:rsidRDefault="002516B3" w:rsidP="002516B3">
      <w:pPr>
        <w:pStyle w:val="SingleTxtGR"/>
        <w:rPr>
          <w:i/>
          <w:iCs/>
        </w:rPr>
      </w:pPr>
      <w:r w:rsidRPr="00A425E0">
        <w:rPr>
          <w:i/>
          <w:iCs/>
        </w:rPr>
        <w:t>(Справочный документ: ECE/TRANS/WP.15/AC.1/2017/29 с поправками)</w:t>
      </w:r>
    </w:p>
    <w:p w:rsidR="002516B3" w:rsidRPr="00B75AEE" w:rsidRDefault="002516B3" w:rsidP="002516B3">
      <w:pPr>
        <w:pStyle w:val="H1GR"/>
      </w:pPr>
      <w:r w:rsidRPr="00B75AEE">
        <w:tab/>
      </w:r>
      <w:r w:rsidRPr="00B75AEE">
        <w:tab/>
        <w:t>Глава 2.1</w:t>
      </w:r>
    </w:p>
    <w:p w:rsidR="002516B3" w:rsidRPr="00A425E0" w:rsidRDefault="002516B3" w:rsidP="002516B3">
      <w:pPr>
        <w:pStyle w:val="SingleTxtGR"/>
      </w:pPr>
      <w:r w:rsidRPr="00A425E0">
        <w:t>[2.1.3.5.5</w:t>
      </w:r>
      <w:r w:rsidRPr="00A425E0">
        <w:tab/>
        <w:t>Изменить сноску 2 следующим образом:</w:t>
      </w:r>
    </w:p>
    <w:p w:rsidR="002516B3" w:rsidRPr="00A425E0" w:rsidRDefault="002516B3" w:rsidP="002516B3">
      <w:pPr>
        <w:pStyle w:val="SingleTxtGR"/>
        <w:rPr>
          <w:i/>
        </w:rPr>
      </w:pPr>
      <w:r w:rsidRPr="00A425E0">
        <w:t>«</w:t>
      </w:r>
      <w:r w:rsidRPr="00DD5F7F">
        <w:rPr>
          <w:vertAlign w:val="superscript"/>
        </w:rPr>
        <w:t>2</w:t>
      </w:r>
      <w:r w:rsidRPr="00A425E0">
        <w:rPr>
          <w:i/>
        </w:rPr>
        <w:t xml:space="preserve"> Таким законодательством являютс</w:t>
      </w:r>
      <w:r>
        <w:rPr>
          <w:i/>
        </w:rPr>
        <w:t>я, например, решение Комиссии</w:t>
      </w:r>
      <w:r>
        <w:rPr>
          <w:i/>
          <w:lang w:val="en-US"/>
        </w:rPr>
        <w:t> </w:t>
      </w:r>
      <w:r>
        <w:rPr>
          <w:i/>
        </w:rPr>
        <w:t>№ </w:t>
      </w:r>
      <w:r w:rsidRPr="00A425E0">
        <w:rPr>
          <w:i/>
        </w:rPr>
        <w:t>2014/955/EU от 18 декабря 2014 года</w:t>
      </w:r>
      <w:r>
        <w:rPr>
          <w:i/>
        </w:rPr>
        <w:t xml:space="preserve"> о внесении изменений в решение</w:t>
      </w:r>
      <w:r>
        <w:rPr>
          <w:i/>
          <w:lang w:val="en-US"/>
        </w:rPr>
        <w:t> </w:t>
      </w:r>
      <w:r w:rsidRPr="00A425E0">
        <w:rPr>
          <w:i/>
        </w:rPr>
        <w:t>2000/532/EC, касающееся перечня отхо</w:t>
      </w:r>
      <w:r>
        <w:rPr>
          <w:i/>
        </w:rPr>
        <w:t>дов в соответствии с Директивой</w:t>
      </w:r>
      <w:r>
        <w:rPr>
          <w:i/>
          <w:lang w:val="en-US"/>
        </w:rPr>
        <w:t> </w:t>
      </w:r>
      <w:r w:rsidRPr="00A425E0">
        <w:rPr>
          <w:i/>
        </w:rPr>
        <w:t xml:space="preserve">2008/98/EC Европейского парламента и Совета (Official Journal of the European Union No L 370 of 30 December 2014, pages 44 </w:t>
      </w:r>
      <w:r>
        <w:rPr>
          <w:i/>
          <w:lang w:val="en-US"/>
        </w:rPr>
        <w:t>to</w:t>
      </w:r>
      <w:r w:rsidRPr="00A31403">
        <w:rPr>
          <w:i/>
        </w:rPr>
        <w:t xml:space="preserve"> </w:t>
      </w:r>
      <w:r w:rsidRPr="00A425E0">
        <w:rPr>
          <w:i/>
        </w:rPr>
        <w:t>86), и Регламент Комиссии (ЕС) № 1357/2014 от 18 декабря 2014 года, заменяющий приложение III к Директиве 2008/98/EC Европейского парламента и Совета по отходам и отменяющий некоторые директивы (Official Journal of th</w:t>
      </w:r>
      <w:r>
        <w:rPr>
          <w:i/>
        </w:rPr>
        <w:t>e European Union No</w:t>
      </w:r>
      <w:r>
        <w:rPr>
          <w:i/>
          <w:lang w:val="en-US"/>
        </w:rPr>
        <w:t> </w:t>
      </w:r>
      <w:r>
        <w:rPr>
          <w:i/>
        </w:rPr>
        <w:t>L</w:t>
      </w:r>
      <w:r>
        <w:rPr>
          <w:i/>
          <w:lang w:val="en-US"/>
        </w:rPr>
        <w:t> </w:t>
      </w:r>
      <w:r>
        <w:rPr>
          <w:i/>
        </w:rPr>
        <w:t>365 of 19 </w:t>
      </w:r>
      <w:r w:rsidRPr="00A425E0">
        <w:rPr>
          <w:i/>
        </w:rPr>
        <w:t xml:space="preserve">December 2014, pages 89 </w:t>
      </w:r>
      <w:r>
        <w:rPr>
          <w:i/>
          <w:lang w:val="en-US"/>
        </w:rPr>
        <w:t>to</w:t>
      </w:r>
      <w:r w:rsidRPr="00A31403">
        <w:rPr>
          <w:i/>
        </w:rPr>
        <w:t xml:space="preserve"> </w:t>
      </w:r>
      <w:r w:rsidRPr="00A425E0">
        <w:rPr>
          <w:i/>
        </w:rPr>
        <w:t>96)</w:t>
      </w:r>
      <w:r w:rsidRPr="00A425E0">
        <w:t xml:space="preserve">.».] </w:t>
      </w:r>
    </w:p>
    <w:p w:rsidR="002516B3" w:rsidRPr="00A425E0" w:rsidRDefault="002516B3" w:rsidP="002516B3">
      <w:pPr>
        <w:pStyle w:val="SingleTxtGR"/>
        <w:rPr>
          <w:i/>
        </w:rPr>
      </w:pPr>
      <w:r w:rsidRPr="00A425E0">
        <w:rPr>
          <w:i/>
          <w:iCs/>
        </w:rPr>
        <w:t>(Справочный документ: неофициальный документ INF.21)</w:t>
      </w:r>
    </w:p>
    <w:p w:rsidR="002516B3" w:rsidRPr="00B75AEE" w:rsidRDefault="002516B3" w:rsidP="002516B3">
      <w:pPr>
        <w:pStyle w:val="H1GR"/>
      </w:pPr>
      <w:r w:rsidRPr="00B75AEE">
        <w:tab/>
      </w:r>
      <w:r w:rsidRPr="00B75AEE">
        <w:tab/>
        <w:t>Глава 2.2</w:t>
      </w:r>
    </w:p>
    <w:p w:rsidR="002516B3" w:rsidRPr="00A425E0" w:rsidRDefault="002516B3" w:rsidP="002516B3">
      <w:pPr>
        <w:pStyle w:val="SingleTxtGR"/>
      </w:pPr>
      <w:r w:rsidRPr="00A425E0">
        <w:t>2.2.9.1.3</w:t>
      </w:r>
      <w:r w:rsidRPr="00A425E0">
        <w:tab/>
        <w:t>Заменить «2.2.9.1.4–2.2.9.1.14» на «2.2.9.1.4–2.2.9.1.8, 2.2.9.1.10, 2.2.9.1.11, 2.2.9.1.13 и 2.2.9.1.14».</w:t>
      </w:r>
    </w:p>
    <w:p w:rsidR="002516B3" w:rsidRPr="00A425E0" w:rsidRDefault="002516B3" w:rsidP="002516B3">
      <w:pPr>
        <w:pStyle w:val="SingleTxtGR"/>
        <w:rPr>
          <w:i/>
          <w:iCs/>
        </w:rPr>
      </w:pPr>
      <w:r w:rsidRPr="00A425E0">
        <w:rPr>
          <w:i/>
          <w:iCs/>
        </w:rPr>
        <w:t>(Справочный документ: ECE/TRANS/WP.15/AC.1/2017/43)</w:t>
      </w:r>
    </w:p>
    <w:p w:rsidR="002516B3" w:rsidRPr="00B75AEE" w:rsidRDefault="002516B3" w:rsidP="002516B3">
      <w:pPr>
        <w:pStyle w:val="H1GR"/>
      </w:pPr>
      <w:r w:rsidRPr="00B75AEE">
        <w:tab/>
      </w:r>
      <w:r w:rsidRPr="00B75AEE">
        <w:tab/>
        <w:t>Глава 3.2</w:t>
      </w:r>
    </w:p>
    <w:p w:rsidR="002516B3" w:rsidRPr="00A425E0" w:rsidRDefault="002516B3" w:rsidP="002516B3">
      <w:pPr>
        <w:pStyle w:val="SingleTxtGR"/>
      </w:pPr>
      <w:r w:rsidRPr="00A425E0">
        <w:t>3.2.1</w:t>
      </w:r>
      <w:r w:rsidRPr="00A425E0">
        <w:tab/>
        <w:t>В пояснительных примечаниях по колонке 3b исключить «, 8» в предпоследнем подпункте. Сразу же после него добавить новый подпункт следующего содержания:</w:t>
      </w:r>
    </w:p>
    <w:p w:rsidR="002516B3" w:rsidRPr="00A425E0" w:rsidRDefault="002516B3" w:rsidP="002516B3">
      <w:pPr>
        <w:pStyle w:val="SingleTxtGR"/>
      </w:pPr>
      <w:r w:rsidRPr="00A425E0">
        <w:t>«</w:t>
      </w:r>
      <w:r>
        <w:t>–</w:t>
      </w:r>
      <w:r w:rsidRPr="00A425E0">
        <w:tab/>
        <w:t>для опасных веществ или изделий класса 8 пояснения в отношении кодов содержатся в пункте 2.2.8.1.4.1;».</w:t>
      </w:r>
    </w:p>
    <w:p w:rsidR="002516B3" w:rsidRPr="00A425E0" w:rsidRDefault="002516B3" w:rsidP="002516B3">
      <w:pPr>
        <w:pStyle w:val="SingleTxtGR"/>
        <w:rPr>
          <w:i/>
        </w:rPr>
      </w:pPr>
      <w:r w:rsidRPr="00A425E0">
        <w:rPr>
          <w:i/>
          <w:iCs/>
        </w:rPr>
        <w:t>(Сопутствующая поправка)</w:t>
      </w:r>
    </w:p>
    <w:p w:rsidR="002516B3" w:rsidRPr="00A425E0" w:rsidRDefault="002516B3" w:rsidP="002516B3">
      <w:pPr>
        <w:pStyle w:val="H23GR"/>
      </w:pPr>
      <w:r w:rsidRPr="00A425E0">
        <w:tab/>
      </w:r>
      <w:r w:rsidRPr="00A425E0">
        <w:tab/>
        <w:t>3.2.1, таблица A</w:t>
      </w:r>
    </w:p>
    <w:p w:rsidR="002516B3" w:rsidRPr="00A425E0" w:rsidRDefault="002516B3" w:rsidP="002516B3">
      <w:pPr>
        <w:pStyle w:val="SingleTxtGR"/>
      </w:pPr>
      <w:r w:rsidRPr="00A425E0">
        <w:t>Для № ООН 1002, 1006, 1013, 1046, 1056, 1058, 1065, 1066, 1070, 1072, 1080, 1952, 1956, 2036, 2073, 2451, 3070, 3156, 3157, 3163, 3297, 3298 и 3299: включить «660» в колонку 6.</w:t>
      </w:r>
    </w:p>
    <w:p w:rsidR="002516B3" w:rsidRPr="00A425E0" w:rsidRDefault="002516B3" w:rsidP="002516B3">
      <w:pPr>
        <w:pStyle w:val="SingleTxtGR"/>
        <w:rPr>
          <w:i/>
          <w:iCs/>
        </w:rPr>
      </w:pPr>
      <w:r w:rsidRPr="00A425E0">
        <w:rPr>
          <w:i/>
          <w:iCs/>
        </w:rPr>
        <w:t>(Справочный документ: неофициальный документ INF.54)</w:t>
      </w:r>
    </w:p>
    <w:p w:rsidR="002516B3" w:rsidRPr="00A425E0" w:rsidRDefault="002516B3" w:rsidP="002516B3">
      <w:pPr>
        <w:pStyle w:val="SingleTxtGR"/>
        <w:rPr>
          <w:i/>
          <w:iCs/>
        </w:rPr>
      </w:pPr>
      <w:r w:rsidRPr="00A425E0">
        <w:t>Для № ООН 1011, 1075, 1965, 1969 и 1978: включить «674» в колонку 6.</w:t>
      </w:r>
    </w:p>
    <w:p w:rsidR="002516B3" w:rsidRPr="00A425E0" w:rsidRDefault="002516B3" w:rsidP="002516B3">
      <w:pPr>
        <w:pStyle w:val="SingleTxtGR"/>
        <w:rPr>
          <w:i/>
          <w:iCs/>
        </w:rPr>
      </w:pPr>
      <w:r w:rsidRPr="00A425E0">
        <w:rPr>
          <w:i/>
          <w:iCs/>
        </w:rPr>
        <w:t>(Справочный документ: ECE/TRANS/WP.15/AC.1/2017/33 с поправками, содержащимися в неофициальных документах INF.55 и INF.56)</w:t>
      </w:r>
    </w:p>
    <w:p w:rsidR="002516B3" w:rsidRPr="00A425E0" w:rsidRDefault="002516B3" w:rsidP="002516B3">
      <w:pPr>
        <w:pStyle w:val="SingleTxtGR"/>
      </w:pPr>
      <w:r w:rsidRPr="00A425E0">
        <w:t>Для № ООН 1744: добавить «TU43» в колонку 13.</w:t>
      </w:r>
    </w:p>
    <w:p w:rsidR="002516B3" w:rsidRPr="00A425E0" w:rsidRDefault="002516B3" w:rsidP="002516B3">
      <w:pPr>
        <w:pStyle w:val="SingleTxtGR"/>
      </w:pPr>
      <w:r w:rsidRPr="00A425E0">
        <w:rPr>
          <w:i/>
          <w:iCs/>
        </w:rPr>
        <w:t>(Справочный документ: неофициальный документ INF.46, предложение 2)</w:t>
      </w:r>
    </w:p>
    <w:p w:rsidR="002516B3" w:rsidRPr="00A425E0" w:rsidRDefault="002516B3" w:rsidP="002516B3">
      <w:pPr>
        <w:pStyle w:val="SingleTxtGR"/>
      </w:pPr>
      <w:r w:rsidRPr="00A425E0">
        <w:t>Для № ООН 3266, группы упаковки II и III: добавить «TU42» в колонку 13.</w:t>
      </w:r>
    </w:p>
    <w:p w:rsidR="002516B3" w:rsidRPr="00A425E0" w:rsidRDefault="002516B3" w:rsidP="002516B3">
      <w:pPr>
        <w:pStyle w:val="SingleTxtGR"/>
        <w:rPr>
          <w:i/>
          <w:iCs/>
        </w:rPr>
      </w:pPr>
      <w:r w:rsidRPr="00A425E0">
        <w:rPr>
          <w:i/>
          <w:iCs/>
        </w:rPr>
        <w:t>(Справочный документ: неофициальный документ INF.46, предложение 4)</w:t>
      </w:r>
    </w:p>
    <w:p w:rsidR="002516B3" w:rsidRPr="00A425E0" w:rsidRDefault="002516B3" w:rsidP="002516B3">
      <w:pPr>
        <w:pStyle w:val="SingleTxtGR"/>
      </w:pPr>
      <w:r w:rsidRPr="00A425E0">
        <w:lastRenderedPageBreak/>
        <w:t>Для № ООН 3359 и 3373, первая позиция: добавить «–» в колонку 15 [(ДОПОГ:) в верхнюю часть].</w:t>
      </w:r>
    </w:p>
    <w:p w:rsidR="002516B3" w:rsidRPr="00A425E0" w:rsidRDefault="002516B3" w:rsidP="002516B3">
      <w:pPr>
        <w:pStyle w:val="SingleTxtGR"/>
        <w:rPr>
          <w:i/>
          <w:iCs/>
        </w:rPr>
      </w:pPr>
      <w:r w:rsidRPr="00A425E0">
        <w:rPr>
          <w:i/>
          <w:iCs/>
        </w:rPr>
        <w:t>(Сопутствующая поправка)</w:t>
      </w:r>
    </w:p>
    <w:p w:rsidR="002516B3" w:rsidRPr="00B75AEE" w:rsidRDefault="002516B3" w:rsidP="002516B3">
      <w:pPr>
        <w:pStyle w:val="H1GR"/>
      </w:pPr>
      <w:r w:rsidRPr="00B75AEE">
        <w:tab/>
      </w:r>
      <w:r w:rsidRPr="00B75AEE">
        <w:tab/>
        <w:t>Глава 3.3</w:t>
      </w:r>
    </w:p>
    <w:p w:rsidR="002516B3" w:rsidRPr="00A425E0" w:rsidRDefault="002516B3" w:rsidP="002516B3">
      <w:pPr>
        <w:pStyle w:val="SingleTxtGR"/>
      </w:pPr>
      <w:r w:rsidRPr="00A425E0">
        <w:t>Специальное положение 660</w:t>
      </w:r>
      <w:r w:rsidRPr="00A425E0">
        <w:tab/>
        <w:t>Изменить следующим образом:</w:t>
      </w:r>
    </w:p>
    <w:p w:rsidR="002516B3" w:rsidRPr="00A425E0" w:rsidRDefault="002516B3" w:rsidP="002516B3">
      <w:pPr>
        <w:pStyle w:val="SingleTxtGR"/>
      </w:pPr>
      <w:r w:rsidRPr="00A425E0">
        <w:t xml:space="preserve">«660 </w:t>
      </w:r>
      <w:r w:rsidRPr="00A425E0">
        <w:tab/>
        <w:t>Для перевозки систем удержания топливного газа, сконструированных и утвержденных для установки на автотранспортных средствах и содержащих указанный газ, нет необходимости применять положения подраздела 4.1.4.1 и главы 6.2 [ВОПОГ: ДОПОГ], когда они перевозятся для удаления, переработки, ремонта, проверки, обслуживания или от места их изготовления к месту сборки транспортного средства при соблюдении условий, изложенных в специальном положении 392. Это положение также применяется в отношении смесей газов, на которые распространяется специальное положение 392, и газов группы А, на которые распространяется настоящее специальное положение.».</w:t>
      </w:r>
    </w:p>
    <w:p w:rsidR="002516B3" w:rsidRPr="00A425E0" w:rsidRDefault="002516B3" w:rsidP="002516B3">
      <w:pPr>
        <w:pStyle w:val="SingleTxtGR"/>
        <w:rPr>
          <w:i/>
        </w:rPr>
      </w:pPr>
      <w:r w:rsidRPr="00A425E0">
        <w:rPr>
          <w:i/>
          <w:iCs/>
        </w:rPr>
        <w:t>(Справочный документ: неофициальный документ INF.54)</w:t>
      </w:r>
    </w:p>
    <w:p w:rsidR="002516B3" w:rsidRPr="00A425E0" w:rsidRDefault="002516B3" w:rsidP="002516B3">
      <w:pPr>
        <w:pStyle w:val="SingleTxtGR"/>
      </w:pPr>
      <w:r w:rsidRPr="00A425E0">
        <w:t>Специальное положение 666</w:t>
      </w:r>
      <w:r w:rsidRPr="00A425E0">
        <w:tab/>
        <w:t>Изменить первый абзац следующим образом:</w:t>
      </w:r>
    </w:p>
    <w:p w:rsidR="002516B3" w:rsidRPr="00A425E0" w:rsidRDefault="002516B3" w:rsidP="002516B3">
      <w:pPr>
        <w:pStyle w:val="SingleTxtGR"/>
      </w:pPr>
      <w:r w:rsidRPr="00A425E0">
        <w:t>«На оборудование, работающее на аккумуляторных батареях, и транспортные средства, упомянутые в специальном положении 388, когда они перевозятся в качестве груза, а также содержащиеся в них опасные грузы, необходимые для их функционирования или эксплуатации их оборудования, не распространяются какие-либо другие положения МПОГ/ДОПОГ/ВОПОГ, если соблюдены следующие условия:».</w:t>
      </w:r>
    </w:p>
    <w:p w:rsidR="002516B3" w:rsidRPr="00A425E0" w:rsidRDefault="002516B3" w:rsidP="002516B3">
      <w:pPr>
        <w:pStyle w:val="SingleTxtGR"/>
        <w:rPr>
          <w:i/>
          <w:iCs/>
        </w:rPr>
      </w:pPr>
      <w:r w:rsidRPr="00A425E0">
        <w:rPr>
          <w:i/>
          <w:iCs/>
        </w:rPr>
        <w:t>(Заменяет собой поправку, содержащуюся в документе ECE/TRANS/WP.15/ AC.1/2017/26/Add.1)</w:t>
      </w:r>
    </w:p>
    <w:p w:rsidR="002516B3" w:rsidRPr="00A425E0" w:rsidRDefault="002516B3" w:rsidP="002516B3">
      <w:pPr>
        <w:pStyle w:val="SingleTxtGR"/>
        <w:rPr>
          <w:i/>
          <w:iCs/>
        </w:rPr>
      </w:pPr>
      <w:r w:rsidRPr="00A425E0">
        <w:rPr>
          <w:i/>
          <w:iCs/>
        </w:rPr>
        <w:t>(Справочный документ: ECE/TRANS/WP.15/AC.1/2017/27 с поправками)</w:t>
      </w:r>
    </w:p>
    <w:p w:rsidR="002516B3" w:rsidRPr="00A425E0" w:rsidRDefault="002516B3" w:rsidP="002516B3">
      <w:pPr>
        <w:pStyle w:val="SingleTxtGR"/>
        <w:rPr>
          <w:iCs/>
        </w:rPr>
      </w:pPr>
      <w:r w:rsidRPr="00A425E0">
        <w:t>Добавить новое специальное положение следующего содержания:</w:t>
      </w:r>
    </w:p>
    <w:p w:rsidR="002516B3" w:rsidRPr="00A425E0" w:rsidRDefault="002516B3" w:rsidP="002516B3">
      <w:pPr>
        <w:pStyle w:val="SingleTxtGR"/>
      </w:pPr>
      <w:r w:rsidRPr="00A425E0">
        <w:t xml:space="preserve">«674 </w:t>
      </w:r>
      <w:r w:rsidRPr="00A31403">
        <w:tab/>
      </w:r>
      <w:r w:rsidRPr="00A425E0">
        <w:t>Данное специальное положение применяется к периодической проверке и испытанию баллонов с формованным кожухом в соответствии с определением, приведенным в разделе 1.2.1.</w:t>
      </w:r>
    </w:p>
    <w:p w:rsidR="002516B3" w:rsidRPr="00A425E0" w:rsidRDefault="002516B3" w:rsidP="002516B3">
      <w:pPr>
        <w:pStyle w:val="SingleTxtGR"/>
      </w:pPr>
      <w:r w:rsidRPr="00A425E0">
        <w:t xml:space="preserve">Баллоны с формованным кожухом, </w:t>
      </w:r>
      <w:r>
        <w:t>подпадающие под действие пункта</w:t>
      </w:r>
      <w:r>
        <w:rPr>
          <w:lang w:val="en-US"/>
        </w:rPr>
        <w:t> </w:t>
      </w:r>
      <w:r w:rsidRPr="00A425E0">
        <w:t>6.2.3.5.3.1, подлежат периодической проверке и испытанию в соответствии с пунктом 6.2.1.6.1 с изменениями на основе следующего альтернативного метода:</w:t>
      </w:r>
    </w:p>
    <w:p w:rsidR="002516B3" w:rsidRPr="00A425E0" w:rsidRDefault="002516B3" w:rsidP="002516B3">
      <w:pPr>
        <w:pStyle w:val="SingleTxtGR"/>
      </w:pPr>
      <w:r>
        <w:t>–</w:t>
      </w:r>
      <w:r w:rsidRPr="00A425E0">
        <w:tab/>
        <w:t>заменить испытание, предусмотренное в пункте 6.2.1.6.1 d), альтернативными разрушающими испытаниями;</w:t>
      </w:r>
    </w:p>
    <w:p w:rsidR="002516B3" w:rsidRPr="00A425E0" w:rsidRDefault="002516B3" w:rsidP="002516B3">
      <w:pPr>
        <w:pStyle w:val="SingleTxtGR"/>
      </w:pPr>
      <w:r>
        <w:t>–</w:t>
      </w:r>
      <w:r w:rsidRPr="00A425E0">
        <w:tab/>
        <w:t xml:space="preserve">провести специальные дополнительные разрушающие испытания, соответствующие конструкции баллонов с формованным кожухом. </w:t>
      </w:r>
    </w:p>
    <w:p w:rsidR="002516B3" w:rsidRPr="00A425E0" w:rsidRDefault="002516B3" w:rsidP="002516B3">
      <w:pPr>
        <w:pStyle w:val="SingleTxtGR"/>
      </w:pPr>
      <w:r w:rsidRPr="00A425E0">
        <w:t>Процедуры и требования данного альтернативного метода изложены ниже.</w:t>
      </w:r>
    </w:p>
    <w:p w:rsidR="002516B3" w:rsidRPr="00A425E0" w:rsidRDefault="002516B3" w:rsidP="002516B3">
      <w:pPr>
        <w:pStyle w:val="SingleTxtGR"/>
      </w:pPr>
      <w:r w:rsidRPr="00A425E0">
        <w:t>Альтернативный метод:</w:t>
      </w:r>
    </w:p>
    <w:p w:rsidR="002516B3" w:rsidRPr="00A425E0" w:rsidRDefault="002516B3" w:rsidP="002516B3">
      <w:pPr>
        <w:pStyle w:val="SingleTxtGR"/>
      </w:pPr>
      <w:r w:rsidRPr="00A425E0">
        <w:t>a)</w:t>
      </w:r>
      <w:r w:rsidRPr="00A425E0">
        <w:tab/>
        <w:t>Общие сведения</w:t>
      </w:r>
    </w:p>
    <w:p w:rsidR="002516B3" w:rsidRPr="00A425E0" w:rsidRDefault="002516B3" w:rsidP="002516B3">
      <w:pPr>
        <w:pStyle w:val="SingleTxtGR"/>
        <w:ind w:left="1701" w:hanging="567"/>
      </w:pPr>
      <w:r>
        <w:tab/>
      </w:r>
      <w:r w:rsidRPr="00A425E0">
        <w:t>Нижеследующие положения применяются к баллонам с формованным кожухом, произведенным серийно на основе сварных стальных баллонов в соответствии с требованиями ст</w:t>
      </w:r>
      <w:r>
        <w:t>андарта EN 1442:2017, стандарта </w:t>
      </w:r>
      <w:r w:rsidRPr="00A425E0">
        <w:t>EN</w:t>
      </w:r>
      <w:r>
        <w:t> </w:t>
      </w:r>
      <w:r w:rsidRPr="00A425E0">
        <w:t>14140:2014 + AC:2015 или част</w:t>
      </w:r>
      <w:r>
        <w:t>ей 1−3 приложения I к Директиве </w:t>
      </w:r>
      <w:r w:rsidRPr="00A425E0">
        <w:t xml:space="preserve">84/527/EEC Совета. Конструкция формованного кожуха должна предотвращать попадание воды на внутренний стальной баллон. Преобразование стального баллона в баллон с формованным кожухом должно </w:t>
      </w:r>
      <w:r w:rsidRPr="00A425E0">
        <w:lastRenderedPageBreak/>
        <w:t>соответствовать применимым требованиям стандартов EN 1442:2017 и EN 14140:2014 + AC:2015.</w:t>
      </w:r>
    </w:p>
    <w:p w:rsidR="002516B3" w:rsidRPr="00A425E0" w:rsidRDefault="002516B3" w:rsidP="002516B3">
      <w:pPr>
        <w:pStyle w:val="SingleTxtGR"/>
        <w:ind w:left="1701" w:hanging="567"/>
      </w:pPr>
      <w:r>
        <w:tab/>
      </w:r>
      <w:r w:rsidRPr="00A425E0">
        <w:t>Баллоны с формованным кожухом должны быть оборудованы самозапирающимися клапанами.</w:t>
      </w:r>
    </w:p>
    <w:p w:rsidR="002516B3" w:rsidRPr="00A425E0" w:rsidRDefault="002516B3" w:rsidP="002516B3">
      <w:pPr>
        <w:pStyle w:val="SingleTxtGR"/>
      </w:pPr>
      <w:r w:rsidRPr="00A425E0">
        <w:t>b)</w:t>
      </w:r>
      <w:r w:rsidRPr="00A425E0">
        <w:tab/>
        <w:t>Основная совокупность</w:t>
      </w:r>
    </w:p>
    <w:p w:rsidR="002516B3" w:rsidRPr="00A425E0" w:rsidRDefault="002516B3" w:rsidP="002516B3">
      <w:pPr>
        <w:pStyle w:val="SingleTxtGR"/>
        <w:ind w:left="1701" w:hanging="567"/>
      </w:pPr>
      <w:r>
        <w:tab/>
      </w:r>
      <w:r w:rsidRPr="00A425E0">
        <w:t>Под основной совокупностью баллонов с формованным кожухом понимается производственная партия баллонов, изготовленных только одним формовочным изготовителем с использованием новых внутренних сосудов, изготовленных только одним изготовителем в течение одного календарного года. Такие баллоны должны иметь один и тот же тип конструкции и быть изготовлены из одних и тех же материалов в рамках одних и тех же производственных процессов.</w:t>
      </w:r>
    </w:p>
    <w:p w:rsidR="002516B3" w:rsidRPr="00A425E0" w:rsidRDefault="002516B3" w:rsidP="002516B3">
      <w:pPr>
        <w:pStyle w:val="SingleTxtGR"/>
      </w:pPr>
      <w:r w:rsidRPr="00A425E0">
        <w:t>c)</w:t>
      </w:r>
      <w:r w:rsidRPr="00A425E0">
        <w:tab/>
        <w:t>Партии в рамках основной совокупности</w:t>
      </w:r>
    </w:p>
    <w:p w:rsidR="002516B3" w:rsidRPr="00A425E0" w:rsidRDefault="002516B3" w:rsidP="002516B3">
      <w:pPr>
        <w:pStyle w:val="SingleTxtGR"/>
        <w:ind w:left="1701"/>
      </w:pPr>
      <w:r w:rsidRPr="00A425E0">
        <w:rPr>
          <w:bCs/>
        </w:rPr>
        <w:t>Основную совокупность баллонов, определенную выше, можно подразделить на конкретные партии баллонов с формованным кожухом, принадлежащих различным собственникам, по одной на каждого собственника.</w:t>
      </w:r>
    </w:p>
    <w:p w:rsidR="002516B3" w:rsidRPr="00A425E0" w:rsidRDefault="002516B3" w:rsidP="002516B3">
      <w:pPr>
        <w:pStyle w:val="SingleTxtGR"/>
        <w:ind w:left="1701"/>
      </w:pPr>
      <w:r w:rsidRPr="00A425E0">
        <w:t>Если вся основная совокупность принадлежит одному собственнику, партия эквивалентна основной совокупности.</w:t>
      </w:r>
    </w:p>
    <w:p w:rsidR="002516B3" w:rsidRPr="00A425E0" w:rsidRDefault="002516B3" w:rsidP="002516B3">
      <w:pPr>
        <w:pStyle w:val="SingleTxtGR"/>
        <w:ind w:left="1701" w:hanging="567"/>
      </w:pPr>
      <w:r w:rsidRPr="00A425E0">
        <w:t>d)</w:t>
      </w:r>
      <w:r w:rsidRPr="00A425E0">
        <w:tab/>
        <w:t>Прослеживаемость</w:t>
      </w:r>
    </w:p>
    <w:p w:rsidR="002516B3" w:rsidRPr="00A425E0" w:rsidRDefault="002516B3" w:rsidP="002516B3">
      <w:pPr>
        <w:pStyle w:val="SingleTxtGR"/>
        <w:ind w:left="1701"/>
      </w:pPr>
      <w:r w:rsidRPr="00A425E0">
        <w:t>Маркировочные знаки внутренних стальных баллонов, наносимые согласно пункту 6.2.3.9, должны воспроизводиться на формованном кожухе. Кроме того, каждый баллон с формованным кожухом должен быть снабжен устойчивым к воздействию индивидуальным электронным устройством идентификации. Точные технические характеристики баллонов с формованным кожухом должны регистрироваться собственником в централизованной базе данных. Такую базу данных используют для:</w:t>
      </w:r>
    </w:p>
    <w:p w:rsidR="002516B3" w:rsidRPr="00A425E0" w:rsidRDefault="002516B3" w:rsidP="002516B3">
      <w:pPr>
        <w:pStyle w:val="SingleTxtGR"/>
        <w:ind w:left="1701"/>
      </w:pPr>
      <w:r>
        <w:t>–</w:t>
      </w:r>
      <w:r w:rsidRPr="00A425E0">
        <w:tab/>
        <w:t>определения конкретной партии;</w:t>
      </w:r>
    </w:p>
    <w:p w:rsidR="002516B3" w:rsidRPr="00A425E0" w:rsidRDefault="002516B3" w:rsidP="002516B3">
      <w:pPr>
        <w:pStyle w:val="SingleTxtGR"/>
        <w:ind w:left="1701"/>
      </w:pPr>
      <w:r>
        <w:t>–</w:t>
      </w:r>
      <w:r w:rsidRPr="00A425E0">
        <w:tab/>
        <w:t xml:space="preserve">предоставления проверяющим органам, заправочным центрам и компетентным органам информации о конкретных технических характеристиках баллонов, состоящей по крайней мере из следующего: серийный номер; производственная партия стальных баллонов; производственная партия формованных кожухов; дата установления таких кожухов; </w:t>
      </w:r>
    </w:p>
    <w:p w:rsidR="002516B3" w:rsidRPr="00A425E0" w:rsidRDefault="002516B3" w:rsidP="002516B3">
      <w:pPr>
        <w:pStyle w:val="SingleTxtGR"/>
        <w:ind w:left="1701"/>
      </w:pPr>
      <w:r>
        <w:t>–</w:t>
      </w:r>
      <w:r w:rsidRPr="00A425E0">
        <w:tab/>
        <w:t>идентификации баллона по серийному номеру посредством связи электронного устройства с базой данных;</w:t>
      </w:r>
    </w:p>
    <w:p w:rsidR="002516B3" w:rsidRPr="00A425E0" w:rsidRDefault="002516B3" w:rsidP="002516B3">
      <w:pPr>
        <w:pStyle w:val="SingleTxtGR"/>
        <w:ind w:left="1701"/>
      </w:pPr>
      <w:r>
        <w:t>–</w:t>
      </w:r>
      <w:r w:rsidRPr="00A425E0">
        <w:tab/>
        <w:t>проверки истории конкретного баллона и определения необходимых операций (например, наполнение, отбор образцов, повторное испытание, изъятие);</w:t>
      </w:r>
    </w:p>
    <w:p w:rsidR="002516B3" w:rsidRPr="00A425E0" w:rsidRDefault="002516B3" w:rsidP="002516B3">
      <w:pPr>
        <w:pStyle w:val="SingleTxtGR"/>
        <w:ind w:left="1701"/>
      </w:pPr>
      <w:r w:rsidRPr="00A31403">
        <w:t>–</w:t>
      </w:r>
      <w:r w:rsidRPr="00A425E0">
        <w:tab/>
        <w:t>регистрации произведенных операций, включая дату и место их осуществления.</w:t>
      </w:r>
    </w:p>
    <w:p w:rsidR="002516B3" w:rsidRPr="00A425E0" w:rsidRDefault="002516B3" w:rsidP="002516B3">
      <w:pPr>
        <w:pStyle w:val="SingleTxtGR"/>
        <w:ind w:left="1701"/>
      </w:pPr>
      <w:r w:rsidRPr="00A425E0">
        <w:t>Зарегистрированные данные должны храниться собственником баллонов с формованным кожухом в течение всего срока службы данной партии.</w:t>
      </w:r>
    </w:p>
    <w:p w:rsidR="002516B3" w:rsidRPr="00A425E0" w:rsidRDefault="002516B3" w:rsidP="002516B3">
      <w:pPr>
        <w:pStyle w:val="SingleTxtGR"/>
        <w:ind w:left="1701" w:hanging="567"/>
      </w:pPr>
      <w:r w:rsidRPr="00A425E0">
        <w:t>e)</w:t>
      </w:r>
      <w:r w:rsidRPr="00A425E0">
        <w:tab/>
        <w:t>Отбор образцов для статистической оценки</w:t>
      </w:r>
    </w:p>
    <w:p w:rsidR="002516B3" w:rsidRPr="00A425E0" w:rsidRDefault="002516B3" w:rsidP="002516B3">
      <w:pPr>
        <w:pStyle w:val="SingleTxtGR"/>
        <w:ind w:left="1701"/>
      </w:pPr>
      <w:r w:rsidRPr="00A425E0">
        <w:t>Отбор образцов производится случайным образом среди баллонов той или иной партии, определенной в подпункте с). Число отобранных образцов каждой партии должно соответствовать данным таблицы, приведенной в подпункте g).</w:t>
      </w:r>
    </w:p>
    <w:p w:rsidR="002516B3" w:rsidRPr="00A425E0" w:rsidRDefault="002516B3" w:rsidP="002516B3">
      <w:pPr>
        <w:pStyle w:val="SingleTxtGR"/>
        <w:ind w:left="1701" w:hanging="567"/>
      </w:pPr>
      <w:r>
        <w:br w:type="page"/>
      </w:r>
      <w:r w:rsidRPr="00A425E0">
        <w:lastRenderedPageBreak/>
        <w:t>f)</w:t>
      </w:r>
      <w:r w:rsidRPr="00A425E0">
        <w:tab/>
        <w:t>Процедура разрушающего испытания</w:t>
      </w:r>
    </w:p>
    <w:p w:rsidR="002516B3" w:rsidRPr="00A425E0" w:rsidRDefault="002516B3" w:rsidP="002516B3">
      <w:pPr>
        <w:pStyle w:val="SingleTxtGR"/>
        <w:ind w:left="1701"/>
      </w:pPr>
      <w:r w:rsidRPr="00A425E0">
        <w:t>Проводят проверки и испытания, предусмотренные в пункте 6.2.1.6.1, за исключением испытания, предписанного в подпункте d), которое заменяют следующей процедурой испытания:</w:t>
      </w:r>
    </w:p>
    <w:p w:rsidR="002516B3" w:rsidRPr="00A425E0" w:rsidRDefault="002516B3" w:rsidP="002516B3">
      <w:pPr>
        <w:pStyle w:val="SingleTxtGR"/>
        <w:ind w:left="1701"/>
      </w:pPr>
      <w:r>
        <w:t>–</w:t>
      </w:r>
      <w:r w:rsidRPr="00A425E0">
        <w:tab/>
        <w:t>испытание на разрыв (в соответствии со стандартом EN 1442:2017 или EN 14140:2014 + AC:2015).</w:t>
      </w:r>
    </w:p>
    <w:p w:rsidR="002516B3" w:rsidRPr="00A425E0" w:rsidRDefault="002516B3" w:rsidP="002516B3">
      <w:pPr>
        <w:pStyle w:val="SingleTxtGR"/>
        <w:ind w:left="1701"/>
      </w:pPr>
      <w:r w:rsidRPr="00A425E0">
        <w:t>Кроме того, проводят следующие испытания:</w:t>
      </w:r>
    </w:p>
    <w:p w:rsidR="002516B3" w:rsidRPr="00A425E0" w:rsidRDefault="002516B3" w:rsidP="002516B3">
      <w:pPr>
        <w:pStyle w:val="SingleTxtGR"/>
        <w:ind w:left="1701"/>
      </w:pPr>
      <w:r>
        <w:t>–</w:t>
      </w:r>
      <w:r w:rsidRPr="00A425E0">
        <w:tab/>
        <w:t>испытание на адгезию (в соответствии со стандартом EN 1442:2017 или EN 14140:2014 + AC:2015);</w:t>
      </w:r>
    </w:p>
    <w:p w:rsidR="002516B3" w:rsidRPr="00A425E0" w:rsidRDefault="002516B3" w:rsidP="002516B3">
      <w:pPr>
        <w:pStyle w:val="SingleTxtGR"/>
        <w:ind w:left="1701"/>
      </w:pPr>
      <w:r>
        <w:t>–</w:t>
      </w:r>
      <w:r w:rsidRPr="00A425E0">
        <w:tab/>
        <w:t>испытания на отслаивание и коррозию (в соответствии со стандартом EN ISO 4628-3:2016).</w:t>
      </w:r>
    </w:p>
    <w:p w:rsidR="002516B3" w:rsidRPr="00A425E0" w:rsidRDefault="002516B3" w:rsidP="002516B3">
      <w:pPr>
        <w:pStyle w:val="SingleTxtGR"/>
        <w:ind w:left="1701"/>
      </w:pPr>
      <w:r w:rsidRPr="00A425E0">
        <w:t>Испытание на адгезию, испытания на отслаивание и коррозию и испытание на разрыв проводят на каждом соответствующем образце в соответствии с таблицей, приведенной в подпункте g), после первых 3 лет эксплуатации, а затем каждые 5 лет.</w:t>
      </w:r>
    </w:p>
    <w:p w:rsidR="002516B3" w:rsidRPr="00A425E0" w:rsidRDefault="002516B3" w:rsidP="002516B3">
      <w:pPr>
        <w:pStyle w:val="SingleTxtGR"/>
        <w:ind w:left="1701" w:hanging="567"/>
      </w:pPr>
      <w:r w:rsidRPr="00A425E0">
        <w:t>g)</w:t>
      </w:r>
      <w:r w:rsidRPr="00A425E0">
        <w:tab/>
        <w:t>Статистическая оценка результатов испытаний – Метод и минимальные требования</w:t>
      </w:r>
    </w:p>
    <w:p w:rsidR="002516B3" w:rsidRPr="00A425E0" w:rsidRDefault="002516B3" w:rsidP="002516B3">
      <w:pPr>
        <w:pStyle w:val="SingleTxtGR"/>
        <w:ind w:left="1701"/>
      </w:pPr>
      <w:r w:rsidRPr="00A425E0">
        <w:t>Процедура статистической оценки на основе соответствующих критериев отклонения изложена в нижеследующих таблице:</w:t>
      </w:r>
    </w:p>
    <w:tbl>
      <w:tblPr>
        <w:tblStyle w:val="TableGrid"/>
        <w:tblW w:w="8505" w:type="dxa"/>
        <w:tblInd w:w="1129" w:type="dxa"/>
        <w:tblLayout w:type="fixed"/>
        <w:tblLook w:val="04A0" w:firstRow="1" w:lastRow="0" w:firstColumn="1" w:lastColumn="0" w:noHBand="0" w:noVBand="1"/>
      </w:tblPr>
      <w:tblGrid>
        <w:gridCol w:w="1132"/>
        <w:gridCol w:w="1308"/>
        <w:gridCol w:w="1524"/>
        <w:gridCol w:w="2977"/>
        <w:gridCol w:w="1564"/>
      </w:tblGrid>
      <w:tr w:rsidR="002516B3" w:rsidRPr="008215BB" w:rsidTr="002516B3">
        <w:tc>
          <w:tcPr>
            <w:tcW w:w="1132" w:type="dxa"/>
            <w:tcBorders>
              <w:bottom w:val="single" w:sz="4" w:space="0" w:color="auto"/>
            </w:tcBorders>
          </w:tcPr>
          <w:p w:rsidR="002516B3" w:rsidRPr="008215BB" w:rsidRDefault="002516B3" w:rsidP="002516B3">
            <w:pPr>
              <w:spacing w:before="80" w:after="80"/>
              <w:jc w:val="center"/>
              <w:rPr>
                <w:rFonts w:cs="Times New Roman"/>
                <w:b/>
                <w:szCs w:val="20"/>
              </w:rPr>
            </w:pPr>
            <w:r w:rsidRPr="008215BB">
              <w:rPr>
                <w:rFonts w:cs="Times New Roman"/>
                <w:b/>
                <w:szCs w:val="20"/>
              </w:rPr>
              <w:t xml:space="preserve">Интервал испытания </w:t>
            </w:r>
            <w:r w:rsidRPr="008215BB">
              <w:rPr>
                <w:rFonts w:cs="Times New Roman"/>
                <w:szCs w:val="20"/>
              </w:rPr>
              <w:t>(годы)</w:t>
            </w:r>
          </w:p>
        </w:tc>
        <w:tc>
          <w:tcPr>
            <w:tcW w:w="1308" w:type="dxa"/>
          </w:tcPr>
          <w:p w:rsidR="002516B3" w:rsidRPr="008215BB" w:rsidRDefault="002516B3" w:rsidP="002516B3">
            <w:pPr>
              <w:spacing w:before="80" w:after="80"/>
              <w:jc w:val="center"/>
              <w:rPr>
                <w:rFonts w:cs="Times New Roman"/>
                <w:b/>
                <w:szCs w:val="20"/>
              </w:rPr>
            </w:pPr>
            <w:r w:rsidRPr="008215BB">
              <w:rPr>
                <w:rFonts w:cs="Times New Roman"/>
                <w:b/>
                <w:szCs w:val="20"/>
              </w:rPr>
              <w:t>Вид испытания</w:t>
            </w:r>
          </w:p>
        </w:tc>
        <w:tc>
          <w:tcPr>
            <w:tcW w:w="1524" w:type="dxa"/>
          </w:tcPr>
          <w:p w:rsidR="002516B3" w:rsidRPr="008215BB" w:rsidRDefault="002516B3" w:rsidP="002516B3">
            <w:pPr>
              <w:spacing w:before="80" w:after="80"/>
              <w:jc w:val="center"/>
              <w:rPr>
                <w:rFonts w:cs="Times New Roman"/>
                <w:b/>
                <w:bCs/>
                <w:szCs w:val="20"/>
              </w:rPr>
            </w:pPr>
            <w:r w:rsidRPr="008215BB">
              <w:rPr>
                <w:rFonts w:cs="Times New Roman"/>
                <w:b/>
                <w:szCs w:val="20"/>
              </w:rPr>
              <w:t>Стандарт</w:t>
            </w:r>
          </w:p>
        </w:tc>
        <w:tc>
          <w:tcPr>
            <w:tcW w:w="2977" w:type="dxa"/>
          </w:tcPr>
          <w:p w:rsidR="002516B3" w:rsidRPr="008215BB" w:rsidRDefault="002516B3" w:rsidP="002516B3">
            <w:pPr>
              <w:spacing w:before="80" w:after="80"/>
              <w:jc w:val="center"/>
              <w:rPr>
                <w:rFonts w:cs="Times New Roman"/>
                <w:b/>
                <w:bCs/>
                <w:szCs w:val="20"/>
              </w:rPr>
            </w:pPr>
            <w:r w:rsidRPr="008215BB">
              <w:rPr>
                <w:rFonts w:cs="Times New Roman"/>
                <w:b/>
                <w:szCs w:val="20"/>
              </w:rPr>
              <w:t>Критерии отклонения</w:t>
            </w:r>
          </w:p>
        </w:tc>
        <w:tc>
          <w:tcPr>
            <w:tcW w:w="1564" w:type="dxa"/>
          </w:tcPr>
          <w:p w:rsidR="002516B3" w:rsidRPr="008215BB" w:rsidRDefault="002516B3" w:rsidP="002516B3">
            <w:pPr>
              <w:spacing w:before="80" w:after="80"/>
              <w:jc w:val="center"/>
              <w:rPr>
                <w:rFonts w:cs="Times New Roman"/>
                <w:b/>
                <w:bCs/>
                <w:szCs w:val="20"/>
              </w:rPr>
            </w:pPr>
            <w:r w:rsidRPr="008215BB">
              <w:rPr>
                <w:rFonts w:cs="Times New Roman"/>
                <w:b/>
                <w:szCs w:val="20"/>
              </w:rPr>
              <w:t>Отбор образцов из партии</w:t>
            </w:r>
          </w:p>
        </w:tc>
      </w:tr>
      <w:tr w:rsidR="002516B3" w:rsidRPr="008215BB" w:rsidTr="002516B3">
        <w:tc>
          <w:tcPr>
            <w:tcW w:w="1132" w:type="dxa"/>
            <w:tcBorders>
              <w:bottom w:val="nil"/>
            </w:tcBorders>
          </w:tcPr>
          <w:p w:rsidR="002516B3" w:rsidRPr="008215BB" w:rsidRDefault="002516B3" w:rsidP="002516B3">
            <w:pPr>
              <w:pStyle w:val="Tabletext9"/>
              <w:spacing w:before="40" w:after="120" w:line="240" w:lineRule="atLeast"/>
              <w:jc w:val="left"/>
              <w:rPr>
                <w:rFonts w:ascii="Times New Roman" w:hAnsi="Times New Roman"/>
                <w:sz w:val="20"/>
                <w:lang w:val="ru-RU"/>
              </w:rPr>
            </w:pPr>
            <w:r>
              <w:rPr>
                <w:rFonts w:ascii="Times New Roman" w:hAnsi="Times New Roman"/>
                <w:sz w:val="20"/>
                <w:lang w:val="ru-RU"/>
              </w:rPr>
              <w:t>После 3</w:t>
            </w:r>
            <w:r>
              <w:rPr>
                <w:rFonts w:ascii="Times New Roman" w:hAnsi="Times New Roman"/>
                <w:sz w:val="20"/>
                <w:lang w:val="en-US"/>
              </w:rPr>
              <w:t> </w:t>
            </w:r>
            <w:r w:rsidRPr="008215BB">
              <w:rPr>
                <w:rFonts w:ascii="Times New Roman" w:hAnsi="Times New Roman"/>
                <w:sz w:val="20"/>
                <w:lang w:val="ru-RU"/>
              </w:rPr>
              <w:t>лет эксплуатации (см. f))</w:t>
            </w:r>
          </w:p>
          <w:p w:rsidR="002516B3" w:rsidRPr="008215BB" w:rsidRDefault="002516B3" w:rsidP="002516B3">
            <w:pPr>
              <w:spacing w:before="40" w:after="120"/>
              <w:rPr>
                <w:rFonts w:cs="Times New Roman"/>
                <w:szCs w:val="20"/>
              </w:rPr>
            </w:pPr>
          </w:p>
        </w:tc>
        <w:tc>
          <w:tcPr>
            <w:tcW w:w="1308" w:type="dxa"/>
          </w:tcPr>
          <w:p w:rsidR="002516B3" w:rsidRPr="008215BB" w:rsidRDefault="002516B3" w:rsidP="002516B3">
            <w:pPr>
              <w:pStyle w:val="Tabletext9"/>
              <w:spacing w:before="40" w:after="120" w:line="240" w:lineRule="atLeast"/>
              <w:jc w:val="left"/>
              <w:rPr>
                <w:rFonts w:ascii="Times New Roman" w:hAnsi="Times New Roman"/>
                <w:sz w:val="20"/>
              </w:rPr>
            </w:pPr>
            <w:r w:rsidRPr="008215BB">
              <w:rPr>
                <w:rFonts w:ascii="Times New Roman" w:hAnsi="Times New Roman"/>
                <w:sz w:val="20"/>
                <w:lang w:val="ru-RU"/>
              </w:rPr>
              <w:t>Испытание на разрыв</w:t>
            </w:r>
          </w:p>
        </w:tc>
        <w:tc>
          <w:tcPr>
            <w:tcW w:w="1524" w:type="dxa"/>
          </w:tcPr>
          <w:p w:rsidR="002516B3" w:rsidRPr="008215BB" w:rsidRDefault="002516B3" w:rsidP="002516B3">
            <w:pPr>
              <w:pStyle w:val="Tabletext9"/>
              <w:spacing w:before="40" w:after="120" w:line="240" w:lineRule="atLeast"/>
              <w:jc w:val="center"/>
              <w:rPr>
                <w:rFonts w:ascii="Times New Roman" w:hAnsi="Times New Roman"/>
                <w:sz w:val="20"/>
              </w:rPr>
            </w:pPr>
            <w:r w:rsidRPr="008215BB">
              <w:rPr>
                <w:rFonts w:ascii="Times New Roman" w:hAnsi="Times New Roman"/>
                <w:sz w:val="20"/>
                <w:lang w:val="ru-RU"/>
              </w:rPr>
              <w:t>EN 1442:2017</w:t>
            </w:r>
          </w:p>
        </w:tc>
        <w:tc>
          <w:tcPr>
            <w:tcW w:w="2977" w:type="dxa"/>
          </w:tcPr>
          <w:p w:rsidR="002516B3" w:rsidRPr="008215BB" w:rsidRDefault="002516B3" w:rsidP="002516B3">
            <w:pPr>
              <w:spacing w:before="40" w:after="120"/>
              <w:jc w:val="center"/>
              <w:rPr>
                <w:rFonts w:cs="Times New Roman"/>
                <w:szCs w:val="20"/>
              </w:rPr>
            </w:pPr>
            <w:r w:rsidRPr="008215BB">
              <w:rPr>
                <w:rFonts w:cs="Times New Roman"/>
                <w:szCs w:val="20"/>
              </w:rPr>
              <w:t>Точка давления разрыва для репрезентативного образца должна располагаться выше нижнего предела толерантного интервала на Диаграмме технических показателей образцов</w:t>
            </w:r>
          </w:p>
          <w:p w:rsidR="002516B3" w:rsidRPr="008215BB" w:rsidRDefault="002516B3" w:rsidP="002516B3">
            <w:pPr>
              <w:spacing w:before="40" w:after="120"/>
              <w:jc w:val="center"/>
              <w:rPr>
                <w:rFonts w:cs="Times New Roman"/>
                <w:szCs w:val="20"/>
              </w:rPr>
            </w:pPr>
            <w:r w:rsidRPr="008215BB">
              <w:rPr>
                <w:rFonts w:cs="Times New Roman"/>
                <w:szCs w:val="20"/>
              </w:rPr>
              <w:t>Ω</w:t>
            </w:r>
            <w:r w:rsidRPr="00A31403">
              <w:rPr>
                <w:rFonts w:cs="Times New Roman"/>
                <w:szCs w:val="20"/>
                <w:vertAlign w:val="subscript"/>
              </w:rPr>
              <w:t>m</w:t>
            </w:r>
            <w:r w:rsidRPr="008215BB">
              <w:rPr>
                <w:rFonts w:cs="Times New Roman"/>
                <w:szCs w:val="20"/>
              </w:rPr>
              <w:t xml:space="preserve"> ≥ 1 + Ω</w:t>
            </w:r>
            <w:r w:rsidRPr="00A31403">
              <w:rPr>
                <w:rFonts w:cs="Times New Roman"/>
                <w:szCs w:val="20"/>
                <w:vertAlign w:val="subscript"/>
              </w:rPr>
              <w:t>s</w:t>
            </w:r>
            <w:r w:rsidRPr="008215BB">
              <w:rPr>
                <w:rFonts w:cs="Times New Roman"/>
                <w:szCs w:val="20"/>
              </w:rPr>
              <w:t xml:space="preserve"> × k3(n;p;1-α)</w:t>
            </w:r>
            <w:r w:rsidRPr="00A31403">
              <w:rPr>
                <w:rFonts w:cs="Times New Roman"/>
                <w:b/>
                <w:szCs w:val="20"/>
                <w:vertAlign w:val="superscript"/>
              </w:rPr>
              <w:t>a</w:t>
            </w:r>
          </w:p>
          <w:p w:rsidR="002516B3" w:rsidRPr="008215BB" w:rsidRDefault="002516B3" w:rsidP="002516B3">
            <w:pPr>
              <w:spacing w:before="40" w:after="120"/>
              <w:jc w:val="center"/>
              <w:rPr>
                <w:rFonts w:cs="Times New Roman"/>
                <w:szCs w:val="20"/>
              </w:rPr>
            </w:pPr>
            <w:r w:rsidRPr="008215BB">
              <w:rPr>
                <w:rFonts w:cs="Times New Roman"/>
                <w:szCs w:val="20"/>
              </w:rPr>
              <w:t>Никакой отдельный результат испытания не должен быть меньше испытательного давления</w:t>
            </w:r>
          </w:p>
        </w:tc>
        <w:tc>
          <w:tcPr>
            <w:tcW w:w="1564" w:type="dxa"/>
          </w:tcPr>
          <w:p w:rsidR="002516B3" w:rsidRPr="008215BB" w:rsidRDefault="002516B3" w:rsidP="002516B3">
            <w:pPr>
              <w:spacing w:before="40" w:after="120"/>
              <w:jc w:val="center"/>
              <w:rPr>
                <w:rFonts w:cs="Times New Roman"/>
                <w:szCs w:val="20"/>
              </w:rPr>
            </w:pPr>
            <w:r w:rsidRPr="008215BB">
              <w:rPr>
                <w:rFonts w:cs="Times New Roman"/>
                <w:position w:val="-10"/>
                <w:szCs w:val="20"/>
              </w:rPr>
              <w:object w:dxaOrig="4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8pt" o:ole="">
                  <v:imagedata r:id="rId8" o:title=""/>
                </v:shape>
                <o:OLEObject Type="Embed" ProgID="Equation.3" ShapeID="_x0000_i1025" DrawAspect="Content" ObjectID="_1576484899" r:id="rId9"/>
              </w:object>
            </w:r>
            <w:r w:rsidRPr="008215BB">
              <w:rPr>
                <w:rFonts w:cs="Times New Roman"/>
                <w:szCs w:val="20"/>
              </w:rPr>
              <w:t>или Q/200, в зависимости от того, что ниже,</w:t>
            </w:r>
          </w:p>
          <w:p w:rsidR="002516B3" w:rsidRPr="008215BB" w:rsidRDefault="002516B3" w:rsidP="002516B3">
            <w:pPr>
              <w:spacing w:before="40" w:after="120"/>
              <w:jc w:val="center"/>
              <w:rPr>
                <w:rFonts w:cs="Times New Roman"/>
                <w:szCs w:val="20"/>
              </w:rPr>
            </w:pPr>
            <w:r w:rsidRPr="008215BB">
              <w:rPr>
                <w:rFonts w:cs="Times New Roman"/>
                <w:szCs w:val="20"/>
              </w:rPr>
              <w:t>и</w:t>
            </w:r>
          </w:p>
          <w:p w:rsidR="002516B3" w:rsidRPr="008215BB" w:rsidRDefault="002516B3" w:rsidP="002516B3">
            <w:pPr>
              <w:spacing w:before="40" w:after="120"/>
              <w:jc w:val="center"/>
              <w:rPr>
                <w:rFonts w:cs="Times New Roman"/>
                <w:szCs w:val="20"/>
              </w:rPr>
            </w:pPr>
            <w:r w:rsidRPr="008215BB">
              <w:rPr>
                <w:rFonts w:cs="Times New Roman"/>
                <w:szCs w:val="20"/>
              </w:rPr>
              <w:t>при минимальном количестве в 20 на партию (Q)</w:t>
            </w:r>
          </w:p>
          <w:p w:rsidR="002516B3" w:rsidRPr="008215BB" w:rsidRDefault="002516B3" w:rsidP="002516B3">
            <w:pPr>
              <w:spacing w:before="40" w:after="120"/>
              <w:jc w:val="center"/>
              <w:rPr>
                <w:rFonts w:cs="Times New Roman"/>
                <w:szCs w:val="20"/>
              </w:rPr>
            </w:pPr>
          </w:p>
        </w:tc>
      </w:tr>
      <w:tr w:rsidR="002516B3" w:rsidRPr="008215BB" w:rsidTr="002516B3">
        <w:tc>
          <w:tcPr>
            <w:tcW w:w="1132" w:type="dxa"/>
            <w:tcBorders>
              <w:top w:val="nil"/>
              <w:bottom w:val="nil"/>
            </w:tcBorders>
          </w:tcPr>
          <w:p w:rsidR="002516B3" w:rsidRPr="008215BB" w:rsidRDefault="002516B3" w:rsidP="002516B3">
            <w:pPr>
              <w:spacing w:before="40" w:after="120"/>
              <w:rPr>
                <w:rFonts w:cs="Times New Roman"/>
                <w:szCs w:val="20"/>
              </w:rPr>
            </w:pPr>
          </w:p>
        </w:tc>
        <w:tc>
          <w:tcPr>
            <w:tcW w:w="1308" w:type="dxa"/>
          </w:tcPr>
          <w:p w:rsidR="002516B3" w:rsidRPr="008215BB" w:rsidRDefault="002516B3" w:rsidP="002516B3">
            <w:pPr>
              <w:pStyle w:val="Tabletext9"/>
              <w:spacing w:before="40" w:after="120" w:line="240" w:lineRule="atLeast"/>
              <w:jc w:val="left"/>
              <w:rPr>
                <w:rFonts w:ascii="Times New Roman" w:hAnsi="Times New Roman"/>
                <w:sz w:val="20"/>
              </w:rPr>
            </w:pPr>
            <w:r w:rsidRPr="008215BB">
              <w:rPr>
                <w:rFonts w:ascii="Times New Roman" w:hAnsi="Times New Roman"/>
                <w:sz w:val="20"/>
                <w:lang w:val="ru-RU"/>
              </w:rPr>
              <w:t>Отслаивание и коррозия</w:t>
            </w:r>
          </w:p>
        </w:tc>
        <w:tc>
          <w:tcPr>
            <w:tcW w:w="1524" w:type="dxa"/>
          </w:tcPr>
          <w:p w:rsidR="002516B3" w:rsidRPr="008215BB" w:rsidRDefault="002516B3" w:rsidP="002516B3">
            <w:pPr>
              <w:pStyle w:val="Tabletext9"/>
              <w:spacing w:before="40" w:after="120" w:line="240" w:lineRule="atLeast"/>
              <w:jc w:val="center"/>
              <w:rPr>
                <w:rFonts w:ascii="Times New Roman" w:hAnsi="Times New Roman"/>
                <w:sz w:val="20"/>
              </w:rPr>
            </w:pPr>
            <w:r w:rsidRPr="008215BB">
              <w:rPr>
                <w:rFonts w:ascii="Times New Roman" w:hAnsi="Times New Roman"/>
                <w:sz w:val="20"/>
                <w:lang w:val="ru-RU"/>
              </w:rPr>
              <w:t>EN ISO 4628-3:2016</w:t>
            </w:r>
          </w:p>
        </w:tc>
        <w:tc>
          <w:tcPr>
            <w:tcW w:w="2977" w:type="dxa"/>
          </w:tcPr>
          <w:p w:rsidR="002516B3" w:rsidRPr="008215BB" w:rsidRDefault="002516B3" w:rsidP="002516B3">
            <w:pPr>
              <w:spacing w:before="40" w:after="120"/>
              <w:jc w:val="center"/>
              <w:rPr>
                <w:rFonts w:cs="Times New Roman"/>
                <w:szCs w:val="20"/>
              </w:rPr>
            </w:pPr>
            <w:r w:rsidRPr="008215BB">
              <w:rPr>
                <w:rFonts w:cs="Times New Roman"/>
                <w:szCs w:val="20"/>
              </w:rPr>
              <w:t xml:space="preserve">Максимальная степень </w:t>
            </w:r>
            <w:r w:rsidRPr="0039388F">
              <w:rPr>
                <w:rFonts w:cs="Times New Roman"/>
                <w:szCs w:val="20"/>
              </w:rPr>
              <w:br/>
            </w:r>
            <w:r w:rsidRPr="008215BB">
              <w:rPr>
                <w:rFonts w:cs="Times New Roman"/>
                <w:szCs w:val="20"/>
              </w:rPr>
              <w:t>коррозии:</w:t>
            </w:r>
          </w:p>
          <w:p w:rsidR="002516B3" w:rsidRPr="008215BB" w:rsidRDefault="002516B3" w:rsidP="002516B3">
            <w:pPr>
              <w:spacing w:before="40" w:after="120"/>
              <w:jc w:val="center"/>
              <w:rPr>
                <w:rFonts w:cs="Times New Roman"/>
                <w:szCs w:val="20"/>
              </w:rPr>
            </w:pPr>
            <w:r w:rsidRPr="008215BB">
              <w:rPr>
                <w:rFonts w:cs="Times New Roman"/>
                <w:szCs w:val="20"/>
              </w:rPr>
              <w:t>Ri2</w:t>
            </w:r>
          </w:p>
        </w:tc>
        <w:tc>
          <w:tcPr>
            <w:tcW w:w="1564" w:type="dxa"/>
          </w:tcPr>
          <w:p w:rsidR="002516B3" w:rsidRPr="008215BB" w:rsidRDefault="002516B3" w:rsidP="002516B3">
            <w:pPr>
              <w:spacing w:before="40" w:after="120"/>
              <w:jc w:val="center"/>
              <w:rPr>
                <w:rFonts w:cs="Times New Roman"/>
                <w:szCs w:val="20"/>
              </w:rPr>
            </w:pPr>
            <w:r w:rsidRPr="008215BB">
              <w:rPr>
                <w:rFonts w:cs="Times New Roman"/>
                <w:szCs w:val="20"/>
              </w:rPr>
              <w:t>Q/1 000</w:t>
            </w:r>
          </w:p>
        </w:tc>
      </w:tr>
      <w:tr w:rsidR="002516B3" w:rsidRPr="008215BB" w:rsidTr="002516B3">
        <w:tc>
          <w:tcPr>
            <w:tcW w:w="1132" w:type="dxa"/>
            <w:tcBorders>
              <w:top w:val="nil"/>
              <w:bottom w:val="single" w:sz="4" w:space="0" w:color="auto"/>
            </w:tcBorders>
          </w:tcPr>
          <w:p w:rsidR="002516B3" w:rsidRPr="008215BB" w:rsidRDefault="002516B3" w:rsidP="002516B3">
            <w:pPr>
              <w:spacing w:before="40" w:after="120"/>
              <w:rPr>
                <w:rFonts w:cs="Times New Roman"/>
                <w:szCs w:val="20"/>
              </w:rPr>
            </w:pPr>
          </w:p>
        </w:tc>
        <w:tc>
          <w:tcPr>
            <w:tcW w:w="1308" w:type="dxa"/>
          </w:tcPr>
          <w:p w:rsidR="002516B3" w:rsidRPr="0039388F" w:rsidRDefault="002516B3" w:rsidP="002516B3">
            <w:pPr>
              <w:pStyle w:val="Tabletext9"/>
              <w:spacing w:before="40" w:after="120" w:line="240" w:lineRule="atLeast"/>
              <w:jc w:val="left"/>
              <w:rPr>
                <w:rFonts w:ascii="Times New Roman" w:hAnsi="Times New Roman"/>
                <w:sz w:val="20"/>
                <w:lang w:val="ru-RU"/>
              </w:rPr>
            </w:pPr>
            <w:r w:rsidRPr="008215BB">
              <w:rPr>
                <w:rFonts w:ascii="Times New Roman" w:hAnsi="Times New Roman"/>
                <w:sz w:val="20"/>
                <w:lang w:val="ru-RU"/>
              </w:rPr>
              <w:t>Адгезия полиуретана</w:t>
            </w:r>
          </w:p>
        </w:tc>
        <w:tc>
          <w:tcPr>
            <w:tcW w:w="1524" w:type="dxa"/>
          </w:tcPr>
          <w:p w:rsidR="002516B3" w:rsidRPr="0039388F" w:rsidRDefault="002516B3" w:rsidP="002516B3">
            <w:pPr>
              <w:pStyle w:val="Tabletext9"/>
              <w:spacing w:before="40" w:after="0" w:line="240" w:lineRule="atLeast"/>
              <w:jc w:val="center"/>
              <w:rPr>
                <w:rFonts w:ascii="Times New Roman" w:hAnsi="Times New Roman"/>
                <w:sz w:val="20"/>
                <w:lang w:val="ru-RU"/>
              </w:rPr>
            </w:pPr>
            <w:r w:rsidRPr="008215BB">
              <w:rPr>
                <w:rFonts w:ascii="Times New Roman" w:hAnsi="Times New Roman"/>
                <w:sz w:val="20"/>
                <w:lang w:val="ru-RU"/>
              </w:rPr>
              <w:t>ISO 2859-1:1999 + А1: 2011</w:t>
            </w:r>
          </w:p>
          <w:p w:rsidR="002516B3" w:rsidRPr="0039388F" w:rsidRDefault="002516B3" w:rsidP="002516B3">
            <w:pPr>
              <w:pStyle w:val="Tabletext9"/>
              <w:spacing w:before="40" w:after="0" w:line="240" w:lineRule="atLeast"/>
              <w:jc w:val="center"/>
              <w:rPr>
                <w:rFonts w:ascii="Times New Roman" w:hAnsi="Times New Roman"/>
                <w:sz w:val="20"/>
                <w:lang w:val="ru-RU"/>
              </w:rPr>
            </w:pPr>
            <w:r w:rsidRPr="008215BB">
              <w:rPr>
                <w:rFonts w:ascii="Times New Roman" w:hAnsi="Times New Roman"/>
                <w:sz w:val="20"/>
                <w:lang w:val="ru-RU"/>
              </w:rPr>
              <w:t>EN 1442:2017</w:t>
            </w:r>
          </w:p>
          <w:p w:rsidR="002516B3" w:rsidRPr="0039388F" w:rsidRDefault="002516B3" w:rsidP="002516B3">
            <w:pPr>
              <w:pStyle w:val="Tabletext9"/>
              <w:spacing w:before="40" w:after="0" w:line="240" w:lineRule="atLeast"/>
              <w:jc w:val="center"/>
              <w:rPr>
                <w:rFonts w:ascii="Times New Roman" w:hAnsi="Times New Roman"/>
                <w:sz w:val="20"/>
                <w:lang w:val="ru-RU"/>
              </w:rPr>
            </w:pPr>
            <w:r w:rsidRPr="008215BB">
              <w:rPr>
                <w:rFonts w:ascii="Times New Roman" w:hAnsi="Times New Roman"/>
                <w:sz w:val="20"/>
                <w:lang w:val="ru-RU"/>
              </w:rPr>
              <w:t>EN 14140:2014 + AC:2015</w:t>
            </w:r>
          </w:p>
        </w:tc>
        <w:tc>
          <w:tcPr>
            <w:tcW w:w="2977" w:type="dxa"/>
          </w:tcPr>
          <w:p w:rsidR="002516B3" w:rsidRPr="008215BB" w:rsidRDefault="002516B3" w:rsidP="002516B3">
            <w:pPr>
              <w:spacing w:before="40" w:after="120"/>
              <w:jc w:val="center"/>
              <w:rPr>
                <w:rFonts w:cs="Times New Roman"/>
                <w:szCs w:val="20"/>
              </w:rPr>
            </w:pPr>
            <w:r>
              <w:rPr>
                <w:rFonts w:cs="Times New Roman"/>
                <w:szCs w:val="20"/>
              </w:rPr>
              <w:t>Значение адгезии &gt; 0,5 Н/мм²</w:t>
            </w:r>
          </w:p>
        </w:tc>
        <w:tc>
          <w:tcPr>
            <w:tcW w:w="1564" w:type="dxa"/>
          </w:tcPr>
          <w:p w:rsidR="002516B3" w:rsidRPr="008215BB" w:rsidRDefault="002516B3" w:rsidP="002516B3">
            <w:pPr>
              <w:spacing w:before="40" w:after="120"/>
              <w:jc w:val="center"/>
              <w:rPr>
                <w:rFonts w:cs="Times New Roman"/>
                <w:position w:val="-12"/>
                <w:szCs w:val="20"/>
              </w:rPr>
            </w:pPr>
            <w:r w:rsidRPr="008215BB">
              <w:rPr>
                <w:rFonts w:cs="Times New Roman"/>
                <w:szCs w:val="20"/>
              </w:rPr>
              <w:t>См. стандарт ISO 2859-1:1999 + А1: 2011 применительно к Q/1 000</w:t>
            </w:r>
          </w:p>
        </w:tc>
      </w:tr>
      <w:tr w:rsidR="002516B3" w:rsidRPr="008215BB" w:rsidTr="002516B3">
        <w:tc>
          <w:tcPr>
            <w:tcW w:w="1132" w:type="dxa"/>
            <w:tcBorders>
              <w:bottom w:val="nil"/>
            </w:tcBorders>
          </w:tcPr>
          <w:p w:rsidR="002516B3" w:rsidRPr="008215BB" w:rsidRDefault="002516B3" w:rsidP="002516B3">
            <w:pPr>
              <w:pStyle w:val="Tabletext9"/>
              <w:keepNext/>
              <w:spacing w:before="40" w:after="120" w:line="240" w:lineRule="atLeast"/>
              <w:jc w:val="left"/>
              <w:rPr>
                <w:rFonts w:ascii="Times New Roman" w:hAnsi="Times New Roman"/>
                <w:w w:val="105"/>
                <w:sz w:val="20"/>
                <w:lang w:val="ru-RU"/>
              </w:rPr>
            </w:pPr>
            <w:r>
              <w:rPr>
                <w:rFonts w:ascii="Times New Roman" w:hAnsi="Times New Roman"/>
                <w:sz w:val="20"/>
                <w:lang w:val="ru-RU"/>
              </w:rPr>
              <w:lastRenderedPageBreak/>
              <w:t>Затем каждые 5</w:t>
            </w:r>
            <w:r>
              <w:rPr>
                <w:rFonts w:ascii="Times New Roman" w:hAnsi="Times New Roman"/>
                <w:sz w:val="20"/>
                <w:lang w:val="en-US"/>
              </w:rPr>
              <w:t> </w:t>
            </w:r>
            <w:r w:rsidRPr="008215BB">
              <w:rPr>
                <w:rFonts w:ascii="Times New Roman" w:hAnsi="Times New Roman"/>
                <w:sz w:val="20"/>
                <w:lang w:val="ru-RU"/>
              </w:rPr>
              <w:t>лет</w:t>
            </w:r>
            <w:r w:rsidRPr="0039388F">
              <w:rPr>
                <w:rFonts w:ascii="Times New Roman" w:hAnsi="Times New Roman"/>
                <w:sz w:val="20"/>
                <w:lang w:val="ru-RU"/>
              </w:rPr>
              <w:t xml:space="preserve"> </w:t>
            </w:r>
            <w:r w:rsidRPr="0039388F">
              <w:rPr>
                <w:rFonts w:ascii="Times New Roman" w:hAnsi="Times New Roman"/>
                <w:sz w:val="20"/>
                <w:lang w:val="ru-RU"/>
              </w:rPr>
              <w:br/>
            </w:r>
            <w:r w:rsidRPr="008215BB">
              <w:rPr>
                <w:rFonts w:ascii="Times New Roman" w:hAnsi="Times New Roman"/>
                <w:sz w:val="20"/>
                <w:lang w:val="ru-RU"/>
              </w:rPr>
              <w:t>(см. f))</w:t>
            </w:r>
          </w:p>
          <w:p w:rsidR="002516B3" w:rsidRPr="008215BB" w:rsidRDefault="002516B3" w:rsidP="002516B3">
            <w:pPr>
              <w:keepNext/>
              <w:spacing w:before="40" w:after="120"/>
              <w:rPr>
                <w:rFonts w:cs="Times New Roman"/>
                <w:szCs w:val="20"/>
              </w:rPr>
            </w:pPr>
          </w:p>
        </w:tc>
        <w:tc>
          <w:tcPr>
            <w:tcW w:w="1308" w:type="dxa"/>
          </w:tcPr>
          <w:p w:rsidR="002516B3" w:rsidRPr="0039388F" w:rsidRDefault="002516B3" w:rsidP="002516B3">
            <w:pPr>
              <w:pStyle w:val="Tabletext9"/>
              <w:keepNext/>
              <w:spacing w:before="40" w:after="120" w:line="240" w:lineRule="atLeast"/>
              <w:jc w:val="left"/>
              <w:rPr>
                <w:rFonts w:ascii="Times New Roman" w:hAnsi="Times New Roman"/>
                <w:sz w:val="20"/>
                <w:lang w:val="ru-RU"/>
              </w:rPr>
            </w:pPr>
            <w:r w:rsidRPr="008215BB">
              <w:rPr>
                <w:rFonts w:ascii="Times New Roman" w:hAnsi="Times New Roman"/>
                <w:sz w:val="20"/>
                <w:lang w:val="ru-RU"/>
              </w:rPr>
              <w:t>Испытание на разрыв</w:t>
            </w:r>
          </w:p>
        </w:tc>
        <w:tc>
          <w:tcPr>
            <w:tcW w:w="1524" w:type="dxa"/>
          </w:tcPr>
          <w:p w:rsidR="002516B3" w:rsidRPr="0039388F" w:rsidRDefault="002516B3" w:rsidP="002516B3">
            <w:pPr>
              <w:pStyle w:val="Tabletext9"/>
              <w:keepNext/>
              <w:spacing w:before="40" w:after="120" w:line="240" w:lineRule="atLeast"/>
              <w:jc w:val="center"/>
              <w:rPr>
                <w:rFonts w:ascii="Times New Roman" w:hAnsi="Times New Roman"/>
                <w:sz w:val="20"/>
                <w:lang w:val="ru-RU"/>
              </w:rPr>
            </w:pPr>
            <w:r w:rsidRPr="008215BB">
              <w:rPr>
                <w:rFonts w:ascii="Times New Roman" w:hAnsi="Times New Roman"/>
                <w:sz w:val="20"/>
                <w:lang w:val="ru-RU"/>
              </w:rPr>
              <w:t>EN 1442:2017</w:t>
            </w:r>
          </w:p>
        </w:tc>
        <w:tc>
          <w:tcPr>
            <w:tcW w:w="2977" w:type="dxa"/>
          </w:tcPr>
          <w:p w:rsidR="002516B3" w:rsidRPr="008215BB" w:rsidRDefault="002516B3" w:rsidP="002516B3">
            <w:pPr>
              <w:keepNext/>
              <w:spacing w:before="40" w:after="120"/>
              <w:jc w:val="center"/>
              <w:rPr>
                <w:rFonts w:cs="Times New Roman"/>
                <w:szCs w:val="20"/>
              </w:rPr>
            </w:pPr>
            <w:r w:rsidRPr="008215BB">
              <w:rPr>
                <w:rFonts w:cs="Times New Roman"/>
                <w:szCs w:val="20"/>
              </w:rPr>
              <w:t>Точка давления разрыва для репрезентативного образца должна располагаться выше нижнего предела толерантного интервала на Диаграмме технических показателей образцов</w:t>
            </w:r>
          </w:p>
          <w:p w:rsidR="002516B3" w:rsidRPr="008215BB" w:rsidRDefault="002516B3" w:rsidP="002516B3">
            <w:pPr>
              <w:keepNext/>
              <w:spacing w:before="40" w:after="120"/>
              <w:jc w:val="center"/>
              <w:rPr>
                <w:rFonts w:cs="Times New Roman"/>
                <w:szCs w:val="20"/>
              </w:rPr>
            </w:pPr>
            <w:r w:rsidRPr="008215BB">
              <w:rPr>
                <w:rFonts w:cs="Times New Roman"/>
                <w:szCs w:val="20"/>
              </w:rPr>
              <w:t>Ω</w:t>
            </w:r>
            <w:r w:rsidRPr="0039388F">
              <w:rPr>
                <w:rFonts w:cs="Times New Roman"/>
                <w:szCs w:val="20"/>
                <w:vertAlign w:val="subscript"/>
              </w:rPr>
              <w:t>m</w:t>
            </w:r>
            <w:r w:rsidRPr="008215BB">
              <w:rPr>
                <w:rFonts w:cs="Times New Roman"/>
                <w:szCs w:val="20"/>
              </w:rPr>
              <w:t xml:space="preserve"> ≥ 1 + Ω</w:t>
            </w:r>
            <w:r w:rsidRPr="00192B7A">
              <w:rPr>
                <w:rFonts w:cs="Times New Roman"/>
                <w:szCs w:val="20"/>
                <w:vertAlign w:val="subscript"/>
              </w:rPr>
              <w:t>s</w:t>
            </w:r>
            <w:r w:rsidRPr="008215BB">
              <w:rPr>
                <w:rFonts w:cs="Times New Roman"/>
                <w:szCs w:val="20"/>
              </w:rPr>
              <w:t xml:space="preserve"> × k3(n;p;1-α)</w:t>
            </w:r>
            <w:r w:rsidRPr="00192B7A">
              <w:rPr>
                <w:rFonts w:cs="Times New Roman"/>
                <w:b/>
                <w:szCs w:val="20"/>
                <w:vertAlign w:val="superscript"/>
              </w:rPr>
              <w:t>a</w:t>
            </w:r>
          </w:p>
          <w:p w:rsidR="002516B3" w:rsidRPr="008215BB" w:rsidRDefault="002516B3" w:rsidP="002516B3">
            <w:pPr>
              <w:keepNext/>
              <w:spacing w:before="40" w:after="120"/>
              <w:jc w:val="center"/>
              <w:rPr>
                <w:rFonts w:cs="Times New Roman"/>
                <w:szCs w:val="20"/>
              </w:rPr>
            </w:pPr>
            <w:r w:rsidRPr="008215BB">
              <w:rPr>
                <w:rFonts w:cs="Times New Roman"/>
                <w:szCs w:val="20"/>
              </w:rPr>
              <w:t xml:space="preserve">Никакой отдельный результат испытания не должен быть меньше испытательного </w:t>
            </w:r>
            <w:r w:rsidRPr="00192B7A">
              <w:rPr>
                <w:rFonts w:cs="Times New Roman"/>
                <w:szCs w:val="20"/>
              </w:rPr>
              <w:br/>
            </w:r>
            <w:r w:rsidRPr="008215BB">
              <w:rPr>
                <w:rFonts w:cs="Times New Roman"/>
                <w:szCs w:val="20"/>
              </w:rPr>
              <w:t>давления</w:t>
            </w:r>
          </w:p>
        </w:tc>
        <w:tc>
          <w:tcPr>
            <w:tcW w:w="1564" w:type="dxa"/>
          </w:tcPr>
          <w:p w:rsidR="002516B3" w:rsidRPr="008215BB" w:rsidRDefault="002516B3" w:rsidP="002516B3">
            <w:pPr>
              <w:keepNext/>
              <w:spacing w:before="40" w:after="120"/>
              <w:jc w:val="center"/>
              <w:rPr>
                <w:rFonts w:cs="Times New Roman"/>
                <w:szCs w:val="20"/>
              </w:rPr>
            </w:pPr>
            <w:r w:rsidRPr="008215BB">
              <w:rPr>
                <w:rFonts w:cs="Times New Roman"/>
                <w:position w:val="-10"/>
                <w:szCs w:val="20"/>
              </w:rPr>
              <w:object w:dxaOrig="480" w:dyaOrig="360">
                <v:shape id="_x0000_i1026" type="#_x0000_t75" style="width:23.25pt;height:18pt" o:ole="">
                  <v:imagedata r:id="rId10" o:title=""/>
                </v:shape>
                <o:OLEObject Type="Embed" ProgID="Equation.3" ShapeID="_x0000_i1026" DrawAspect="Content" ObjectID="_1576484900" r:id="rId11"/>
              </w:object>
            </w:r>
            <w:r w:rsidRPr="008215BB">
              <w:rPr>
                <w:rFonts w:cs="Times New Roman"/>
                <w:szCs w:val="20"/>
              </w:rPr>
              <w:t>или Q/100, в зависимости от того, что ниже,</w:t>
            </w:r>
          </w:p>
          <w:p w:rsidR="002516B3" w:rsidRPr="008215BB" w:rsidRDefault="002516B3" w:rsidP="002516B3">
            <w:pPr>
              <w:keepNext/>
              <w:spacing w:before="40" w:after="120"/>
              <w:jc w:val="center"/>
              <w:rPr>
                <w:rFonts w:cs="Times New Roman"/>
                <w:szCs w:val="20"/>
              </w:rPr>
            </w:pPr>
            <w:r w:rsidRPr="008215BB">
              <w:rPr>
                <w:rFonts w:cs="Times New Roman"/>
                <w:szCs w:val="20"/>
              </w:rPr>
              <w:t>и</w:t>
            </w:r>
          </w:p>
          <w:p w:rsidR="002516B3" w:rsidRPr="008215BB" w:rsidRDefault="002516B3" w:rsidP="002516B3">
            <w:pPr>
              <w:keepNext/>
              <w:spacing w:before="40" w:after="120"/>
              <w:jc w:val="center"/>
              <w:rPr>
                <w:rFonts w:cs="Times New Roman"/>
                <w:szCs w:val="20"/>
              </w:rPr>
            </w:pPr>
            <w:r w:rsidRPr="008215BB">
              <w:rPr>
                <w:rFonts w:cs="Times New Roman"/>
                <w:szCs w:val="20"/>
              </w:rPr>
              <w:t>при минимальном количестве в 40 на партию (Q)</w:t>
            </w:r>
          </w:p>
          <w:p w:rsidR="002516B3" w:rsidRPr="008215BB" w:rsidRDefault="002516B3" w:rsidP="002516B3">
            <w:pPr>
              <w:keepNext/>
              <w:spacing w:before="40" w:after="120"/>
              <w:jc w:val="center"/>
              <w:rPr>
                <w:rFonts w:cs="Times New Roman"/>
                <w:szCs w:val="20"/>
              </w:rPr>
            </w:pPr>
          </w:p>
        </w:tc>
      </w:tr>
      <w:tr w:rsidR="002516B3" w:rsidRPr="008215BB" w:rsidTr="002516B3">
        <w:tc>
          <w:tcPr>
            <w:tcW w:w="1132" w:type="dxa"/>
            <w:tcBorders>
              <w:top w:val="nil"/>
              <w:bottom w:val="nil"/>
            </w:tcBorders>
          </w:tcPr>
          <w:p w:rsidR="002516B3" w:rsidRPr="008215BB" w:rsidRDefault="002516B3" w:rsidP="002516B3">
            <w:pPr>
              <w:spacing w:before="40" w:after="120"/>
              <w:rPr>
                <w:rFonts w:cs="Times New Roman"/>
                <w:szCs w:val="20"/>
              </w:rPr>
            </w:pPr>
          </w:p>
        </w:tc>
        <w:tc>
          <w:tcPr>
            <w:tcW w:w="1308" w:type="dxa"/>
          </w:tcPr>
          <w:p w:rsidR="002516B3" w:rsidRPr="008215BB" w:rsidRDefault="002516B3" w:rsidP="002516B3">
            <w:pPr>
              <w:pStyle w:val="Tabletext9"/>
              <w:spacing w:before="40" w:after="120" w:line="240" w:lineRule="atLeast"/>
              <w:jc w:val="left"/>
              <w:rPr>
                <w:rFonts w:ascii="Times New Roman" w:hAnsi="Times New Roman"/>
                <w:sz w:val="20"/>
              </w:rPr>
            </w:pPr>
            <w:r w:rsidRPr="008215BB">
              <w:rPr>
                <w:rFonts w:ascii="Times New Roman" w:hAnsi="Times New Roman"/>
                <w:sz w:val="20"/>
                <w:lang w:val="ru-RU"/>
              </w:rPr>
              <w:t>Отслаивание и коррозия</w:t>
            </w:r>
          </w:p>
        </w:tc>
        <w:tc>
          <w:tcPr>
            <w:tcW w:w="1524" w:type="dxa"/>
          </w:tcPr>
          <w:p w:rsidR="002516B3" w:rsidRPr="008215BB" w:rsidRDefault="002516B3" w:rsidP="002516B3">
            <w:pPr>
              <w:pStyle w:val="Tabletext9"/>
              <w:spacing w:before="40" w:after="120" w:line="240" w:lineRule="atLeast"/>
              <w:jc w:val="center"/>
              <w:rPr>
                <w:rFonts w:ascii="Times New Roman" w:hAnsi="Times New Roman"/>
                <w:sz w:val="20"/>
              </w:rPr>
            </w:pPr>
            <w:r w:rsidRPr="008215BB">
              <w:rPr>
                <w:rFonts w:ascii="Times New Roman" w:hAnsi="Times New Roman"/>
                <w:sz w:val="20"/>
                <w:lang w:val="ru-RU"/>
              </w:rPr>
              <w:t>EN ISO 4628-3:2016</w:t>
            </w:r>
          </w:p>
          <w:p w:rsidR="002516B3" w:rsidRPr="008215BB" w:rsidRDefault="002516B3" w:rsidP="002516B3">
            <w:pPr>
              <w:pStyle w:val="Tabletext9"/>
              <w:spacing w:before="40" w:after="120" w:line="240" w:lineRule="atLeast"/>
              <w:jc w:val="center"/>
              <w:rPr>
                <w:rFonts w:ascii="Times New Roman" w:hAnsi="Times New Roman"/>
                <w:sz w:val="20"/>
              </w:rPr>
            </w:pPr>
          </w:p>
        </w:tc>
        <w:tc>
          <w:tcPr>
            <w:tcW w:w="2977" w:type="dxa"/>
          </w:tcPr>
          <w:p w:rsidR="002516B3" w:rsidRPr="008215BB" w:rsidRDefault="002516B3" w:rsidP="002516B3">
            <w:pPr>
              <w:spacing w:before="40" w:after="120"/>
              <w:jc w:val="center"/>
              <w:rPr>
                <w:rFonts w:cs="Times New Roman"/>
                <w:szCs w:val="20"/>
              </w:rPr>
            </w:pPr>
            <w:r w:rsidRPr="008215BB">
              <w:rPr>
                <w:rFonts w:cs="Times New Roman"/>
                <w:szCs w:val="20"/>
              </w:rPr>
              <w:t>Максимальная степень коррозии:</w:t>
            </w:r>
          </w:p>
          <w:p w:rsidR="002516B3" w:rsidRPr="008215BB" w:rsidRDefault="002516B3" w:rsidP="002516B3">
            <w:pPr>
              <w:spacing w:before="40" w:after="120"/>
              <w:jc w:val="center"/>
              <w:rPr>
                <w:rFonts w:cs="Times New Roman"/>
                <w:szCs w:val="20"/>
              </w:rPr>
            </w:pPr>
            <w:r w:rsidRPr="008215BB">
              <w:rPr>
                <w:rFonts w:cs="Times New Roman"/>
                <w:szCs w:val="20"/>
              </w:rPr>
              <w:t>Ri2</w:t>
            </w:r>
          </w:p>
        </w:tc>
        <w:tc>
          <w:tcPr>
            <w:tcW w:w="1564" w:type="dxa"/>
          </w:tcPr>
          <w:p w:rsidR="002516B3" w:rsidRPr="008215BB" w:rsidRDefault="002516B3" w:rsidP="002516B3">
            <w:pPr>
              <w:spacing w:before="40" w:after="120"/>
              <w:jc w:val="center"/>
              <w:rPr>
                <w:rFonts w:cs="Times New Roman"/>
                <w:szCs w:val="20"/>
              </w:rPr>
            </w:pPr>
            <w:r w:rsidRPr="008215BB">
              <w:rPr>
                <w:rFonts w:cs="Times New Roman"/>
                <w:szCs w:val="20"/>
              </w:rPr>
              <w:t>Q/1 000</w:t>
            </w:r>
          </w:p>
        </w:tc>
      </w:tr>
      <w:tr w:rsidR="002516B3" w:rsidRPr="008215BB" w:rsidTr="002516B3">
        <w:tc>
          <w:tcPr>
            <w:tcW w:w="1132" w:type="dxa"/>
            <w:tcBorders>
              <w:top w:val="nil"/>
            </w:tcBorders>
          </w:tcPr>
          <w:p w:rsidR="002516B3" w:rsidRPr="008215BB" w:rsidRDefault="002516B3" w:rsidP="002516B3">
            <w:pPr>
              <w:spacing w:before="40" w:after="120"/>
              <w:rPr>
                <w:rFonts w:cs="Times New Roman"/>
                <w:szCs w:val="20"/>
              </w:rPr>
            </w:pPr>
          </w:p>
        </w:tc>
        <w:tc>
          <w:tcPr>
            <w:tcW w:w="1308" w:type="dxa"/>
          </w:tcPr>
          <w:p w:rsidR="002516B3" w:rsidRPr="008215BB" w:rsidRDefault="002516B3" w:rsidP="002516B3">
            <w:pPr>
              <w:pStyle w:val="Tabletext9"/>
              <w:spacing w:before="40" w:after="120" w:line="240" w:lineRule="atLeast"/>
              <w:jc w:val="left"/>
              <w:rPr>
                <w:rFonts w:ascii="Times New Roman" w:hAnsi="Times New Roman"/>
                <w:sz w:val="20"/>
              </w:rPr>
            </w:pPr>
            <w:r w:rsidRPr="008215BB">
              <w:rPr>
                <w:rFonts w:ascii="Times New Roman" w:hAnsi="Times New Roman"/>
                <w:sz w:val="20"/>
                <w:lang w:val="ru-RU"/>
              </w:rPr>
              <w:t>Адгезия полиуретана</w:t>
            </w:r>
          </w:p>
        </w:tc>
        <w:tc>
          <w:tcPr>
            <w:tcW w:w="1524" w:type="dxa"/>
          </w:tcPr>
          <w:p w:rsidR="002516B3" w:rsidRPr="008215BB" w:rsidRDefault="002516B3" w:rsidP="002516B3">
            <w:pPr>
              <w:pStyle w:val="Tabletext9"/>
              <w:spacing w:before="40" w:after="0" w:line="240" w:lineRule="atLeast"/>
              <w:jc w:val="center"/>
              <w:rPr>
                <w:rFonts w:ascii="Times New Roman" w:hAnsi="Times New Roman"/>
                <w:sz w:val="20"/>
              </w:rPr>
            </w:pPr>
            <w:r w:rsidRPr="008215BB">
              <w:rPr>
                <w:rFonts w:ascii="Times New Roman" w:hAnsi="Times New Roman"/>
                <w:sz w:val="20"/>
                <w:lang w:val="ru-RU"/>
              </w:rPr>
              <w:t xml:space="preserve">ISO 2859-1:1999 + </w:t>
            </w:r>
            <w:r>
              <w:rPr>
                <w:rFonts w:ascii="Times New Roman" w:hAnsi="Times New Roman"/>
                <w:sz w:val="20"/>
                <w:lang w:val="ru-RU"/>
              </w:rPr>
              <w:br/>
            </w:r>
            <w:r w:rsidRPr="008215BB">
              <w:rPr>
                <w:rFonts w:ascii="Times New Roman" w:hAnsi="Times New Roman"/>
                <w:sz w:val="20"/>
                <w:lang w:val="ru-RU"/>
              </w:rPr>
              <w:t>А1: 2011</w:t>
            </w:r>
          </w:p>
          <w:p w:rsidR="002516B3" w:rsidRPr="008215BB" w:rsidRDefault="002516B3" w:rsidP="002516B3">
            <w:pPr>
              <w:pStyle w:val="Tabletext9"/>
              <w:spacing w:before="40" w:after="0" w:line="240" w:lineRule="atLeast"/>
              <w:jc w:val="center"/>
              <w:rPr>
                <w:rFonts w:ascii="Times New Roman" w:hAnsi="Times New Roman"/>
                <w:sz w:val="20"/>
              </w:rPr>
            </w:pPr>
            <w:r w:rsidRPr="008215BB">
              <w:rPr>
                <w:rFonts w:ascii="Times New Roman" w:hAnsi="Times New Roman"/>
                <w:sz w:val="20"/>
                <w:lang w:val="ru-RU"/>
              </w:rPr>
              <w:t>EN 1442:2017</w:t>
            </w:r>
          </w:p>
          <w:p w:rsidR="002516B3" w:rsidRPr="008215BB" w:rsidRDefault="002516B3" w:rsidP="002516B3">
            <w:pPr>
              <w:pStyle w:val="Tabletext9"/>
              <w:spacing w:before="40" w:after="0" w:line="240" w:lineRule="atLeast"/>
              <w:jc w:val="center"/>
              <w:rPr>
                <w:rFonts w:ascii="Times New Roman" w:hAnsi="Times New Roman"/>
                <w:sz w:val="20"/>
              </w:rPr>
            </w:pPr>
            <w:r w:rsidRPr="008215BB">
              <w:rPr>
                <w:rFonts w:ascii="Times New Roman" w:hAnsi="Times New Roman"/>
                <w:sz w:val="20"/>
                <w:lang w:val="ru-RU"/>
              </w:rPr>
              <w:t>EN 14140:2014 + AC:2015</w:t>
            </w:r>
          </w:p>
        </w:tc>
        <w:tc>
          <w:tcPr>
            <w:tcW w:w="2977" w:type="dxa"/>
          </w:tcPr>
          <w:p w:rsidR="002516B3" w:rsidRPr="008215BB" w:rsidRDefault="002516B3" w:rsidP="002516B3">
            <w:pPr>
              <w:spacing w:before="40" w:after="120"/>
              <w:jc w:val="center"/>
              <w:rPr>
                <w:rFonts w:cs="Times New Roman"/>
                <w:szCs w:val="20"/>
              </w:rPr>
            </w:pPr>
            <w:r>
              <w:rPr>
                <w:rFonts w:cs="Times New Roman"/>
                <w:szCs w:val="20"/>
              </w:rPr>
              <w:t>Значение адгезии &gt; 0,5 Н/мм²</w:t>
            </w:r>
          </w:p>
        </w:tc>
        <w:tc>
          <w:tcPr>
            <w:tcW w:w="1564" w:type="dxa"/>
          </w:tcPr>
          <w:p w:rsidR="002516B3" w:rsidRPr="008215BB" w:rsidRDefault="002516B3" w:rsidP="002516B3">
            <w:pPr>
              <w:spacing w:before="40" w:after="120"/>
              <w:jc w:val="center"/>
              <w:rPr>
                <w:rFonts w:cs="Times New Roman"/>
                <w:position w:val="-12"/>
                <w:szCs w:val="20"/>
              </w:rPr>
            </w:pPr>
            <w:r w:rsidRPr="008215BB">
              <w:rPr>
                <w:rFonts w:cs="Times New Roman"/>
                <w:szCs w:val="20"/>
              </w:rPr>
              <w:t>См. стандарт ISO 2859-1:1999 + А1: 2011 применительно к Q/1 000</w:t>
            </w:r>
          </w:p>
        </w:tc>
      </w:tr>
    </w:tbl>
    <w:p w:rsidR="002516B3" w:rsidRPr="00A425E0" w:rsidRDefault="002516B3" w:rsidP="002516B3">
      <w:pPr>
        <w:pStyle w:val="SingleTxtGR"/>
        <w:spacing w:before="120"/>
        <w:rPr>
          <w:i/>
        </w:rPr>
      </w:pPr>
      <w:r w:rsidRPr="00192B7A">
        <w:rPr>
          <w:b/>
          <w:iCs/>
          <w:vertAlign w:val="superscript"/>
        </w:rPr>
        <w:t>a</w:t>
      </w:r>
      <w:r w:rsidRPr="00192B7A">
        <w:rPr>
          <w:b/>
        </w:rPr>
        <w:tab/>
      </w:r>
      <w:r w:rsidRPr="00A425E0">
        <w:rPr>
          <w:i/>
          <w:iCs/>
        </w:rPr>
        <w:t>Точка давления разрыва (ТДР) для репрезентативного образца используется для оценки результатов испытаний с использованием Диаграммы технических показателей образцов:</w:t>
      </w:r>
    </w:p>
    <w:p w:rsidR="002516B3" w:rsidRPr="00A425E0" w:rsidRDefault="002516B3" w:rsidP="002516B3">
      <w:pPr>
        <w:pStyle w:val="SingleTxtGR"/>
        <w:rPr>
          <w:i/>
        </w:rPr>
      </w:pPr>
      <w:r w:rsidRPr="00A425E0">
        <w:rPr>
          <w:i/>
          <w:iCs/>
        </w:rPr>
        <w:t>Шаг 1: Определение точки давления разрыва (ТДР) репрезентативного образца</w:t>
      </w:r>
      <w:r w:rsidRPr="00A425E0">
        <w:t xml:space="preserve"> </w:t>
      </w:r>
    </w:p>
    <w:p w:rsidR="002516B3" w:rsidRDefault="002516B3" w:rsidP="002516B3">
      <w:pPr>
        <w:pStyle w:val="SingleTxtGR"/>
        <w:rPr>
          <w:i/>
          <w:iCs/>
        </w:rPr>
      </w:pPr>
      <w:r w:rsidRPr="00A425E0">
        <w:rPr>
          <w:i/>
          <w:iCs/>
        </w:rPr>
        <w:t>Каждому образцу соответствует точка на диаграмме, в качестве одной из координат которой берут среднее арифметическое значение результатов испытаний на разрыв по данному образцу, а в качестве другой координаты – значение стандартного отклонения результатов испытаний на разрыв по данному образцу, в каждом случае с учетом соответствующего испытательного давления.</w:t>
      </w:r>
    </w:p>
    <w:p w:rsidR="002516B3" w:rsidRPr="00613D5A" w:rsidRDefault="002516B3" w:rsidP="002516B3">
      <w:pPr>
        <w:spacing w:after="120"/>
        <w:ind w:left="1701" w:right="1134"/>
        <w:jc w:val="center"/>
        <w:rPr>
          <w:i/>
          <w:sz w:val="24"/>
          <w:szCs w:val="24"/>
        </w:rPr>
      </w:pPr>
      <w:r>
        <w:rPr>
          <w:i/>
          <w:sz w:val="24"/>
          <w:szCs w:val="24"/>
        </w:rPr>
        <w:t>ТДР</w:t>
      </w:r>
      <w:r w:rsidRPr="00613D5A">
        <w:rPr>
          <w:i/>
          <w:sz w:val="24"/>
          <w:szCs w:val="24"/>
        </w:rPr>
        <w:t>:(Ω</w:t>
      </w:r>
      <w:r w:rsidRPr="00613D5A">
        <w:rPr>
          <w:i/>
          <w:sz w:val="24"/>
          <w:szCs w:val="24"/>
          <w:vertAlign w:val="subscript"/>
          <w:lang w:val="en-US"/>
        </w:rPr>
        <w:t>s</w:t>
      </w:r>
      <w:r w:rsidRPr="00613D5A">
        <w:rPr>
          <w:i/>
          <w:sz w:val="24"/>
          <w:szCs w:val="24"/>
          <w:vertAlign w:val="subscript"/>
        </w:rPr>
        <w:t xml:space="preserve"> </w:t>
      </w:r>
      <w:r w:rsidRPr="00613D5A">
        <w:rPr>
          <w:i/>
          <w:sz w:val="24"/>
          <w:szCs w:val="24"/>
        </w:rPr>
        <w:t xml:space="preserve">= </w:t>
      </w:r>
      <m:oMath>
        <m:f>
          <m:fPr>
            <m:ctrlPr>
              <w:rPr>
                <w:rFonts w:ascii="Cambria Math" w:hAnsi="Cambria Math"/>
                <w:i/>
                <w:sz w:val="24"/>
                <w:szCs w:val="24"/>
              </w:rPr>
            </m:ctrlPr>
          </m:fPr>
          <m:num>
            <m:r>
              <w:rPr>
                <w:rFonts w:ascii="Cambria Math" w:hAnsi="Cambria Math"/>
                <w:sz w:val="24"/>
                <w:szCs w:val="24"/>
              </w:rPr>
              <m:t>s</m:t>
            </m:r>
          </m:num>
          <m:den>
            <m:r>
              <w:rPr>
                <w:rFonts w:ascii="Cambria Math" w:hAnsi="Cambria Math"/>
                <w:sz w:val="24"/>
                <w:szCs w:val="24"/>
              </w:rPr>
              <m:t>PH</m:t>
            </m:r>
          </m:den>
        </m:f>
      </m:oMath>
      <w:r w:rsidRPr="00613D5A">
        <w:rPr>
          <w:i/>
          <w:sz w:val="24"/>
          <w:szCs w:val="24"/>
        </w:rPr>
        <w:t xml:space="preserve"> ; Ω</w:t>
      </w:r>
      <w:r w:rsidRPr="00613D5A">
        <w:rPr>
          <w:i/>
          <w:sz w:val="24"/>
          <w:szCs w:val="24"/>
          <w:vertAlign w:val="subscript"/>
          <w:lang w:val="en-US"/>
        </w:rPr>
        <w:t>m</w:t>
      </w:r>
      <w:r w:rsidRPr="00613D5A">
        <w:rPr>
          <w:i/>
          <w:sz w:val="24"/>
          <w:szCs w:val="24"/>
          <w:vertAlign w:val="subscript"/>
        </w:rPr>
        <w:t xml:space="preserve"> </w:t>
      </w:r>
      <w:r w:rsidRPr="00613D5A">
        <w:rPr>
          <w:i/>
          <w:sz w:val="24"/>
          <w:szCs w:val="24"/>
        </w:rPr>
        <w:t xml:space="preserve">= </w:t>
      </w:r>
      <m:oMath>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PH</m:t>
            </m:r>
          </m:den>
        </m:f>
        <m:r>
          <w:rPr>
            <w:rFonts w:ascii="Cambria Math" w:hAnsi="Cambria Math"/>
            <w:sz w:val="24"/>
            <w:szCs w:val="24"/>
          </w:rPr>
          <m:t xml:space="preserve"> </m:t>
        </m:r>
      </m:oMath>
      <w:r w:rsidRPr="00613D5A">
        <w:rPr>
          <w:i/>
          <w:sz w:val="24"/>
          <w:szCs w:val="24"/>
        </w:rPr>
        <w:t>)</w:t>
      </w:r>
      <w:r w:rsidRPr="00613D5A">
        <w:rPr>
          <w:sz w:val="24"/>
          <w:szCs w:val="24"/>
        </w:rPr>
        <w:t>,</w:t>
      </w:r>
    </w:p>
    <w:p w:rsidR="002516B3" w:rsidRPr="00A425E0" w:rsidRDefault="002516B3" w:rsidP="002516B3">
      <w:pPr>
        <w:pStyle w:val="SingleTxtGR"/>
        <w:rPr>
          <w:i/>
        </w:rPr>
      </w:pPr>
      <w:r w:rsidRPr="00A425E0">
        <w:rPr>
          <w:i/>
          <w:iCs/>
        </w:rPr>
        <w:t>где</w:t>
      </w:r>
    </w:p>
    <w:p w:rsidR="002516B3" w:rsidRPr="00A425E0" w:rsidRDefault="002516B3" w:rsidP="002516B3">
      <w:pPr>
        <w:pStyle w:val="SingleTxtGR"/>
        <w:rPr>
          <w:i/>
        </w:rPr>
      </w:pPr>
      <w:r w:rsidRPr="00A425E0">
        <w:rPr>
          <w:i/>
          <w:iCs/>
        </w:rPr>
        <w:t>х – среднее значение для образца;</w:t>
      </w:r>
    </w:p>
    <w:p w:rsidR="002516B3" w:rsidRPr="00A425E0" w:rsidRDefault="002516B3" w:rsidP="002516B3">
      <w:pPr>
        <w:pStyle w:val="SingleTxtGR"/>
        <w:rPr>
          <w:i/>
        </w:rPr>
      </w:pPr>
      <w:r w:rsidRPr="00A425E0">
        <w:rPr>
          <w:i/>
          <w:iCs/>
        </w:rPr>
        <w:t>s – стандартное отклонение для образца;</w:t>
      </w:r>
    </w:p>
    <w:p w:rsidR="002516B3" w:rsidRPr="00A425E0" w:rsidRDefault="002516B3" w:rsidP="002516B3">
      <w:pPr>
        <w:pStyle w:val="SingleTxtGR"/>
        <w:rPr>
          <w:i/>
        </w:rPr>
      </w:pPr>
      <w:r w:rsidRPr="00A425E0">
        <w:rPr>
          <w:i/>
          <w:iCs/>
        </w:rPr>
        <w:t>PH – испытательное давление.</w:t>
      </w:r>
    </w:p>
    <w:p w:rsidR="002516B3" w:rsidRPr="00A425E0" w:rsidRDefault="002516B3" w:rsidP="002516B3">
      <w:pPr>
        <w:pStyle w:val="SingleTxtGR"/>
        <w:rPr>
          <w:i/>
        </w:rPr>
      </w:pPr>
      <w:r w:rsidRPr="00A425E0">
        <w:rPr>
          <w:i/>
          <w:iCs/>
        </w:rPr>
        <w:t>Шаг 2: Нанесение точек на Диаграмму технических показателей образцов</w:t>
      </w:r>
    </w:p>
    <w:p w:rsidR="002516B3" w:rsidRPr="00A425E0" w:rsidRDefault="002516B3" w:rsidP="002516B3">
      <w:pPr>
        <w:pStyle w:val="SingleTxtGR"/>
        <w:rPr>
          <w:i/>
        </w:rPr>
      </w:pPr>
      <w:r w:rsidRPr="00A425E0">
        <w:rPr>
          <w:i/>
          <w:iCs/>
        </w:rPr>
        <w:t>Каждую ТДР располагают на Диаграмме технических показателей образцов, используя следующие координаты:</w:t>
      </w:r>
    </w:p>
    <w:p w:rsidR="002516B3" w:rsidRPr="00A425E0" w:rsidRDefault="002516B3" w:rsidP="002516B3">
      <w:pPr>
        <w:pStyle w:val="SingleTxtGR"/>
        <w:rPr>
          <w:i/>
        </w:rPr>
      </w:pPr>
      <w:r>
        <w:t>–</w:t>
      </w:r>
      <w:r w:rsidRPr="00A425E0">
        <w:tab/>
      </w:r>
      <w:r w:rsidRPr="00A425E0">
        <w:rPr>
          <w:i/>
          <w:iCs/>
        </w:rPr>
        <w:t>абсцисса – стандартное отклонение, нормированное по испытательному давлению (Ω</w:t>
      </w:r>
      <w:r w:rsidRPr="00FC387A">
        <w:rPr>
          <w:i/>
          <w:iCs/>
          <w:vertAlign w:val="subscript"/>
        </w:rPr>
        <w:t>s</w:t>
      </w:r>
      <w:r w:rsidRPr="00A425E0">
        <w:rPr>
          <w:i/>
          <w:iCs/>
        </w:rPr>
        <w:t>);</w:t>
      </w:r>
    </w:p>
    <w:p w:rsidR="002516B3" w:rsidRPr="00A425E0" w:rsidRDefault="002516B3" w:rsidP="002516B3">
      <w:pPr>
        <w:pStyle w:val="SingleTxtGR"/>
        <w:rPr>
          <w:i/>
        </w:rPr>
      </w:pPr>
      <w:r>
        <w:t>–</w:t>
      </w:r>
      <w:r w:rsidRPr="00A425E0">
        <w:tab/>
      </w:r>
      <w:r w:rsidRPr="00A425E0">
        <w:rPr>
          <w:i/>
          <w:iCs/>
        </w:rPr>
        <w:t>ордината – среднее арифметическое, нормированное по испытательному давлению (Ω</w:t>
      </w:r>
      <w:r w:rsidRPr="00FC387A">
        <w:rPr>
          <w:i/>
          <w:iCs/>
          <w:vertAlign w:val="subscript"/>
        </w:rPr>
        <w:t>m</w:t>
      </w:r>
      <w:r w:rsidRPr="00A425E0">
        <w:rPr>
          <w:i/>
          <w:iCs/>
        </w:rPr>
        <w:t>).</w:t>
      </w:r>
    </w:p>
    <w:p w:rsidR="002516B3" w:rsidRPr="00A425E0" w:rsidRDefault="002516B3" w:rsidP="002516B3">
      <w:pPr>
        <w:pStyle w:val="SingleTxtGR"/>
        <w:rPr>
          <w:i/>
        </w:rPr>
      </w:pPr>
      <w:r w:rsidRPr="00A425E0">
        <w:rPr>
          <w:i/>
          <w:iCs/>
        </w:rPr>
        <w:t>Шаг 3: Определение нижнего предела соответствующего толерантного интервала на Диаграмме технических показателей образцов</w:t>
      </w:r>
    </w:p>
    <w:p w:rsidR="002516B3" w:rsidRPr="00A425E0" w:rsidRDefault="002516B3" w:rsidP="002516B3">
      <w:pPr>
        <w:pStyle w:val="SingleTxtGR"/>
        <w:rPr>
          <w:i/>
        </w:rPr>
      </w:pPr>
      <w:r w:rsidRPr="00A425E0">
        <w:rPr>
          <w:i/>
          <w:iCs/>
        </w:rPr>
        <w:t xml:space="preserve">Результаты по давлению разрыва должны сначала быть проверены с помощью комбинированного теста (многонаправленного теста) с использованием уровня </w:t>
      </w:r>
      <w:r w:rsidRPr="00A425E0">
        <w:rPr>
          <w:i/>
          <w:iCs/>
        </w:rPr>
        <w:lastRenderedPageBreak/>
        <w:t>значимости α</w:t>
      </w:r>
      <w:r>
        <w:rPr>
          <w:i/>
          <w:iCs/>
        </w:rPr>
        <w:t xml:space="preserve"> </w:t>
      </w:r>
      <w:r w:rsidRPr="00A425E0">
        <w:rPr>
          <w:i/>
          <w:iCs/>
        </w:rPr>
        <w:t>=</w:t>
      </w:r>
      <w:r>
        <w:rPr>
          <w:i/>
          <w:iCs/>
        </w:rPr>
        <w:t xml:space="preserve"> </w:t>
      </w:r>
      <w:r w:rsidRPr="00A425E0">
        <w:rPr>
          <w:i/>
          <w:iCs/>
        </w:rPr>
        <w:t>0,05 (см. пункт 7 стандарта ISO 5479:1997), с тем чтобы определить, является ли распределение результатов по каждому образцу нормальным или ненормальным.</w:t>
      </w:r>
    </w:p>
    <w:p w:rsidR="002516B3" w:rsidRPr="00A425E0" w:rsidRDefault="002516B3" w:rsidP="002516B3">
      <w:pPr>
        <w:pStyle w:val="SingleTxtGR"/>
        <w:rPr>
          <w:i/>
        </w:rPr>
      </w:pPr>
      <w:r>
        <w:t>–</w:t>
      </w:r>
      <w:r w:rsidRPr="00A425E0">
        <w:tab/>
      </w:r>
      <w:r w:rsidRPr="00A425E0">
        <w:rPr>
          <w:i/>
          <w:iCs/>
        </w:rPr>
        <w:t>Для нормального распределения процедура определения нижнего предела соответствующего толерантного интервала приведена в шаге 3.1.</w:t>
      </w:r>
    </w:p>
    <w:p w:rsidR="002516B3" w:rsidRPr="00A425E0" w:rsidRDefault="002516B3" w:rsidP="002516B3">
      <w:pPr>
        <w:pStyle w:val="SingleTxtGR"/>
        <w:rPr>
          <w:i/>
        </w:rPr>
      </w:pPr>
      <w:r>
        <w:t>–</w:t>
      </w:r>
      <w:r w:rsidRPr="00A425E0">
        <w:tab/>
      </w:r>
      <w:r w:rsidRPr="00A425E0">
        <w:rPr>
          <w:i/>
          <w:iCs/>
        </w:rPr>
        <w:t>Для ненормального распределения процедура определения нижнего предела соответствующего толерантного интервала приведена в шаге 3.2.</w:t>
      </w:r>
    </w:p>
    <w:p w:rsidR="002516B3" w:rsidRPr="00A425E0" w:rsidRDefault="002516B3" w:rsidP="002516B3">
      <w:pPr>
        <w:pStyle w:val="SingleTxtGR"/>
        <w:rPr>
          <w:i/>
        </w:rPr>
      </w:pPr>
      <w:r w:rsidRPr="00A425E0">
        <w:rPr>
          <w:i/>
          <w:iCs/>
        </w:rPr>
        <w:t>Шаг 3.1: Нижний предел толерантного интервала для результатов в случае нормального распределения</w:t>
      </w:r>
    </w:p>
    <w:p w:rsidR="002516B3" w:rsidRPr="00A425E0" w:rsidRDefault="002516B3" w:rsidP="002516B3">
      <w:pPr>
        <w:pStyle w:val="SingleTxtGR"/>
        <w:rPr>
          <w:i/>
        </w:rPr>
      </w:pPr>
      <w:r w:rsidRPr="00A425E0">
        <w:rPr>
          <w:i/>
          <w:iCs/>
        </w:rPr>
        <w:t>В соответствии со стандартом ISO 16269-6:2014 и с учетом того, что отклонение неизвестно, односторонний статистический толерантный интервал рассчитывается при доверительном пределе 95% и доли совокупности, равной 99,9999%.</w:t>
      </w:r>
    </w:p>
    <w:p w:rsidR="002516B3" w:rsidRPr="00A425E0" w:rsidRDefault="002516B3" w:rsidP="002516B3">
      <w:pPr>
        <w:pStyle w:val="SingleTxtGR"/>
        <w:rPr>
          <w:i/>
        </w:rPr>
      </w:pPr>
      <w:r w:rsidRPr="00A425E0">
        <w:rPr>
          <w:i/>
          <w:iCs/>
        </w:rPr>
        <w:t>При наложении на Диаграмму технических показателей образцов нижний предел толерантного интервала представляет собой линию, отражающую постоянный коэффициент надежности, определяемый по формуле:</w:t>
      </w:r>
    </w:p>
    <w:p w:rsidR="002516B3" w:rsidRPr="00A425E0" w:rsidRDefault="002516B3" w:rsidP="002516B3">
      <w:pPr>
        <w:pStyle w:val="SingleTxtGR"/>
        <w:jc w:val="center"/>
        <w:rPr>
          <w:b/>
          <w:i/>
        </w:rPr>
      </w:pPr>
      <w:r w:rsidRPr="00A425E0">
        <w:rPr>
          <w:b/>
          <w:bCs/>
          <w:i/>
          <w:iCs/>
        </w:rPr>
        <w:t>Ω</w:t>
      </w:r>
      <w:r w:rsidRPr="00FC387A">
        <w:rPr>
          <w:b/>
          <w:bCs/>
          <w:i/>
          <w:iCs/>
          <w:vertAlign w:val="subscript"/>
        </w:rPr>
        <w:t>m</w:t>
      </w:r>
      <w:r w:rsidRPr="00A425E0">
        <w:rPr>
          <w:b/>
          <w:bCs/>
          <w:i/>
          <w:iCs/>
        </w:rPr>
        <w:t xml:space="preserve"> = 1 + Ω</w:t>
      </w:r>
      <w:r w:rsidRPr="00FC387A">
        <w:rPr>
          <w:b/>
          <w:bCs/>
          <w:i/>
          <w:iCs/>
          <w:vertAlign w:val="subscript"/>
        </w:rPr>
        <w:t>s</w:t>
      </w:r>
      <w:r w:rsidRPr="00A425E0">
        <w:rPr>
          <w:b/>
          <w:bCs/>
          <w:i/>
          <w:iCs/>
        </w:rPr>
        <w:t xml:space="preserve"> × k3(n;p;1-α)</w:t>
      </w:r>
      <w:r w:rsidRPr="00FC387A">
        <w:rPr>
          <w:bCs/>
          <w:iCs/>
        </w:rPr>
        <w:t>,</w:t>
      </w:r>
    </w:p>
    <w:p w:rsidR="002516B3" w:rsidRPr="00A425E0" w:rsidRDefault="002516B3" w:rsidP="002516B3">
      <w:pPr>
        <w:pStyle w:val="SingleTxtGR"/>
        <w:rPr>
          <w:i/>
        </w:rPr>
      </w:pPr>
      <w:r w:rsidRPr="00A425E0">
        <w:rPr>
          <w:i/>
          <w:iCs/>
        </w:rPr>
        <w:t>где</w:t>
      </w:r>
    </w:p>
    <w:p w:rsidR="002516B3" w:rsidRPr="00A425E0" w:rsidRDefault="002516B3" w:rsidP="002516B3">
      <w:pPr>
        <w:pStyle w:val="SingleTxtGR"/>
        <w:rPr>
          <w:i/>
        </w:rPr>
      </w:pPr>
      <w:r w:rsidRPr="00A425E0">
        <w:rPr>
          <w:i/>
          <w:iCs/>
        </w:rPr>
        <w:t>k3 − факторная функция n, р и 1-α;</w:t>
      </w:r>
    </w:p>
    <w:p w:rsidR="002516B3" w:rsidRPr="00A425E0" w:rsidRDefault="002516B3" w:rsidP="002516B3">
      <w:pPr>
        <w:pStyle w:val="SingleTxtGR"/>
        <w:rPr>
          <w:i/>
        </w:rPr>
      </w:pPr>
      <w:r w:rsidRPr="00A425E0">
        <w:rPr>
          <w:i/>
          <w:iCs/>
        </w:rPr>
        <w:t>р – доля совокупности, выбранная для толерантного интервала (99,9999%);</w:t>
      </w:r>
    </w:p>
    <w:p w:rsidR="002516B3" w:rsidRPr="00A425E0" w:rsidRDefault="002516B3" w:rsidP="002516B3">
      <w:pPr>
        <w:pStyle w:val="SingleTxtGR"/>
        <w:rPr>
          <w:i/>
        </w:rPr>
      </w:pPr>
      <w:r w:rsidRPr="00A425E0">
        <w:rPr>
          <w:i/>
          <w:iCs/>
        </w:rPr>
        <w:t>1-α – доверительный предел (95%);</w:t>
      </w:r>
    </w:p>
    <w:p w:rsidR="002516B3" w:rsidRPr="00A425E0" w:rsidRDefault="002516B3" w:rsidP="002516B3">
      <w:pPr>
        <w:pStyle w:val="SingleTxtGR"/>
        <w:rPr>
          <w:i/>
        </w:rPr>
      </w:pPr>
      <w:r w:rsidRPr="00A425E0">
        <w:rPr>
          <w:i/>
          <w:iCs/>
        </w:rPr>
        <w:t>n – размер выборки.</w:t>
      </w:r>
    </w:p>
    <w:p w:rsidR="002516B3" w:rsidRPr="00A425E0" w:rsidRDefault="002516B3" w:rsidP="002516B3">
      <w:pPr>
        <w:pStyle w:val="SingleTxtGR"/>
        <w:rPr>
          <w:i/>
        </w:rPr>
      </w:pPr>
      <w:r w:rsidRPr="00A425E0">
        <w:rPr>
          <w:i/>
          <w:iCs/>
        </w:rPr>
        <w:t>Значения k3, предназначенные для нормального распределения, берут из таблицы, приведенной в конце шага 3.</w:t>
      </w:r>
    </w:p>
    <w:p w:rsidR="002516B3" w:rsidRPr="00A425E0" w:rsidRDefault="002516B3" w:rsidP="002516B3">
      <w:pPr>
        <w:pStyle w:val="SingleTxtGR"/>
        <w:rPr>
          <w:i/>
        </w:rPr>
      </w:pPr>
      <w:r w:rsidRPr="00A425E0">
        <w:rPr>
          <w:i/>
          <w:iCs/>
        </w:rPr>
        <w:t>Шаг 3.2: Нижний предел толерантного интервала для результатов в случае ненормального распределения</w:t>
      </w:r>
    </w:p>
    <w:p w:rsidR="002516B3" w:rsidRPr="00A425E0" w:rsidRDefault="002516B3" w:rsidP="002516B3">
      <w:pPr>
        <w:pStyle w:val="SingleTxtGR"/>
        <w:rPr>
          <w:i/>
        </w:rPr>
      </w:pPr>
      <w:r w:rsidRPr="00A425E0">
        <w:rPr>
          <w:i/>
          <w:iCs/>
        </w:rPr>
        <w:t>Односторонний статистический толерантный интервал рассчитывается при доверительном пределе 95% и доли совокупности, равной 99,9999%.</w:t>
      </w:r>
    </w:p>
    <w:p w:rsidR="002516B3" w:rsidRPr="00A425E0" w:rsidRDefault="002516B3" w:rsidP="002516B3">
      <w:pPr>
        <w:pStyle w:val="SingleTxtGR"/>
        <w:rPr>
          <w:i/>
        </w:rPr>
      </w:pPr>
      <w:r w:rsidRPr="00A425E0">
        <w:rPr>
          <w:i/>
          <w:iCs/>
        </w:rPr>
        <w:t>Нижний предел толерантного интервала представляет собой линию, отражающую постоянный коэффициент надежности, определяемый по приведенной в шаге 3.1 формуле, где коэффициенты k3 рассчитываются на основе свойств распределения Вейбулла.</w:t>
      </w:r>
    </w:p>
    <w:p w:rsidR="002516B3" w:rsidRPr="00A425E0" w:rsidRDefault="002516B3" w:rsidP="002516B3">
      <w:pPr>
        <w:pStyle w:val="SingleTxtGR"/>
        <w:rPr>
          <w:i/>
        </w:rPr>
      </w:pPr>
      <w:r w:rsidRPr="00A425E0">
        <w:rPr>
          <w:i/>
          <w:iCs/>
        </w:rPr>
        <w:t>Значения k3, предназначенные для распределения Вейбулла, берут из таблицы, приведенной в конце шага 3.</w:t>
      </w:r>
    </w:p>
    <w:tbl>
      <w:tblPr>
        <w:tblStyle w:val="TableGrid"/>
        <w:tblW w:w="0" w:type="auto"/>
        <w:tblInd w:w="1134" w:type="dxa"/>
        <w:tblLayout w:type="fixed"/>
        <w:tblLook w:val="04A0" w:firstRow="1" w:lastRow="0" w:firstColumn="1" w:lastColumn="0" w:noHBand="0" w:noVBand="1"/>
      </w:tblPr>
      <w:tblGrid>
        <w:gridCol w:w="2468"/>
        <w:gridCol w:w="2404"/>
        <w:gridCol w:w="2499"/>
      </w:tblGrid>
      <w:tr w:rsidR="002516B3" w:rsidRPr="00C33081" w:rsidTr="002516B3">
        <w:trPr>
          <w:tblHeader/>
        </w:trPr>
        <w:tc>
          <w:tcPr>
            <w:tcW w:w="7371" w:type="dxa"/>
            <w:gridSpan w:val="3"/>
          </w:tcPr>
          <w:p w:rsidR="002516B3" w:rsidRPr="007A0339" w:rsidRDefault="002516B3" w:rsidP="002516B3">
            <w:pPr>
              <w:tabs>
                <w:tab w:val="left" w:pos="2423"/>
              </w:tabs>
              <w:spacing w:before="40" w:after="40"/>
              <w:jc w:val="center"/>
              <w:rPr>
                <w:i/>
              </w:rPr>
            </w:pPr>
            <w:r>
              <w:rPr>
                <w:b/>
                <w:bCs/>
                <w:i/>
                <w:iCs/>
              </w:rPr>
              <w:t>Таблица значений для k3</w:t>
            </w:r>
            <w:r w:rsidRPr="00C33081">
              <w:rPr>
                <w:b/>
                <w:i/>
                <w:sz w:val="18"/>
                <w:szCs w:val="18"/>
              </w:rPr>
              <w:br/>
            </w:r>
            <w:r>
              <w:rPr>
                <w:i/>
                <w:iCs/>
              </w:rPr>
              <w:t>p = 99,9999% и (1-α) = 0,95</w:t>
            </w:r>
          </w:p>
        </w:tc>
      </w:tr>
      <w:tr w:rsidR="002516B3" w:rsidRPr="00C71A32" w:rsidTr="002516B3">
        <w:trPr>
          <w:tblHeader/>
        </w:trPr>
        <w:tc>
          <w:tcPr>
            <w:tcW w:w="2468" w:type="dxa"/>
          </w:tcPr>
          <w:p w:rsidR="002516B3" w:rsidRPr="00C71A32" w:rsidRDefault="002516B3" w:rsidP="002516B3">
            <w:pPr>
              <w:pStyle w:val="SingleTxtG"/>
              <w:ind w:left="0" w:right="204"/>
              <w:jc w:val="center"/>
              <w:rPr>
                <w:i/>
              </w:rPr>
            </w:pPr>
            <w:r>
              <w:rPr>
                <w:b/>
                <w:bCs/>
                <w:i/>
                <w:iCs/>
                <w:lang w:val="ru-RU"/>
              </w:rPr>
              <w:t>Размер выборки</w:t>
            </w:r>
            <w:r w:rsidRPr="00C71A32">
              <w:rPr>
                <w:b/>
                <w:i/>
                <w:sz w:val="18"/>
                <w:szCs w:val="18"/>
              </w:rPr>
              <w:br/>
            </w:r>
            <w:r>
              <w:rPr>
                <w:b/>
                <w:bCs/>
                <w:i/>
                <w:iCs/>
                <w:lang w:val="ru-RU"/>
              </w:rPr>
              <w:t xml:space="preserve"> n</w:t>
            </w:r>
          </w:p>
        </w:tc>
        <w:tc>
          <w:tcPr>
            <w:tcW w:w="2404" w:type="dxa"/>
          </w:tcPr>
          <w:p w:rsidR="002516B3" w:rsidRPr="00C71A32" w:rsidRDefault="002516B3" w:rsidP="002516B3">
            <w:pPr>
              <w:pStyle w:val="SingleTxtG"/>
              <w:ind w:left="0" w:right="55"/>
              <w:jc w:val="center"/>
              <w:rPr>
                <w:i/>
              </w:rPr>
            </w:pPr>
            <w:r>
              <w:rPr>
                <w:b/>
                <w:bCs/>
                <w:i/>
                <w:iCs/>
                <w:lang w:val="ru-RU"/>
              </w:rPr>
              <w:t>Нормальное распределение</w:t>
            </w:r>
            <w:r w:rsidRPr="00C71A32">
              <w:rPr>
                <w:b/>
                <w:i/>
                <w:sz w:val="18"/>
                <w:szCs w:val="18"/>
              </w:rPr>
              <w:br/>
            </w:r>
            <w:r>
              <w:rPr>
                <w:b/>
                <w:bCs/>
                <w:i/>
                <w:iCs/>
                <w:lang w:val="ru-RU"/>
              </w:rPr>
              <w:t>k3</w:t>
            </w:r>
          </w:p>
        </w:tc>
        <w:tc>
          <w:tcPr>
            <w:tcW w:w="2499" w:type="dxa"/>
          </w:tcPr>
          <w:p w:rsidR="002516B3" w:rsidRPr="00C71A32" w:rsidRDefault="002516B3" w:rsidP="002516B3">
            <w:pPr>
              <w:pStyle w:val="SingleTxtG"/>
              <w:ind w:left="0" w:right="0"/>
              <w:jc w:val="center"/>
              <w:rPr>
                <w:i/>
              </w:rPr>
            </w:pPr>
            <w:r>
              <w:rPr>
                <w:b/>
                <w:bCs/>
                <w:i/>
                <w:iCs/>
                <w:lang w:val="ru-RU"/>
              </w:rPr>
              <w:t>Распределение Вейбулла</w:t>
            </w:r>
            <w:r w:rsidRPr="00C71A32">
              <w:rPr>
                <w:b/>
                <w:i/>
                <w:sz w:val="18"/>
                <w:szCs w:val="18"/>
              </w:rPr>
              <w:br/>
            </w:r>
            <w:r>
              <w:rPr>
                <w:b/>
                <w:bCs/>
                <w:i/>
                <w:iCs/>
                <w:lang w:val="ru-RU"/>
              </w:rPr>
              <w:t>k3</w:t>
            </w:r>
          </w:p>
        </w:tc>
      </w:tr>
      <w:tr w:rsidR="002516B3" w:rsidRPr="00C06DA8" w:rsidTr="002516B3">
        <w:tc>
          <w:tcPr>
            <w:tcW w:w="2468" w:type="dxa"/>
          </w:tcPr>
          <w:p w:rsidR="002516B3" w:rsidRPr="00C06DA8" w:rsidRDefault="002516B3" w:rsidP="002516B3">
            <w:pPr>
              <w:spacing w:before="40" w:after="80" w:line="200" w:lineRule="atLeast"/>
              <w:ind w:left="113" w:right="113"/>
              <w:jc w:val="center"/>
              <w:rPr>
                <w:i/>
                <w:color w:val="000000"/>
                <w:sz w:val="18"/>
                <w:szCs w:val="18"/>
              </w:rPr>
            </w:pPr>
            <w:r w:rsidRPr="00C06DA8">
              <w:rPr>
                <w:i/>
              </w:rPr>
              <w:t>20</w:t>
            </w:r>
          </w:p>
        </w:tc>
        <w:tc>
          <w:tcPr>
            <w:tcW w:w="2404" w:type="dxa"/>
            <w:vAlign w:val="bottom"/>
          </w:tcPr>
          <w:p w:rsidR="002516B3" w:rsidRPr="00C06DA8" w:rsidRDefault="002516B3" w:rsidP="002516B3">
            <w:pPr>
              <w:spacing w:before="40" w:after="80" w:line="200" w:lineRule="atLeast"/>
              <w:ind w:left="113" w:right="113"/>
              <w:jc w:val="center"/>
              <w:rPr>
                <w:i/>
                <w:color w:val="000000"/>
                <w:sz w:val="18"/>
                <w:szCs w:val="18"/>
              </w:rPr>
            </w:pPr>
            <w:r w:rsidRPr="00C06DA8">
              <w:rPr>
                <w:i/>
              </w:rPr>
              <w:t>6</w:t>
            </w:r>
            <w:r>
              <w:rPr>
                <w:i/>
              </w:rPr>
              <w:t>,</w:t>
            </w:r>
            <w:r w:rsidRPr="00C06DA8">
              <w:rPr>
                <w:i/>
              </w:rPr>
              <w:t>901</w:t>
            </w:r>
          </w:p>
        </w:tc>
        <w:tc>
          <w:tcPr>
            <w:tcW w:w="2499" w:type="dxa"/>
            <w:vAlign w:val="bottom"/>
          </w:tcPr>
          <w:p w:rsidR="002516B3" w:rsidRPr="00C06DA8" w:rsidRDefault="002516B3" w:rsidP="002516B3">
            <w:pPr>
              <w:spacing w:before="40" w:after="80" w:line="200" w:lineRule="atLeast"/>
              <w:ind w:left="113" w:right="113"/>
              <w:jc w:val="center"/>
              <w:rPr>
                <w:i/>
                <w:color w:val="000000"/>
                <w:sz w:val="18"/>
                <w:szCs w:val="18"/>
              </w:rPr>
            </w:pPr>
            <w:r w:rsidRPr="00C06DA8">
              <w:rPr>
                <w:i/>
              </w:rPr>
              <w:t>16</w:t>
            </w:r>
            <w:r>
              <w:rPr>
                <w:i/>
              </w:rPr>
              <w:t>,</w:t>
            </w:r>
            <w:r w:rsidRPr="00C06DA8">
              <w:rPr>
                <w:i/>
              </w:rPr>
              <w:t>021</w:t>
            </w:r>
          </w:p>
        </w:tc>
      </w:tr>
      <w:tr w:rsidR="002516B3" w:rsidRPr="00C06DA8" w:rsidTr="002516B3">
        <w:tc>
          <w:tcPr>
            <w:tcW w:w="2468" w:type="dxa"/>
          </w:tcPr>
          <w:p w:rsidR="002516B3" w:rsidRPr="00C06DA8" w:rsidRDefault="002516B3" w:rsidP="002516B3">
            <w:pPr>
              <w:spacing w:before="40" w:after="80" w:line="200" w:lineRule="atLeast"/>
              <w:ind w:left="113" w:right="113"/>
              <w:jc w:val="center"/>
              <w:rPr>
                <w:i/>
                <w:color w:val="000000"/>
                <w:sz w:val="18"/>
                <w:szCs w:val="18"/>
              </w:rPr>
            </w:pPr>
            <w:r w:rsidRPr="00C06DA8">
              <w:rPr>
                <w:i/>
              </w:rPr>
              <w:t>22</w:t>
            </w:r>
          </w:p>
        </w:tc>
        <w:tc>
          <w:tcPr>
            <w:tcW w:w="2404" w:type="dxa"/>
            <w:vAlign w:val="bottom"/>
          </w:tcPr>
          <w:p w:rsidR="002516B3" w:rsidRPr="00C06DA8" w:rsidRDefault="002516B3" w:rsidP="002516B3">
            <w:pPr>
              <w:spacing w:before="40" w:after="80" w:line="200" w:lineRule="atLeast"/>
              <w:ind w:left="113" w:right="113"/>
              <w:jc w:val="center"/>
              <w:rPr>
                <w:i/>
                <w:color w:val="000000"/>
                <w:sz w:val="18"/>
                <w:szCs w:val="18"/>
              </w:rPr>
            </w:pPr>
            <w:r w:rsidRPr="00C06DA8">
              <w:rPr>
                <w:i/>
              </w:rPr>
              <w:t>6</w:t>
            </w:r>
            <w:r>
              <w:rPr>
                <w:i/>
              </w:rPr>
              <w:t>,</w:t>
            </w:r>
            <w:r w:rsidRPr="00C06DA8">
              <w:rPr>
                <w:i/>
              </w:rPr>
              <w:t>765</w:t>
            </w:r>
          </w:p>
        </w:tc>
        <w:tc>
          <w:tcPr>
            <w:tcW w:w="2499" w:type="dxa"/>
            <w:vAlign w:val="bottom"/>
          </w:tcPr>
          <w:p w:rsidR="002516B3" w:rsidRPr="00C06DA8" w:rsidRDefault="002516B3" w:rsidP="002516B3">
            <w:pPr>
              <w:spacing w:before="40" w:after="80" w:line="200" w:lineRule="atLeast"/>
              <w:ind w:left="113" w:right="113"/>
              <w:jc w:val="center"/>
              <w:rPr>
                <w:i/>
                <w:color w:val="000000"/>
                <w:sz w:val="18"/>
                <w:szCs w:val="18"/>
              </w:rPr>
            </w:pPr>
            <w:r w:rsidRPr="00C06DA8">
              <w:rPr>
                <w:i/>
              </w:rPr>
              <w:t>15</w:t>
            </w:r>
            <w:r>
              <w:rPr>
                <w:i/>
              </w:rPr>
              <w:t>,</w:t>
            </w:r>
            <w:r w:rsidRPr="00C06DA8">
              <w:rPr>
                <w:i/>
              </w:rPr>
              <w:t>722</w:t>
            </w:r>
          </w:p>
        </w:tc>
      </w:tr>
      <w:tr w:rsidR="002516B3" w:rsidRPr="00C06DA8" w:rsidTr="002516B3">
        <w:tc>
          <w:tcPr>
            <w:tcW w:w="2468" w:type="dxa"/>
          </w:tcPr>
          <w:p w:rsidR="002516B3" w:rsidRPr="00C06DA8" w:rsidRDefault="002516B3" w:rsidP="002516B3">
            <w:pPr>
              <w:spacing w:before="40" w:after="80" w:line="200" w:lineRule="atLeast"/>
              <w:ind w:left="113" w:right="113"/>
              <w:jc w:val="center"/>
              <w:rPr>
                <w:i/>
                <w:color w:val="000000"/>
                <w:sz w:val="18"/>
                <w:szCs w:val="18"/>
              </w:rPr>
            </w:pPr>
            <w:r w:rsidRPr="00C06DA8">
              <w:rPr>
                <w:i/>
              </w:rPr>
              <w:t>24</w:t>
            </w:r>
          </w:p>
        </w:tc>
        <w:tc>
          <w:tcPr>
            <w:tcW w:w="2404" w:type="dxa"/>
            <w:vAlign w:val="bottom"/>
          </w:tcPr>
          <w:p w:rsidR="002516B3" w:rsidRPr="00C06DA8" w:rsidRDefault="002516B3" w:rsidP="002516B3">
            <w:pPr>
              <w:spacing w:before="40" w:after="80" w:line="200" w:lineRule="atLeast"/>
              <w:ind w:left="113" w:right="113"/>
              <w:jc w:val="center"/>
              <w:rPr>
                <w:i/>
                <w:color w:val="000000"/>
                <w:sz w:val="18"/>
                <w:szCs w:val="18"/>
              </w:rPr>
            </w:pPr>
            <w:r w:rsidRPr="00C06DA8">
              <w:rPr>
                <w:i/>
              </w:rPr>
              <w:t>6</w:t>
            </w:r>
            <w:r>
              <w:rPr>
                <w:i/>
              </w:rPr>
              <w:t>,</w:t>
            </w:r>
            <w:r w:rsidRPr="00C06DA8">
              <w:rPr>
                <w:i/>
              </w:rPr>
              <w:t>651</w:t>
            </w:r>
          </w:p>
        </w:tc>
        <w:tc>
          <w:tcPr>
            <w:tcW w:w="2499" w:type="dxa"/>
            <w:vAlign w:val="bottom"/>
          </w:tcPr>
          <w:p w:rsidR="002516B3" w:rsidRPr="00C06DA8" w:rsidRDefault="002516B3" w:rsidP="002516B3">
            <w:pPr>
              <w:spacing w:before="40" w:after="80" w:line="200" w:lineRule="atLeast"/>
              <w:ind w:left="113" w:right="113"/>
              <w:jc w:val="center"/>
              <w:rPr>
                <w:i/>
                <w:color w:val="000000"/>
                <w:sz w:val="18"/>
                <w:szCs w:val="18"/>
              </w:rPr>
            </w:pPr>
            <w:r w:rsidRPr="00C06DA8">
              <w:rPr>
                <w:i/>
              </w:rPr>
              <w:t>15</w:t>
            </w:r>
            <w:r>
              <w:rPr>
                <w:i/>
              </w:rPr>
              <w:t>,</w:t>
            </w:r>
            <w:r w:rsidRPr="00C06DA8">
              <w:rPr>
                <w:i/>
              </w:rPr>
              <w:t>472</w:t>
            </w:r>
          </w:p>
        </w:tc>
      </w:tr>
      <w:tr w:rsidR="002516B3" w:rsidRPr="00C06DA8" w:rsidTr="002516B3">
        <w:tc>
          <w:tcPr>
            <w:tcW w:w="2468" w:type="dxa"/>
          </w:tcPr>
          <w:p w:rsidR="002516B3" w:rsidRPr="00C06DA8" w:rsidRDefault="002516B3" w:rsidP="002516B3">
            <w:pPr>
              <w:spacing w:before="40" w:after="80" w:line="200" w:lineRule="atLeast"/>
              <w:ind w:left="113" w:right="113"/>
              <w:jc w:val="center"/>
              <w:rPr>
                <w:i/>
                <w:color w:val="000000"/>
                <w:sz w:val="18"/>
                <w:szCs w:val="18"/>
              </w:rPr>
            </w:pPr>
            <w:r w:rsidRPr="00C06DA8">
              <w:rPr>
                <w:i/>
              </w:rPr>
              <w:t>26</w:t>
            </w:r>
          </w:p>
        </w:tc>
        <w:tc>
          <w:tcPr>
            <w:tcW w:w="2404" w:type="dxa"/>
            <w:vAlign w:val="bottom"/>
          </w:tcPr>
          <w:p w:rsidR="002516B3" w:rsidRPr="00C06DA8" w:rsidRDefault="002516B3" w:rsidP="002516B3">
            <w:pPr>
              <w:spacing w:before="40" w:after="80" w:line="200" w:lineRule="atLeast"/>
              <w:ind w:left="113" w:right="113"/>
              <w:jc w:val="center"/>
              <w:rPr>
                <w:i/>
                <w:color w:val="000000"/>
                <w:sz w:val="18"/>
                <w:szCs w:val="18"/>
              </w:rPr>
            </w:pPr>
            <w:r w:rsidRPr="00C06DA8">
              <w:rPr>
                <w:i/>
              </w:rPr>
              <w:t>6</w:t>
            </w:r>
            <w:r>
              <w:rPr>
                <w:i/>
              </w:rPr>
              <w:t>,</w:t>
            </w:r>
            <w:r w:rsidRPr="00C06DA8">
              <w:rPr>
                <w:i/>
              </w:rPr>
              <w:t>553</w:t>
            </w:r>
          </w:p>
        </w:tc>
        <w:tc>
          <w:tcPr>
            <w:tcW w:w="2499" w:type="dxa"/>
            <w:vAlign w:val="bottom"/>
          </w:tcPr>
          <w:p w:rsidR="002516B3" w:rsidRPr="00C06DA8" w:rsidRDefault="002516B3" w:rsidP="002516B3">
            <w:pPr>
              <w:spacing w:before="40" w:after="80" w:line="200" w:lineRule="atLeast"/>
              <w:ind w:left="113" w:right="113"/>
              <w:jc w:val="center"/>
              <w:rPr>
                <w:i/>
                <w:color w:val="000000"/>
                <w:sz w:val="18"/>
                <w:szCs w:val="18"/>
              </w:rPr>
            </w:pPr>
            <w:r w:rsidRPr="00C06DA8">
              <w:rPr>
                <w:i/>
              </w:rPr>
              <w:t>15</w:t>
            </w:r>
            <w:r>
              <w:rPr>
                <w:i/>
              </w:rPr>
              <w:t>,</w:t>
            </w:r>
            <w:r w:rsidRPr="00C06DA8">
              <w:rPr>
                <w:i/>
              </w:rPr>
              <w:t>258</w:t>
            </w:r>
          </w:p>
        </w:tc>
      </w:tr>
      <w:tr w:rsidR="002516B3" w:rsidRPr="00C06DA8" w:rsidTr="002516B3">
        <w:tc>
          <w:tcPr>
            <w:tcW w:w="2468" w:type="dxa"/>
          </w:tcPr>
          <w:p w:rsidR="002516B3" w:rsidRPr="00C06DA8" w:rsidRDefault="002516B3" w:rsidP="002516B3">
            <w:pPr>
              <w:spacing w:before="40" w:after="80" w:line="200" w:lineRule="atLeast"/>
              <w:ind w:left="113" w:right="113"/>
              <w:jc w:val="center"/>
              <w:rPr>
                <w:i/>
                <w:color w:val="000000"/>
                <w:sz w:val="18"/>
                <w:szCs w:val="18"/>
              </w:rPr>
            </w:pPr>
            <w:r w:rsidRPr="00C06DA8">
              <w:rPr>
                <w:i/>
              </w:rPr>
              <w:t>28</w:t>
            </w:r>
          </w:p>
        </w:tc>
        <w:tc>
          <w:tcPr>
            <w:tcW w:w="2404" w:type="dxa"/>
            <w:vAlign w:val="bottom"/>
          </w:tcPr>
          <w:p w:rsidR="002516B3" w:rsidRPr="00C06DA8" w:rsidRDefault="002516B3" w:rsidP="002516B3">
            <w:pPr>
              <w:spacing w:before="40" w:after="80" w:line="200" w:lineRule="atLeast"/>
              <w:ind w:left="113" w:right="113"/>
              <w:jc w:val="center"/>
              <w:rPr>
                <w:i/>
                <w:color w:val="000000"/>
                <w:sz w:val="18"/>
                <w:szCs w:val="18"/>
              </w:rPr>
            </w:pPr>
            <w:r w:rsidRPr="00C06DA8">
              <w:rPr>
                <w:i/>
              </w:rPr>
              <w:t>6</w:t>
            </w:r>
            <w:r>
              <w:rPr>
                <w:i/>
              </w:rPr>
              <w:t>,</w:t>
            </w:r>
            <w:r w:rsidRPr="00C06DA8">
              <w:rPr>
                <w:i/>
              </w:rPr>
              <w:t>468</w:t>
            </w:r>
          </w:p>
        </w:tc>
        <w:tc>
          <w:tcPr>
            <w:tcW w:w="2499" w:type="dxa"/>
            <w:vAlign w:val="bottom"/>
          </w:tcPr>
          <w:p w:rsidR="002516B3" w:rsidRPr="00C06DA8" w:rsidRDefault="002516B3" w:rsidP="002516B3">
            <w:pPr>
              <w:spacing w:before="40" w:after="80" w:line="200" w:lineRule="atLeast"/>
              <w:ind w:left="113" w:right="113"/>
              <w:jc w:val="center"/>
              <w:rPr>
                <w:i/>
                <w:color w:val="000000"/>
                <w:sz w:val="18"/>
                <w:szCs w:val="18"/>
              </w:rPr>
            </w:pPr>
            <w:r w:rsidRPr="00C06DA8">
              <w:rPr>
                <w:i/>
              </w:rPr>
              <w:t>15</w:t>
            </w:r>
            <w:r>
              <w:rPr>
                <w:i/>
              </w:rPr>
              <w:t>,</w:t>
            </w:r>
            <w:r w:rsidRPr="00C06DA8">
              <w:rPr>
                <w:i/>
              </w:rPr>
              <w:t>072</w:t>
            </w:r>
          </w:p>
        </w:tc>
      </w:tr>
      <w:tr w:rsidR="002516B3" w:rsidRPr="00C06DA8" w:rsidTr="002516B3">
        <w:tc>
          <w:tcPr>
            <w:tcW w:w="2468" w:type="dxa"/>
          </w:tcPr>
          <w:p w:rsidR="002516B3" w:rsidRPr="00C06DA8" w:rsidRDefault="002516B3" w:rsidP="002516B3">
            <w:pPr>
              <w:spacing w:before="40" w:after="80" w:line="200" w:lineRule="atLeast"/>
              <w:ind w:left="113" w:right="113"/>
              <w:jc w:val="center"/>
              <w:rPr>
                <w:i/>
                <w:color w:val="000000"/>
                <w:sz w:val="18"/>
                <w:szCs w:val="18"/>
              </w:rPr>
            </w:pPr>
            <w:r w:rsidRPr="00C06DA8">
              <w:rPr>
                <w:i/>
              </w:rPr>
              <w:t>30</w:t>
            </w:r>
          </w:p>
        </w:tc>
        <w:tc>
          <w:tcPr>
            <w:tcW w:w="2404" w:type="dxa"/>
            <w:vAlign w:val="bottom"/>
          </w:tcPr>
          <w:p w:rsidR="002516B3" w:rsidRPr="00C06DA8" w:rsidRDefault="002516B3" w:rsidP="002516B3">
            <w:pPr>
              <w:spacing w:before="40" w:after="80" w:line="200" w:lineRule="atLeast"/>
              <w:ind w:left="113" w:right="113"/>
              <w:jc w:val="center"/>
              <w:rPr>
                <w:i/>
                <w:color w:val="000000"/>
                <w:sz w:val="18"/>
                <w:szCs w:val="18"/>
              </w:rPr>
            </w:pPr>
            <w:r w:rsidRPr="00C06DA8">
              <w:rPr>
                <w:i/>
              </w:rPr>
              <w:t>6</w:t>
            </w:r>
            <w:r>
              <w:rPr>
                <w:i/>
              </w:rPr>
              <w:t>,</w:t>
            </w:r>
            <w:r w:rsidRPr="00C06DA8">
              <w:rPr>
                <w:i/>
              </w:rPr>
              <w:t>393</w:t>
            </w:r>
          </w:p>
        </w:tc>
        <w:tc>
          <w:tcPr>
            <w:tcW w:w="2499" w:type="dxa"/>
            <w:vAlign w:val="bottom"/>
          </w:tcPr>
          <w:p w:rsidR="002516B3" w:rsidRPr="00C06DA8" w:rsidRDefault="002516B3" w:rsidP="002516B3">
            <w:pPr>
              <w:spacing w:before="40" w:after="80" w:line="200" w:lineRule="atLeast"/>
              <w:ind w:left="113" w:right="113"/>
              <w:jc w:val="center"/>
              <w:rPr>
                <w:i/>
                <w:color w:val="000000"/>
                <w:sz w:val="18"/>
                <w:szCs w:val="18"/>
              </w:rPr>
            </w:pPr>
            <w:r w:rsidRPr="00C06DA8">
              <w:rPr>
                <w:i/>
              </w:rPr>
              <w:t>14</w:t>
            </w:r>
            <w:r>
              <w:rPr>
                <w:i/>
              </w:rPr>
              <w:t>,</w:t>
            </w:r>
            <w:r w:rsidRPr="00C06DA8">
              <w:rPr>
                <w:i/>
              </w:rPr>
              <w:t>909</w:t>
            </w:r>
          </w:p>
        </w:tc>
      </w:tr>
      <w:tr w:rsidR="002516B3" w:rsidRPr="00C06DA8" w:rsidTr="002516B3">
        <w:tc>
          <w:tcPr>
            <w:tcW w:w="2468" w:type="dxa"/>
          </w:tcPr>
          <w:p w:rsidR="002516B3" w:rsidRPr="00C06DA8" w:rsidRDefault="002516B3" w:rsidP="002516B3">
            <w:pPr>
              <w:spacing w:before="40" w:after="80" w:line="200" w:lineRule="atLeast"/>
              <w:ind w:left="113" w:right="113"/>
              <w:jc w:val="center"/>
              <w:rPr>
                <w:i/>
                <w:color w:val="000000"/>
                <w:sz w:val="18"/>
                <w:szCs w:val="18"/>
              </w:rPr>
            </w:pPr>
            <w:r w:rsidRPr="00C06DA8">
              <w:rPr>
                <w:i/>
              </w:rPr>
              <w:t>35</w:t>
            </w:r>
          </w:p>
        </w:tc>
        <w:tc>
          <w:tcPr>
            <w:tcW w:w="2404" w:type="dxa"/>
            <w:vAlign w:val="bottom"/>
          </w:tcPr>
          <w:p w:rsidR="002516B3" w:rsidRPr="00C06DA8" w:rsidRDefault="002516B3" w:rsidP="002516B3">
            <w:pPr>
              <w:spacing w:before="40" w:after="80" w:line="200" w:lineRule="atLeast"/>
              <w:ind w:left="113" w:right="113"/>
              <w:jc w:val="center"/>
              <w:rPr>
                <w:i/>
                <w:color w:val="000000"/>
                <w:sz w:val="18"/>
                <w:szCs w:val="18"/>
              </w:rPr>
            </w:pPr>
            <w:r w:rsidRPr="00C06DA8">
              <w:rPr>
                <w:i/>
              </w:rPr>
              <w:t>6</w:t>
            </w:r>
            <w:r>
              <w:rPr>
                <w:i/>
              </w:rPr>
              <w:t>,</w:t>
            </w:r>
            <w:r w:rsidRPr="00C06DA8">
              <w:rPr>
                <w:i/>
              </w:rPr>
              <w:t>241</w:t>
            </w:r>
          </w:p>
        </w:tc>
        <w:tc>
          <w:tcPr>
            <w:tcW w:w="2499" w:type="dxa"/>
            <w:vAlign w:val="bottom"/>
          </w:tcPr>
          <w:p w:rsidR="002516B3" w:rsidRPr="00C06DA8" w:rsidRDefault="002516B3" w:rsidP="002516B3">
            <w:pPr>
              <w:spacing w:before="40" w:after="80" w:line="200" w:lineRule="atLeast"/>
              <w:ind w:left="113" w:right="113"/>
              <w:jc w:val="center"/>
              <w:rPr>
                <w:i/>
                <w:color w:val="000000"/>
                <w:sz w:val="18"/>
                <w:szCs w:val="18"/>
              </w:rPr>
            </w:pPr>
            <w:r w:rsidRPr="00C06DA8">
              <w:rPr>
                <w:i/>
              </w:rPr>
              <w:t>14</w:t>
            </w:r>
            <w:r>
              <w:rPr>
                <w:i/>
              </w:rPr>
              <w:t>,</w:t>
            </w:r>
            <w:r w:rsidRPr="00C06DA8">
              <w:rPr>
                <w:i/>
              </w:rPr>
              <w:t>578</w:t>
            </w:r>
          </w:p>
        </w:tc>
      </w:tr>
      <w:tr w:rsidR="002516B3" w:rsidRPr="00C06DA8" w:rsidTr="002516B3">
        <w:tc>
          <w:tcPr>
            <w:tcW w:w="2468" w:type="dxa"/>
          </w:tcPr>
          <w:p w:rsidR="002516B3" w:rsidRPr="00C06DA8" w:rsidRDefault="002516B3" w:rsidP="002516B3">
            <w:pPr>
              <w:spacing w:before="40" w:after="80" w:line="200" w:lineRule="atLeast"/>
              <w:ind w:left="113" w:right="113"/>
              <w:jc w:val="center"/>
              <w:rPr>
                <w:i/>
                <w:color w:val="000000"/>
                <w:sz w:val="18"/>
                <w:szCs w:val="18"/>
              </w:rPr>
            </w:pPr>
            <w:r w:rsidRPr="00C06DA8">
              <w:rPr>
                <w:i/>
              </w:rPr>
              <w:lastRenderedPageBreak/>
              <w:t>40</w:t>
            </w:r>
          </w:p>
        </w:tc>
        <w:tc>
          <w:tcPr>
            <w:tcW w:w="2404" w:type="dxa"/>
            <w:vAlign w:val="bottom"/>
          </w:tcPr>
          <w:p w:rsidR="002516B3" w:rsidRPr="00C06DA8" w:rsidRDefault="002516B3" w:rsidP="002516B3">
            <w:pPr>
              <w:spacing w:before="40" w:after="80" w:line="200" w:lineRule="atLeast"/>
              <w:ind w:left="113" w:right="113"/>
              <w:jc w:val="center"/>
              <w:rPr>
                <w:i/>
                <w:color w:val="000000"/>
                <w:sz w:val="18"/>
                <w:szCs w:val="18"/>
              </w:rPr>
            </w:pPr>
            <w:r w:rsidRPr="00C06DA8">
              <w:rPr>
                <w:i/>
              </w:rPr>
              <w:t>6</w:t>
            </w:r>
            <w:r>
              <w:rPr>
                <w:i/>
              </w:rPr>
              <w:t>,</w:t>
            </w:r>
            <w:r w:rsidRPr="00C06DA8">
              <w:rPr>
                <w:i/>
              </w:rPr>
              <w:t>123</w:t>
            </w:r>
          </w:p>
        </w:tc>
        <w:tc>
          <w:tcPr>
            <w:tcW w:w="2499" w:type="dxa"/>
            <w:vAlign w:val="bottom"/>
          </w:tcPr>
          <w:p w:rsidR="002516B3" w:rsidRPr="00C06DA8" w:rsidRDefault="002516B3" w:rsidP="002516B3">
            <w:pPr>
              <w:spacing w:before="40" w:after="80" w:line="200" w:lineRule="atLeast"/>
              <w:ind w:left="113" w:right="113"/>
              <w:jc w:val="center"/>
              <w:rPr>
                <w:i/>
                <w:color w:val="000000"/>
                <w:sz w:val="18"/>
                <w:szCs w:val="18"/>
              </w:rPr>
            </w:pPr>
            <w:r w:rsidRPr="00C06DA8">
              <w:rPr>
                <w:i/>
              </w:rPr>
              <w:t>14</w:t>
            </w:r>
            <w:r>
              <w:rPr>
                <w:i/>
              </w:rPr>
              <w:t>,</w:t>
            </w:r>
            <w:r w:rsidRPr="00C06DA8">
              <w:rPr>
                <w:i/>
              </w:rPr>
              <w:t>321</w:t>
            </w:r>
          </w:p>
        </w:tc>
      </w:tr>
      <w:tr w:rsidR="002516B3" w:rsidRPr="00C06DA8" w:rsidTr="002516B3">
        <w:tc>
          <w:tcPr>
            <w:tcW w:w="2468" w:type="dxa"/>
          </w:tcPr>
          <w:p w:rsidR="002516B3" w:rsidRPr="00C06DA8" w:rsidRDefault="002516B3" w:rsidP="002516B3">
            <w:pPr>
              <w:spacing w:before="40" w:after="80" w:line="200" w:lineRule="atLeast"/>
              <w:ind w:left="113" w:right="113"/>
              <w:jc w:val="center"/>
              <w:rPr>
                <w:i/>
                <w:color w:val="000000"/>
                <w:sz w:val="18"/>
                <w:szCs w:val="18"/>
              </w:rPr>
            </w:pPr>
            <w:r w:rsidRPr="00C06DA8">
              <w:rPr>
                <w:i/>
              </w:rPr>
              <w:t>45</w:t>
            </w:r>
          </w:p>
        </w:tc>
        <w:tc>
          <w:tcPr>
            <w:tcW w:w="2404" w:type="dxa"/>
            <w:vAlign w:val="bottom"/>
          </w:tcPr>
          <w:p w:rsidR="002516B3" w:rsidRPr="00C06DA8" w:rsidRDefault="002516B3" w:rsidP="002516B3">
            <w:pPr>
              <w:spacing w:before="40" w:after="80" w:line="200" w:lineRule="atLeast"/>
              <w:ind w:left="113" w:right="113"/>
              <w:jc w:val="center"/>
              <w:rPr>
                <w:i/>
                <w:color w:val="000000"/>
                <w:sz w:val="18"/>
                <w:szCs w:val="18"/>
              </w:rPr>
            </w:pPr>
            <w:r w:rsidRPr="00C06DA8">
              <w:rPr>
                <w:i/>
              </w:rPr>
              <w:t>6</w:t>
            </w:r>
            <w:r>
              <w:rPr>
                <w:i/>
              </w:rPr>
              <w:t>,</w:t>
            </w:r>
            <w:r w:rsidRPr="00C06DA8">
              <w:rPr>
                <w:i/>
              </w:rPr>
              <w:t>028</w:t>
            </w:r>
          </w:p>
        </w:tc>
        <w:tc>
          <w:tcPr>
            <w:tcW w:w="2499" w:type="dxa"/>
            <w:vAlign w:val="bottom"/>
          </w:tcPr>
          <w:p w:rsidR="002516B3" w:rsidRPr="00C06DA8" w:rsidRDefault="002516B3" w:rsidP="002516B3">
            <w:pPr>
              <w:spacing w:before="40" w:after="80" w:line="200" w:lineRule="atLeast"/>
              <w:ind w:left="113" w:right="113"/>
              <w:jc w:val="center"/>
              <w:rPr>
                <w:i/>
                <w:color w:val="000000"/>
                <w:sz w:val="18"/>
                <w:szCs w:val="18"/>
              </w:rPr>
            </w:pPr>
            <w:r w:rsidRPr="00C06DA8">
              <w:rPr>
                <w:i/>
              </w:rPr>
              <w:t>14</w:t>
            </w:r>
            <w:r>
              <w:rPr>
                <w:i/>
              </w:rPr>
              <w:t>,</w:t>
            </w:r>
            <w:r w:rsidRPr="00C06DA8">
              <w:rPr>
                <w:i/>
              </w:rPr>
              <w:t>116</w:t>
            </w:r>
          </w:p>
        </w:tc>
      </w:tr>
      <w:tr w:rsidR="002516B3" w:rsidRPr="00C06DA8" w:rsidTr="002516B3">
        <w:tc>
          <w:tcPr>
            <w:tcW w:w="2468" w:type="dxa"/>
          </w:tcPr>
          <w:p w:rsidR="002516B3" w:rsidRPr="00C06DA8" w:rsidRDefault="002516B3" w:rsidP="002516B3">
            <w:pPr>
              <w:spacing w:before="40" w:after="80" w:line="200" w:lineRule="atLeast"/>
              <w:ind w:left="113" w:right="113"/>
              <w:jc w:val="center"/>
              <w:rPr>
                <w:i/>
                <w:color w:val="000000"/>
                <w:sz w:val="18"/>
                <w:szCs w:val="18"/>
              </w:rPr>
            </w:pPr>
            <w:r w:rsidRPr="00C06DA8">
              <w:rPr>
                <w:i/>
              </w:rPr>
              <w:t>50</w:t>
            </w:r>
          </w:p>
        </w:tc>
        <w:tc>
          <w:tcPr>
            <w:tcW w:w="2404" w:type="dxa"/>
            <w:vAlign w:val="bottom"/>
          </w:tcPr>
          <w:p w:rsidR="002516B3" w:rsidRPr="00C06DA8" w:rsidRDefault="002516B3" w:rsidP="002516B3">
            <w:pPr>
              <w:spacing w:before="40" w:after="80" w:line="200" w:lineRule="atLeast"/>
              <w:ind w:left="113" w:right="113"/>
              <w:jc w:val="center"/>
              <w:rPr>
                <w:i/>
                <w:color w:val="000000"/>
                <w:sz w:val="18"/>
                <w:szCs w:val="18"/>
              </w:rPr>
            </w:pPr>
            <w:r w:rsidRPr="00C06DA8">
              <w:rPr>
                <w:i/>
              </w:rPr>
              <w:t>5</w:t>
            </w:r>
            <w:r>
              <w:rPr>
                <w:i/>
              </w:rPr>
              <w:t>,</w:t>
            </w:r>
            <w:r w:rsidRPr="00C06DA8">
              <w:rPr>
                <w:i/>
              </w:rPr>
              <w:t>949</w:t>
            </w:r>
          </w:p>
        </w:tc>
        <w:tc>
          <w:tcPr>
            <w:tcW w:w="2499" w:type="dxa"/>
            <w:vAlign w:val="bottom"/>
          </w:tcPr>
          <w:p w:rsidR="002516B3" w:rsidRPr="00C06DA8" w:rsidRDefault="002516B3" w:rsidP="002516B3">
            <w:pPr>
              <w:spacing w:before="40" w:after="80" w:line="200" w:lineRule="atLeast"/>
              <w:ind w:left="113" w:right="113"/>
              <w:jc w:val="center"/>
              <w:rPr>
                <w:i/>
                <w:color w:val="000000"/>
                <w:sz w:val="18"/>
                <w:szCs w:val="18"/>
              </w:rPr>
            </w:pPr>
            <w:r w:rsidRPr="00C06DA8">
              <w:rPr>
                <w:i/>
              </w:rPr>
              <w:t>13</w:t>
            </w:r>
            <w:r>
              <w:rPr>
                <w:i/>
              </w:rPr>
              <w:t>,</w:t>
            </w:r>
            <w:r w:rsidRPr="00C06DA8">
              <w:rPr>
                <w:i/>
              </w:rPr>
              <w:t>947</w:t>
            </w:r>
          </w:p>
        </w:tc>
      </w:tr>
      <w:tr w:rsidR="002516B3" w:rsidRPr="00C06DA8" w:rsidTr="002516B3">
        <w:tc>
          <w:tcPr>
            <w:tcW w:w="2468" w:type="dxa"/>
          </w:tcPr>
          <w:p w:rsidR="002516B3" w:rsidRPr="00C06DA8" w:rsidRDefault="002516B3" w:rsidP="002516B3">
            <w:pPr>
              <w:spacing w:before="40" w:after="80" w:line="200" w:lineRule="atLeast"/>
              <w:ind w:left="113" w:right="113"/>
              <w:jc w:val="center"/>
              <w:rPr>
                <w:i/>
                <w:color w:val="000000"/>
                <w:sz w:val="18"/>
                <w:szCs w:val="18"/>
              </w:rPr>
            </w:pPr>
            <w:r w:rsidRPr="00C06DA8">
              <w:rPr>
                <w:i/>
              </w:rPr>
              <w:t>60</w:t>
            </w:r>
          </w:p>
        </w:tc>
        <w:tc>
          <w:tcPr>
            <w:tcW w:w="2404" w:type="dxa"/>
            <w:vAlign w:val="bottom"/>
          </w:tcPr>
          <w:p w:rsidR="002516B3" w:rsidRPr="00C06DA8" w:rsidRDefault="002516B3" w:rsidP="002516B3">
            <w:pPr>
              <w:spacing w:before="40" w:after="80" w:line="200" w:lineRule="atLeast"/>
              <w:ind w:left="113" w:right="113"/>
              <w:jc w:val="center"/>
              <w:rPr>
                <w:i/>
                <w:color w:val="000000"/>
                <w:sz w:val="18"/>
                <w:szCs w:val="18"/>
              </w:rPr>
            </w:pPr>
            <w:r w:rsidRPr="00C06DA8">
              <w:rPr>
                <w:i/>
              </w:rPr>
              <w:t>5</w:t>
            </w:r>
            <w:r>
              <w:rPr>
                <w:i/>
              </w:rPr>
              <w:t>,</w:t>
            </w:r>
            <w:r w:rsidRPr="00C06DA8">
              <w:rPr>
                <w:i/>
              </w:rPr>
              <w:t>827</w:t>
            </w:r>
          </w:p>
        </w:tc>
        <w:tc>
          <w:tcPr>
            <w:tcW w:w="2499" w:type="dxa"/>
            <w:vAlign w:val="bottom"/>
          </w:tcPr>
          <w:p w:rsidR="002516B3" w:rsidRPr="00C06DA8" w:rsidRDefault="002516B3" w:rsidP="002516B3">
            <w:pPr>
              <w:spacing w:before="40" w:after="80" w:line="200" w:lineRule="atLeast"/>
              <w:ind w:left="113" w:right="113"/>
              <w:jc w:val="center"/>
              <w:rPr>
                <w:i/>
                <w:color w:val="000000"/>
                <w:sz w:val="18"/>
                <w:szCs w:val="18"/>
              </w:rPr>
            </w:pPr>
            <w:r w:rsidRPr="00C06DA8">
              <w:rPr>
                <w:i/>
              </w:rPr>
              <w:t>13</w:t>
            </w:r>
            <w:r>
              <w:rPr>
                <w:i/>
              </w:rPr>
              <w:t>,</w:t>
            </w:r>
            <w:r w:rsidRPr="00C06DA8">
              <w:rPr>
                <w:i/>
              </w:rPr>
              <w:t>683</w:t>
            </w:r>
          </w:p>
        </w:tc>
      </w:tr>
      <w:tr w:rsidR="002516B3" w:rsidRPr="00C06DA8" w:rsidTr="002516B3">
        <w:tc>
          <w:tcPr>
            <w:tcW w:w="2468" w:type="dxa"/>
          </w:tcPr>
          <w:p w:rsidR="002516B3" w:rsidRPr="00C06DA8" w:rsidRDefault="002516B3" w:rsidP="002516B3">
            <w:pPr>
              <w:spacing w:before="40" w:after="80" w:line="200" w:lineRule="atLeast"/>
              <w:ind w:left="113" w:right="113"/>
              <w:jc w:val="center"/>
              <w:rPr>
                <w:i/>
                <w:color w:val="000000"/>
                <w:sz w:val="18"/>
                <w:szCs w:val="18"/>
              </w:rPr>
            </w:pPr>
            <w:r w:rsidRPr="00C06DA8">
              <w:rPr>
                <w:i/>
              </w:rPr>
              <w:t>70</w:t>
            </w:r>
          </w:p>
        </w:tc>
        <w:tc>
          <w:tcPr>
            <w:tcW w:w="2404" w:type="dxa"/>
            <w:vAlign w:val="bottom"/>
          </w:tcPr>
          <w:p w:rsidR="002516B3" w:rsidRPr="00C06DA8" w:rsidRDefault="002516B3" w:rsidP="002516B3">
            <w:pPr>
              <w:spacing w:before="40" w:after="80" w:line="200" w:lineRule="atLeast"/>
              <w:ind w:left="113" w:right="113"/>
              <w:jc w:val="center"/>
              <w:rPr>
                <w:i/>
                <w:color w:val="000000"/>
                <w:sz w:val="18"/>
                <w:szCs w:val="18"/>
              </w:rPr>
            </w:pPr>
            <w:r w:rsidRPr="00C06DA8">
              <w:rPr>
                <w:i/>
              </w:rPr>
              <w:t>5</w:t>
            </w:r>
            <w:r>
              <w:rPr>
                <w:i/>
              </w:rPr>
              <w:t>,</w:t>
            </w:r>
            <w:r w:rsidRPr="00C06DA8">
              <w:rPr>
                <w:i/>
              </w:rPr>
              <w:t>735</w:t>
            </w:r>
          </w:p>
        </w:tc>
        <w:tc>
          <w:tcPr>
            <w:tcW w:w="2499" w:type="dxa"/>
            <w:vAlign w:val="bottom"/>
          </w:tcPr>
          <w:p w:rsidR="002516B3" w:rsidRPr="00C06DA8" w:rsidRDefault="002516B3" w:rsidP="002516B3">
            <w:pPr>
              <w:spacing w:before="40" w:after="80" w:line="200" w:lineRule="atLeast"/>
              <w:ind w:left="113" w:right="113"/>
              <w:jc w:val="center"/>
              <w:rPr>
                <w:i/>
                <w:color w:val="000000"/>
                <w:sz w:val="18"/>
                <w:szCs w:val="18"/>
              </w:rPr>
            </w:pPr>
            <w:r w:rsidRPr="00C06DA8">
              <w:rPr>
                <w:i/>
              </w:rPr>
              <w:t>13</w:t>
            </w:r>
            <w:r>
              <w:rPr>
                <w:i/>
              </w:rPr>
              <w:t>,</w:t>
            </w:r>
            <w:r w:rsidRPr="00C06DA8">
              <w:rPr>
                <w:i/>
              </w:rPr>
              <w:t>485</w:t>
            </w:r>
          </w:p>
        </w:tc>
      </w:tr>
      <w:tr w:rsidR="002516B3" w:rsidRPr="00C06DA8" w:rsidTr="002516B3">
        <w:tc>
          <w:tcPr>
            <w:tcW w:w="2468" w:type="dxa"/>
          </w:tcPr>
          <w:p w:rsidR="002516B3" w:rsidRPr="00C06DA8" w:rsidRDefault="002516B3" w:rsidP="002516B3">
            <w:pPr>
              <w:spacing w:before="40" w:after="80" w:line="200" w:lineRule="atLeast"/>
              <w:ind w:left="113" w:right="113"/>
              <w:jc w:val="center"/>
              <w:rPr>
                <w:i/>
                <w:color w:val="000000"/>
                <w:sz w:val="18"/>
                <w:szCs w:val="18"/>
              </w:rPr>
            </w:pPr>
            <w:r w:rsidRPr="00C06DA8">
              <w:rPr>
                <w:i/>
              </w:rPr>
              <w:t>80</w:t>
            </w:r>
          </w:p>
        </w:tc>
        <w:tc>
          <w:tcPr>
            <w:tcW w:w="2404" w:type="dxa"/>
            <w:vAlign w:val="bottom"/>
          </w:tcPr>
          <w:p w:rsidR="002516B3" w:rsidRPr="00C06DA8" w:rsidRDefault="002516B3" w:rsidP="002516B3">
            <w:pPr>
              <w:spacing w:before="40" w:after="80" w:line="200" w:lineRule="atLeast"/>
              <w:ind w:left="113" w:right="113"/>
              <w:jc w:val="center"/>
              <w:rPr>
                <w:i/>
                <w:color w:val="000000"/>
                <w:sz w:val="18"/>
                <w:szCs w:val="18"/>
              </w:rPr>
            </w:pPr>
            <w:r w:rsidRPr="00C06DA8">
              <w:rPr>
                <w:i/>
              </w:rPr>
              <w:t>5</w:t>
            </w:r>
            <w:r>
              <w:rPr>
                <w:i/>
              </w:rPr>
              <w:t>,</w:t>
            </w:r>
            <w:r w:rsidRPr="00C06DA8">
              <w:rPr>
                <w:i/>
              </w:rPr>
              <w:t>662</w:t>
            </w:r>
          </w:p>
        </w:tc>
        <w:tc>
          <w:tcPr>
            <w:tcW w:w="2499" w:type="dxa"/>
            <w:vAlign w:val="bottom"/>
          </w:tcPr>
          <w:p w:rsidR="002516B3" w:rsidRPr="00C06DA8" w:rsidRDefault="002516B3" w:rsidP="002516B3">
            <w:pPr>
              <w:spacing w:before="40" w:after="80" w:line="200" w:lineRule="atLeast"/>
              <w:ind w:left="113" w:right="113"/>
              <w:jc w:val="center"/>
              <w:rPr>
                <w:i/>
                <w:color w:val="000000"/>
                <w:sz w:val="18"/>
                <w:szCs w:val="18"/>
              </w:rPr>
            </w:pPr>
            <w:r w:rsidRPr="00C06DA8">
              <w:rPr>
                <w:i/>
              </w:rPr>
              <w:t>13</w:t>
            </w:r>
            <w:r>
              <w:rPr>
                <w:i/>
              </w:rPr>
              <w:t>,</w:t>
            </w:r>
            <w:r w:rsidRPr="00C06DA8">
              <w:rPr>
                <w:i/>
              </w:rPr>
              <w:t>329</w:t>
            </w:r>
          </w:p>
        </w:tc>
      </w:tr>
      <w:tr w:rsidR="002516B3" w:rsidRPr="00C06DA8" w:rsidTr="002516B3">
        <w:tc>
          <w:tcPr>
            <w:tcW w:w="2468" w:type="dxa"/>
          </w:tcPr>
          <w:p w:rsidR="002516B3" w:rsidRPr="00C06DA8" w:rsidRDefault="002516B3" w:rsidP="002516B3">
            <w:pPr>
              <w:spacing w:before="40" w:after="80" w:line="200" w:lineRule="atLeast"/>
              <w:ind w:left="113" w:right="113"/>
              <w:jc w:val="center"/>
              <w:rPr>
                <w:i/>
                <w:color w:val="000000"/>
                <w:sz w:val="18"/>
                <w:szCs w:val="18"/>
              </w:rPr>
            </w:pPr>
            <w:r w:rsidRPr="00C06DA8">
              <w:rPr>
                <w:i/>
              </w:rPr>
              <w:t>90</w:t>
            </w:r>
          </w:p>
        </w:tc>
        <w:tc>
          <w:tcPr>
            <w:tcW w:w="2404" w:type="dxa"/>
            <w:vAlign w:val="bottom"/>
          </w:tcPr>
          <w:p w:rsidR="002516B3" w:rsidRPr="00C06DA8" w:rsidRDefault="002516B3" w:rsidP="002516B3">
            <w:pPr>
              <w:spacing w:before="40" w:after="80" w:line="200" w:lineRule="atLeast"/>
              <w:ind w:left="113" w:right="113"/>
              <w:jc w:val="center"/>
              <w:rPr>
                <w:i/>
                <w:color w:val="000000"/>
                <w:sz w:val="18"/>
                <w:szCs w:val="18"/>
              </w:rPr>
            </w:pPr>
            <w:r w:rsidRPr="00C06DA8">
              <w:rPr>
                <w:i/>
              </w:rPr>
              <w:t>5</w:t>
            </w:r>
            <w:r>
              <w:rPr>
                <w:i/>
              </w:rPr>
              <w:t>,</w:t>
            </w:r>
            <w:r w:rsidRPr="00C06DA8">
              <w:rPr>
                <w:i/>
              </w:rPr>
              <w:t>603</w:t>
            </w:r>
          </w:p>
        </w:tc>
        <w:tc>
          <w:tcPr>
            <w:tcW w:w="2499" w:type="dxa"/>
            <w:vAlign w:val="bottom"/>
          </w:tcPr>
          <w:p w:rsidR="002516B3" w:rsidRPr="00C06DA8" w:rsidRDefault="002516B3" w:rsidP="002516B3">
            <w:pPr>
              <w:spacing w:before="40" w:after="80" w:line="200" w:lineRule="atLeast"/>
              <w:ind w:left="113" w:right="113"/>
              <w:jc w:val="center"/>
              <w:rPr>
                <w:i/>
                <w:color w:val="000000"/>
                <w:sz w:val="18"/>
                <w:szCs w:val="18"/>
              </w:rPr>
            </w:pPr>
            <w:r w:rsidRPr="00C06DA8">
              <w:rPr>
                <w:i/>
              </w:rPr>
              <w:t>13</w:t>
            </w:r>
            <w:r>
              <w:rPr>
                <w:i/>
              </w:rPr>
              <w:t>,</w:t>
            </w:r>
            <w:r w:rsidRPr="00C06DA8">
              <w:rPr>
                <w:i/>
              </w:rPr>
              <w:t>203</w:t>
            </w:r>
          </w:p>
        </w:tc>
      </w:tr>
      <w:tr w:rsidR="002516B3" w:rsidRPr="00C06DA8" w:rsidTr="002516B3">
        <w:tc>
          <w:tcPr>
            <w:tcW w:w="2468" w:type="dxa"/>
          </w:tcPr>
          <w:p w:rsidR="002516B3" w:rsidRPr="00C06DA8" w:rsidRDefault="002516B3" w:rsidP="002516B3">
            <w:pPr>
              <w:spacing w:before="40" w:after="80" w:line="200" w:lineRule="atLeast"/>
              <w:ind w:left="113" w:right="113"/>
              <w:jc w:val="center"/>
              <w:rPr>
                <w:i/>
                <w:color w:val="000000"/>
                <w:sz w:val="18"/>
                <w:szCs w:val="18"/>
              </w:rPr>
            </w:pPr>
            <w:r w:rsidRPr="00C06DA8">
              <w:rPr>
                <w:i/>
              </w:rPr>
              <w:t>100</w:t>
            </w:r>
          </w:p>
        </w:tc>
        <w:tc>
          <w:tcPr>
            <w:tcW w:w="2404" w:type="dxa"/>
            <w:vAlign w:val="bottom"/>
          </w:tcPr>
          <w:p w:rsidR="002516B3" w:rsidRPr="00C06DA8" w:rsidRDefault="002516B3" w:rsidP="002516B3">
            <w:pPr>
              <w:spacing w:before="40" w:after="80" w:line="200" w:lineRule="atLeast"/>
              <w:ind w:left="113" w:right="113"/>
              <w:jc w:val="center"/>
              <w:rPr>
                <w:i/>
                <w:color w:val="000000"/>
                <w:sz w:val="18"/>
                <w:szCs w:val="18"/>
              </w:rPr>
            </w:pPr>
            <w:r w:rsidRPr="00C06DA8">
              <w:rPr>
                <w:i/>
              </w:rPr>
              <w:t>5</w:t>
            </w:r>
            <w:r>
              <w:rPr>
                <w:i/>
              </w:rPr>
              <w:t>,</w:t>
            </w:r>
            <w:r w:rsidRPr="00C06DA8">
              <w:rPr>
                <w:i/>
              </w:rPr>
              <w:t>554</w:t>
            </w:r>
          </w:p>
        </w:tc>
        <w:tc>
          <w:tcPr>
            <w:tcW w:w="2499" w:type="dxa"/>
            <w:vAlign w:val="bottom"/>
          </w:tcPr>
          <w:p w:rsidR="002516B3" w:rsidRPr="00C06DA8" w:rsidRDefault="002516B3" w:rsidP="002516B3">
            <w:pPr>
              <w:spacing w:before="40" w:after="80" w:line="200" w:lineRule="atLeast"/>
              <w:ind w:left="113" w:right="113"/>
              <w:jc w:val="center"/>
              <w:rPr>
                <w:i/>
                <w:color w:val="000000"/>
                <w:sz w:val="18"/>
                <w:szCs w:val="18"/>
              </w:rPr>
            </w:pPr>
            <w:r w:rsidRPr="00C06DA8">
              <w:rPr>
                <w:i/>
              </w:rPr>
              <w:t>13</w:t>
            </w:r>
            <w:r>
              <w:rPr>
                <w:i/>
              </w:rPr>
              <w:t>,</w:t>
            </w:r>
            <w:r w:rsidRPr="00C06DA8">
              <w:rPr>
                <w:i/>
              </w:rPr>
              <w:t>098</w:t>
            </w:r>
          </w:p>
        </w:tc>
      </w:tr>
      <w:tr w:rsidR="002516B3" w:rsidRPr="00C06DA8" w:rsidTr="002516B3">
        <w:tc>
          <w:tcPr>
            <w:tcW w:w="2468" w:type="dxa"/>
          </w:tcPr>
          <w:p w:rsidR="002516B3" w:rsidRPr="00C06DA8" w:rsidRDefault="002516B3" w:rsidP="002516B3">
            <w:pPr>
              <w:spacing w:before="40" w:after="80" w:line="200" w:lineRule="atLeast"/>
              <w:ind w:left="113" w:right="113"/>
              <w:jc w:val="center"/>
              <w:rPr>
                <w:i/>
                <w:color w:val="000000"/>
                <w:sz w:val="18"/>
                <w:szCs w:val="18"/>
              </w:rPr>
            </w:pPr>
            <w:r w:rsidRPr="00C06DA8">
              <w:rPr>
                <w:i/>
              </w:rPr>
              <w:t>150</w:t>
            </w:r>
          </w:p>
        </w:tc>
        <w:tc>
          <w:tcPr>
            <w:tcW w:w="2404" w:type="dxa"/>
            <w:vAlign w:val="bottom"/>
          </w:tcPr>
          <w:p w:rsidR="002516B3" w:rsidRPr="00C06DA8" w:rsidRDefault="002516B3" w:rsidP="002516B3">
            <w:pPr>
              <w:spacing w:before="40" w:after="80" w:line="200" w:lineRule="atLeast"/>
              <w:ind w:left="113" w:right="113"/>
              <w:jc w:val="center"/>
              <w:rPr>
                <w:i/>
                <w:color w:val="000000"/>
                <w:sz w:val="18"/>
                <w:szCs w:val="18"/>
              </w:rPr>
            </w:pPr>
            <w:r w:rsidRPr="00C06DA8">
              <w:rPr>
                <w:i/>
              </w:rPr>
              <w:t>5</w:t>
            </w:r>
            <w:r>
              <w:rPr>
                <w:i/>
              </w:rPr>
              <w:t>,</w:t>
            </w:r>
            <w:r w:rsidRPr="00C06DA8">
              <w:rPr>
                <w:i/>
              </w:rPr>
              <w:t>393</w:t>
            </w:r>
          </w:p>
        </w:tc>
        <w:tc>
          <w:tcPr>
            <w:tcW w:w="2499" w:type="dxa"/>
            <w:vAlign w:val="bottom"/>
          </w:tcPr>
          <w:p w:rsidR="002516B3" w:rsidRPr="00C06DA8" w:rsidRDefault="002516B3" w:rsidP="002516B3">
            <w:pPr>
              <w:spacing w:before="40" w:after="80" w:line="200" w:lineRule="atLeast"/>
              <w:ind w:left="113" w:right="113"/>
              <w:jc w:val="center"/>
              <w:rPr>
                <w:i/>
                <w:color w:val="000000"/>
                <w:sz w:val="18"/>
                <w:szCs w:val="18"/>
              </w:rPr>
            </w:pPr>
            <w:r w:rsidRPr="00C06DA8">
              <w:rPr>
                <w:i/>
              </w:rPr>
              <w:t>12</w:t>
            </w:r>
            <w:r>
              <w:rPr>
                <w:i/>
              </w:rPr>
              <w:t>,</w:t>
            </w:r>
            <w:r w:rsidRPr="00C06DA8">
              <w:rPr>
                <w:i/>
              </w:rPr>
              <w:t>754</w:t>
            </w:r>
          </w:p>
        </w:tc>
      </w:tr>
      <w:tr w:rsidR="002516B3" w:rsidRPr="00C06DA8" w:rsidTr="002516B3">
        <w:tc>
          <w:tcPr>
            <w:tcW w:w="2468" w:type="dxa"/>
          </w:tcPr>
          <w:p w:rsidR="002516B3" w:rsidRPr="00C06DA8" w:rsidRDefault="002516B3" w:rsidP="002516B3">
            <w:pPr>
              <w:spacing w:before="40" w:after="80" w:line="200" w:lineRule="atLeast"/>
              <w:ind w:left="113" w:right="113"/>
              <w:jc w:val="center"/>
              <w:rPr>
                <w:i/>
                <w:color w:val="000000"/>
                <w:sz w:val="18"/>
                <w:szCs w:val="18"/>
              </w:rPr>
            </w:pPr>
            <w:r w:rsidRPr="00C06DA8">
              <w:rPr>
                <w:i/>
              </w:rPr>
              <w:t>200</w:t>
            </w:r>
          </w:p>
        </w:tc>
        <w:tc>
          <w:tcPr>
            <w:tcW w:w="2404" w:type="dxa"/>
            <w:vAlign w:val="bottom"/>
          </w:tcPr>
          <w:p w:rsidR="002516B3" w:rsidRPr="00C06DA8" w:rsidRDefault="002516B3" w:rsidP="002516B3">
            <w:pPr>
              <w:spacing w:before="40" w:after="80" w:line="200" w:lineRule="atLeast"/>
              <w:ind w:left="113" w:right="113"/>
              <w:jc w:val="center"/>
              <w:rPr>
                <w:i/>
                <w:color w:val="000000"/>
                <w:sz w:val="18"/>
                <w:szCs w:val="18"/>
              </w:rPr>
            </w:pPr>
            <w:r w:rsidRPr="00C06DA8">
              <w:rPr>
                <w:i/>
              </w:rPr>
              <w:t>5</w:t>
            </w:r>
            <w:r>
              <w:rPr>
                <w:i/>
              </w:rPr>
              <w:t>,</w:t>
            </w:r>
            <w:r w:rsidRPr="00C06DA8">
              <w:rPr>
                <w:i/>
              </w:rPr>
              <w:t>300</w:t>
            </w:r>
          </w:p>
        </w:tc>
        <w:tc>
          <w:tcPr>
            <w:tcW w:w="2499" w:type="dxa"/>
            <w:vAlign w:val="bottom"/>
          </w:tcPr>
          <w:p w:rsidR="002516B3" w:rsidRPr="00C06DA8" w:rsidRDefault="002516B3" w:rsidP="002516B3">
            <w:pPr>
              <w:spacing w:before="40" w:after="80" w:line="200" w:lineRule="atLeast"/>
              <w:ind w:left="113" w:right="113"/>
              <w:jc w:val="center"/>
              <w:rPr>
                <w:i/>
                <w:color w:val="000000"/>
                <w:sz w:val="18"/>
                <w:szCs w:val="18"/>
              </w:rPr>
            </w:pPr>
            <w:r w:rsidRPr="00C06DA8">
              <w:rPr>
                <w:i/>
              </w:rPr>
              <w:t>12</w:t>
            </w:r>
            <w:r>
              <w:rPr>
                <w:i/>
              </w:rPr>
              <w:t>,</w:t>
            </w:r>
            <w:r w:rsidRPr="00C06DA8">
              <w:rPr>
                <w:i/>
              </w:rPr>
              <w:t>557</w:t>
            </w:r>
          </w:p>
        </w:tc>
      </w:tr>
      <w:tr w:rsidR="002516B3" w:rsidRPr="00C06DA8" w:rsidTr="002516B3">
        <w:tc>
          <w:tcPr>
            <w:tcW w:w="2468" w:type="dxa"/>
          </w:tcPr>
          <w:p w:rsidR="002516B3" w:rsidRPr="00C06DA8" w:rsidRDefault="002516B3" w:rsidP="002516B3">
            <w:pPr>
              <w:spacing w:before="40" w:after="80" w:line="200" w:lineRule="atLeast"/>
              <w:ind w:left="113" w:right="113"/>
              <w:jc w:val="center"/>
              <w:rPr>
                <w:i/>
                <w:color w:val="000000"/>
                <w:sz w:val="18"/>
                <w:szCs w:val="18"/>
              </w:rPr>
            </w:pPr>
            <w:r w:rsidRPr="00C06DA8">
              <w:rPr>
                <w:i/>
              </w:rPr>
              <w:t>250</w:t>
            </w:r>
          </w:p>
        </w:tc>
        <w:tc>
          <w:tcPr>
            <w:tcW w:w="2404" w:type="dxa"/>
            <w:vAlign w:val="bottom"/>
          </w:tcPr>
          <w:p w:rsidR="002516B3" w:rsidRPr="00C06DA8" w:rsidRDefault="002516B3" w:rsidP="002516B3">
            <w:pPr>
              <w:spacing w:before="40" w:after="80" w:line="200" w:lineRule="atLeast"/>
              <w:ind w:left="113" w:right="113"/>
              <w:jc w:val="center"/>
              <w:rPr>
                <w:i/>
                <w:color w:val="000000"/>
                <w:sz w:val="18"/>
                <w:szCs w:val="18"/>
              </w:rPr>
            </w:pPr>
            <w:r w:rsidRPr="00C06DA8">
              <w:rPr>
                <w:i/>
              </w:rPr>
              <w:t>5</w:t>
            </w:r>
            <w:r>
              <w:rPr>
                <w:i/>
              </w:rPr>
              <w:t>,</w:t>
            </w:r>
            <w:r w:rsidRPr="00C06DA8">
              <w:rPr>
                <w:i/>
              </w:rPr>
              <w:t>238</w:t>
            </w:r>
          </w:p>
        </w:tc>
        <w:tc>
          <w:tcPr>
            <w:tcW w:w="2499" w:type="dxa"/>
            <w:vAlign w:val="bottom"/>
          </w:tcPr>
          <w:p w:rsidR="002516B3" w:rsidRPr="00C06DA8" w:rsidRDefault="002516B3" w:rsidP="002516B3">
            <w:pPr>
              <w:spacing w:before="40" w:after="80" w:line="200" w:lineRule="atLeast"/>
              <w:ind w:left="113" w:right="113"/>
              <w:jc w:val="center"/>
              <w:rPr>
                <w:i/>
                <w:color w:val="000000"/>
                <w:sz w:val="18"/>
                <w:szCs w:val="18"/>
              </w:rPr>
            </w:pPr>
            <w:r w:rsidRPr="00C06DA8">
              <w:rPr>
                <w:i/>
              </w:rPr>
              <w:t>12</w:t>
            </w:r>
            <w:r>
              <w:rPr>
                <w:i/>
              </w:rPr>
              <w:t>,</w:t>
            </w:r>
            <w:r w:rsidRPr="00C06DA8">
              <w:rPr>
                <w:i/>
              </w:rPr>
              <w:t>426</w:t>
            </w:r>
          </w:p>
        </w:tc>
      </w:tr>
      <w:tr w:rsidR="002516B3" w:rsidRPr="00C06DA8" w:rsidTr="002516B3">
        <w:tc>
          <w:tcPr>
            <w:tcW w:w="2468" w:type="dxa"/>
          </w:tcPr>
          <w:p w:rsidR="002516B3" w:rsidRPr="00C06DA8" w:rsidRDefault="002516B3" w:rsidP="002516B3">
            <w:pPr>
              <w:spacing w:before="40" w:after="80" w:line="200" w:lineRule="atLeast"/>
              <w:ind w:left="113" w:right="113"/>
              <w:jc w:val="center"/>
              <w:rPr>
                <w:i/>
                <w:color w:val="000000"/>
                <w:sz w:val="18"/>
                <w:szCs w:val="18"/>
              </w:rPr>
            </w:pPr>
            <w:r w:rsidRPr="00C06DA8">
              <w:rPr>
                <w:i/>
              </w:rPr>
              <w:t>300</w:t>
            </w:r>
          </w:p>
        </w:tc>
        <w:tc>
          <w:tcPr>
            <w:tcW w:w="2404" w:type="dxa"/>
            <w:vAlign w:val="bottom"/>
          </w:tcPr>
          <w:p w:rsidR="002516B3" w:rsidRPr="00C06DA8" w:rsidRDefault="002516B3" w:rsidP="002516B3">
            <w:pPr>
              <w:spacing w:before="40" w:after="80" w:line="200" w:lineRule="atLeast"/>
              <w:ind w:left="113" w:right="113"/>
              <w:jc w:val="center"/>
              <w:rPr>
                <w:i/>
                <w:color w:val="000000"/>
                <w:sz w:val="18"/>
                <w:szCs w:val="18"/>
              </w:rPr>
            </w:pPr>
            <w:r w:rsidRPr="00C06DA8">
              <w:rPr>
                <w:i/>
              </w:rPr>
              <w:t>5,193</w:t>
            </w:r>
          </w:p>
        </w:tc>
        <w:tc>
          <w:tcPr>
            <w:tcW w:w="2499" w:type="dxa"/>
            <w:vAlign w:val="bottom"/>
          </w:tcPr>
          <w:p w:rsidR="002516B3" w:rsidRPr="00C06DA8" w:rsidRDefault="002516B3" w:rsidP="002516B3">
            <w:pPr>
              <w:spacing w:before="40" w:after="80" w:line="200" w:lineRule="atLeast"/>
              <w:ind w:left="113" w:right="113"/>
              <w:jc w:val="center"/>
              <w:rPr>
                <w:i/>
                <w:color w:val="000000"/>
                <w:sz w:val="18"/>
                <w:szCs w:val="18"/>
              </w:rPr>
            </w:pPr>
            <w:r w:rsidRPr="00C06DA8">
              <w:rPr>
                <w:i/>
              </w:rPr>
              <w:t>12</w:t>
            </w:r>
            <w:r>
              <w:rPr>
                <w:i/>
              </w:rPr>
              <w:t>,</w:t>
            </w:r>
            <w:r w:rsidRPr="00C06DA8">
              <w:rPr>
                <w:i/>
              </w:rPr>
              <w:t>330</w:t>
            </w:r>
          </w:p>
        </w:tc>
      </w:tr>
      <w:tr w:rsidR="002516B3" w:rsidRPr="00C06DA8" w:rsidTr="002516B3">
        <w:tc>
          <w:tcPr>
            <w:tcW w:w="2468" w:type="dxa"/>
          </w:tcPr>
          <w:p w:rsidR="002516B3" w:rsidRPr="00C06DA8" w:rsidRDefault="002516B3" w:rsidP="002516B3">
            <w:pPr>
              <w:spacing w:before="40" w:after="80" w:line="200" w:lineRule="atLeast"/>
              <w:ind w:left="113" w:right="113"/>
              <w:jc w:val="center"/>
              <w:rPr>
                <w:i/>
                <w:color w:val="000000"/>
                <w:sz w:val="18"/>
                <w:szCs w:val="18"/>
              </w:rPr>
            </w:pPr>
            <w:r w:rsidRPr="00C06DA8">
              <w:rPr>
                <w:i/>
              </w:rPr>
              <w:t>400</w:t>
            </w:r>
          </w:p>
        </w:tc>
        <w:tc>
          <w:tcPr>
            <w:tcW w:w="2404" w:type="dxa"/>
            <w:vAlign w:val="bottom"/>
          </w:tcPr>
          <w:p w:rsidR="002516B3" w:rsidRPr="00C06DA8" w:rsidRDefault="002516B3" w:rsidP="002516B3">
            <w:pPr>
              <w:spacing w:before="40" w:after="80" w:line="200" w:lineRule="atLeast"/>
              <w:ind w:left="113" w:right="113"/>
              <w:jc w:val="center"/>
              <w:rPr>
                <w:i/>
                <w:color w:val="000000"/>
                <w:sz w:val="18"/>
                <w:szCs w:val="18"/>
              </w:rPr>
            </w:pPr>
            <w:r w:rsidRPr="00C06DA8">
              <w:rPr>
                <w:i/>
              </w:rPr>
              <w:t>5</w:t>
            </w:r>
            <w:r>
              <w:rPr>
                <w:i/>
              </w:rPr>
              <w:t>,</w:t>
            </w:r>
            <w:r w:rsidRPr="00C06DA8">
              <w:rPr>
                <w:i/>
              </w:rPr>
              <w:t>131</w:t>
            </w:r>
          </w:p>
        </w:tc>
        <w:tc>
          <w:tcPr>
            <w:tcW w:w="2499" w:type="dxa"/>
            <w:vAlign w:val="bottom"/>
          </w:tcPr>
          <w:p w:rsidR="002516B3" w:rsidRPr="00C06DA8" w:rsidRDefault="002516B3" w:rsidP="002516B3">
            <w:pPr>
              <w:spacing w:before="40" w:after="80" w:line="200" w:lineRule="atLeast"/>
              <w:ind w:left="113" w:right="113"/>
              <w:jc w:val="center"/>
              <w:rPr>
                <w:i/>
                <w:color w:val="000000"/>
                <w:sz w:val="18"/>
                <w:szCs w:val="18"/>
              </w:rPr>
            </w:pPr>
            <w:r w:rsidRPr="00C06DA8">
              <w:rPr>
                <w:i/>
              </w:rPr>
              <w:t>12</w:t>
            </w:r>
            <w:r>
              <w:rPr>
                <w:i/>
              </w:rPr>
              <w:t>,</w:t>
            </w:r>
            <w:r w:rsidRPr="00C06DA8">
              <w:rPr>
                <w:i/>
              </w:rPr>
              <w:t>199</w:t>
            </w:r>
          </w:p>
        </w:tc>
      </w:tr>
      <w:tr w:rsidR="002516B3" w:rsidRPr="00C06DA8" w:rsidTr="002516B3">
        <w:tc>
          <w:tcPr>
            <w:tcW w:w="2468" w:type="dxa"/>
          </w:tcPr>
          <w:p w:rsidR="002516B3" w:rsidRPr="00C06DA8" w:rsidRDefault="002516B3" w:rsidP="002516B3">
            <w:pPr>
              <w:spacing w:before="40" w:after="80" w:line="200" w:lineRule="atLeast"/>
              <w:ind w:left="113" w:right="113"/>
              <w:jc w:val="center"/>
              <w:rPr>
                <w:i/>
                <w:color w:val="000000"/>
                <w:sz w:val="18"/>
                <w:szCs w:val="18"/>
              </w:rPr>
            </w:pPr>
            <w:r w:rsidRPr="00C06DA8">
              <w:rPr>
                <w:i/>
              </w:rPr>
              <w:t>500</w:t>
            </w:r>
          </w:p>
        </w:tc>
        <w:tc>
          <w:tcPr>
            <w:tcW w:w="2404" w:type="dxa"/>
            <w:vAlign w:val="bottom"/>
          </w:tcPr>
          <w:p w:rsidR="002516B3" w:rsidRPr="00C06DA8" w:rsidRDefault="002516B3" w:rsidP="002516B3">
            <w:pPr>
              <w:spacing w:before="40" w:after="80" w:line="200" w:lineRule="atLeast"/>
              <w:ind w:left="113" w:right="113"/>
              <w:jc w:val="center"/>
              <w:rPr>
                <w:i/>
                <w:color w:val="000000"/>
                <w:sz w:val="18"/>
                <w:szCs w:val="18"/>
              </w:rPr>
            </w:pPr>
            <w:r w:rsidRPr="00C06DA8">
              <w:rPr>
                <w:i/>
              </w:rPr>
              <w:t>5</w:t>
            </w:r>
            <w:r>
              <w:rPr>
                <w:i/>
              </w:rPr>
              <w:t>,</w:t>
            </w:r>
            <w:r w:rsidRPr="00C06DA8">
              <w:rPr>
                <w:i/>
              </w:rPr>
              <w:t>089</w:t>
            </w:r>
          </w:p>
        </w:tc>
        <w:tc>
          <w:tcPr>
            <w:tcW w:w="2499" w:type="dxa"/>
            <w:vAlign w:val="bottom"/>
          </w:tcPr>
          <w:p w:rsidR="002516B3" w:rsidRPr="00C06DA8" w:rsidRDefault="002516B3" w:rsidP="002516B3">
            <w:pPr>
              <w:spacing w:before="40" w:after="80" w:line="200" w:lineRule="atLeast"/>
              <w:ind w:left="113" w:right="113"/>
              <w:jc w:val="center"/>
              <w:rPr>
                <w:i/>
                <w:color w:val="000000"/>
                <w:sz w:val="18"/>
                <w:szCs w:val="18"/>
              </w:rPr>
            </w:pPr>
            <w:r w:rsidRPr="00C06DA8">
              <w:rPr>
                <w:i/>
              </w:rPr>
              <w:t>12</w:t>
            </w:r>
            <w:r>
              <w:rPr>
                <w:i/>
              </w:rPr>
              <w:t>,</w:t>
            </w:r>
            <w:r w:rsidRPr="00C06DA8">
              <w:rPr>
                <w:i/>
              </w:rPr>
              <w:t>111</w:t>
            </w:r>
          </w:p>
        </w:tc>
      </w:tr>
      <w:tr w:rsidR="002516B3" w:rsidRPr="00C06DA8" w:rsidTr="002516B3">
        <w:tc>
          <w:tcPr>
            <w:tcW w:w="2468" w:type="dxa"/>
          </w:tcPr>
          <w:p w:rsidR="002516B3" w:rsidRPr="00C06DA8" w:rsidRDefault="002516B3" w:rsidP="002516B3">
            <w:pPr>
              <w:spacing w:before="40" w:after="80" w:line="200" w:lineRule="atLeast"/>
              <w:ind w:left="113" w:right="113"/>
              <w:jc w:val="center"/>
              <w:rPr>
                <w:i/>
                <w:color w:val="000000"/>
                <w:sz w:val="18"/>
                <w:szCs w:val="18"/>
              </w:rPr>
            </w:pPr>
            <w:r w:rsidRPr="00C06DA8">
              <w:rPr>
                <w:i/>
              </w:rPr>
              <w:t>1</w:t>
            </w:r>
            <w:r>
              <w:rPr>
                <w:i/>
              </w:rPr>
              <w:t xml:space="preserve"> </w:t>
            </w:r>
            <w:r w:rsidRPr="00C06DA8">
              <w:rPr>
                <w:i/>
              </w:rPr>
              <w:t>000</w:t>
            </w:r>
          </w:p>
        </w:tc>
        <w:tc>
          <w:tcPr>
            <w:tcW w:w="2404" w:type="dxa"/>
            <w:vAlign w:val="bottom"/>
          </w:tcPr>
          <w:p w:rsidR="002516B3" w:rsidRPr="00C06DA8" w:rsidRDefault="002516B3" w:rsidP="002516B3">
            <w:pPr>
              <w:spacing w:before="40" w:after="80" w:line="200" w:lineRule="atLeast"/>
              <w:ind w:left="113" w:right="113"/>
              <w:jc w:val="center"/>
              <w:rPr>
                <w:i/>
                <w:color w:val="000000"/>
                <w:sz w:val="18"/>
                <w:szCs w:val="18"/>
              </w:rPr>
            </w:pPr>
            <w:r w:rsidRPr="00C06DA8">
              <w:rPr>
                <w:i/>
              </w:rPr>
              <w:t>4</w:t>
            </w:r>
            <w:r>
              <w:rPr>
                <w:i/>
              </w:rPr>
              <w:t>,</w:t>
            </w:r>
            <w:r w:rsidRPr="00C06DA8">
              <w:rPr>
                <w:i/>
              </w:rPr>
              <w:t>988</w:t>
            </w:r>
          </w:p>
        </w:tc>
        <w:tc>
          <w:tcPr>
            <w:tcW w:w="2499" w:type="dxa"/>
            <w:vAlign w:val="bottom"/>
          </w:tcPr>
          <w:p w:rsidR="002516B3" w:rsidRPr="00C06DA8" w:rsidRDefault="002516B3" w:rsidP="002516B3">
            <w:pPr>
              <w:spacing w:before="40" w:after="80" w:line="200" w:lineRule="atLeast"/>
              <w:ind w:left="113" w:right="113"/>
              <w:jc w:val="center"/>
              <w:rPr>
                <w:i/>
                <w:color w:val="000000"/>
                <w:sz w:val="18"/>
                <w:szCs w:val="18"/>
              </w:rPr>
            </w:pPr>
            <w:r w:rsidRPr="00C06DA8">
              <w:rPr>
                <w:i/>
              </w:rPr>
              <w:t>11</w:t>
            </w:r>
            <w:r>
              <w:rPr>
                <w:i/>
              </w:rPr>
              <w:t>,</w:t>
            </w:r>
            <w:r w:rsidRPr="00C06DA8">
              <w:rPr>
                <w:i/>
              </w:rPr>
              <w:t>897</w:t>
            </w:r>
          </w:p>
        </w:tc>
      </w:tr>
      <w:tr w:rsidR="002516B3" w:rsidRPr="00C06DA8" w:rsidTr="002516B3">
        <w:tc>
          <w:tcPr>
            <w:tcW w:w="2468" w:type="dxa"/>
          </w:tcPr>
          <w:p w:rsidR="002516B3" w:rsidRPr="00C06DA8" w:rsidRDefault="002516B3" w:rsidP="002516B3">
            <w:pPr>
              <w:spacing w:before="40" w:after="80" w:line="200" w:lineRule="atLeast"/>
              <w:ind w:left="113" w:right="113"/>
              <w:jc w:val="center"/>
              <w:rPr>
                <w:i/>
                <w:color w:val="000000"/>
                <w:sz w:val="18"/>
                <w:szCs w:val="18"/>
              </w:rPr>
            </w:pPr>
            <w:r w:rsidRPr="00C06DA8">
              <w:rPr>
                <w:i/>
              </w:rPr>
              <w:t>∞</w:t>
            </w:r>
          </w:p>
        </w:tc>
        <w:tc>
          <w:tcPr>
            <w:tcW w:w="2404" w:type="dxa"/>
            <w:vAlign w:val="bottom"/>
          </w:tcPr>
          <w:p w:rsidR="002516B3" w:rsidRPr="00C06DA8" w:rsidRDefault="002516B3" w:rsidP="002516B3">
            <w:pPr>
              <w:spacing w:before="40" w:after="80" w:line="200" w:lineRule="atLeast"/>
              <w:ind w:left="113" w:right="113"/>
              <w:jc w:val="center"/>
              <w:rPr>
                <w:i/>
                <w:color w:val="000000"/>
                <w:sz w:val="18"/>
                <w:szCs w:val="18"/>
              </w:rPr>
            </w:pPr>
            <w:r w:rsidRPr="00C06DA8">
              <w:rPr>
                <w:i/>
              </w:rPr>
              <w:t>4</w:t>
            </w:r>
            <w:r>
              <w:rPr>
                <w:i/>
              </w:rPr>
              <w:t>,</w:t>
            </w:r>
            <w:r w:rsidRPr="00C06DA8">
              <w:rPr>
                <w:i/>
              </w:rPr>
              <w:t>753</w:t>
            </w:r>
          </w:p>
        </w:tc>
        <w:tc>
          <w:tcPr>
            <w:tcW w:w="2499" w:type="dxa"/>
            <w:vAlign w:val="bottom"/>
          </w:tcPr>
          <w:p w:rsidR="002516B3" w:rsidRPr="00C06DA8" w:rsidRDefault="002516B3" w:rsidP="002516B3">
            <w:pPr>
              <w:spacing w:before="40" w:after="80" w:line="200" w:lineRule="atLeast"/>
              <w:ind w:left="113" w:right="113"/>
              <w:jc w:val="center"/>
              <w:rPr>
                <w:i/>
                <w:color w:val="000000"/>
                <w:sz w:val="18"/>
                <w:szCs w:val="18"/>
              </w:rPr>
            </w:pPr>
            <w:r w:rsidRPr="00C06DA8">
              <w:rPr>
                <w:i/>
              </w:rPr>
              <w:t>11</w:t>
            </w:r>
            <w:r>
              <w:rPr>
                <w:i/>
              </w:rPr>
              <w:t>,</w:t>
            </w:r>
            <w:r w:rsidRPr="00C06DA8">
              <w:rPr>
                <w:i/>
              </w:rPr>
              <w:t>408</w:t>
            </w:r>
          </w:p>
        </w:tc>
      </w:tr>
    </w:tbl>
    <w:p w:rsidR="002516B3" w:rsidRPr="00A425E0" w:rsidRDefault="002516B3" w:rsidP="002516B3">
      <w:pPr>
        <w:pStyle w:val="SingleTxtGR"/>
        <w:spacing w:before="120"/>
        <w:rPr>
          <w:i/>
        </w:rPr>
      </w:pPr>
      <w:r w:rsidRPr="00A425E0">
        <w:rPr>
          <w:b/>
          <w:bCs/>
          <w:i/>
          <w:iCs/>
        </w:rPr>
        <w:t>ПРИМЕЧАНИЕ:</w:t>
      </w:r>
      <w:r w:rsidRPr="00A425E0">
        <w:rPr>
          <w:i/>
          <w:iCs/>
        </w:rPr>
        <w:t xml:space="preserve"> Если размер выборки находится между двумя значениями, то выбирают ближайший меньший размер выборки.</w:t>
      </w:r>
    </w:p>
    <w:p w:rsidR="002516B3" w:rsidRPr="00A425E0" w:rsidRDefault="002516B3" w:rsidP="002516B3">
      <w:pPr>
        <w:pStyle w:val="SingleTxtGR"/>
        <w:ind w:left="1701" w:hanging="567"/>
      </w:pPr>
      <w:r w:rsidRPr="00A425E0">
        <w:t>h)</w:t>
      </w:r>
      <w:r w:rsidRPr="00A425E0">
        <w:tab/>
        <w:t>Меры, принимаемые в случае, если не соблюдены критерии приемлемости</w:t>
      </w:r>
    </w:p>
    <w:p w:rsidR="002516B3" w:rsidRPr="00A425E0" w:rsidRDefault="002516B3" w:rsidP="002516B3">
      <w:pPr>
        <w:pStyle w:val="SingleTxtGR"/>
        <w:ind w:left="1701" w:hanging="567"/>
      </w:pPr>
      <w:r>
        <w:tab/>
      </w:r>
      <w:r w:rsidRPr="00A425E0">
        <w:t>Если результат испытания на разрыв, испытания на отслаивание и коррозию или испытания на адгезию не соответствует критериям, указанным в таблице, приведенной в подпункте g), то затронутая партия баллонов с формованным кожухом должна быть отделена собственником для проведения дальнейшего разбирательства, не должна наполняться или предъявляться для транспортировки и использования.</w:t>
      </w:r>
    </w:p>
    <w:p w:rsidR="002516B3" w:rsidRPr="00A425E0" w:rsidRDefault="002516B3" w:rsidP="002516B3">
      <w:pPr>
        <w:pStyle w:val="SingleTxtGR"/>
        <w:ind w:left="1701" w:hanging="567"/>
      </w:pPr>
      <w:r>
        <w:tab/>
      </w:r>
      <w:r w:rsidRPr="00A425E0">
        <w:t>В соответствии с договоренностью с к</w:t>
      </w:r>
      <w:r>
        <w:t>омпетентным органом или органом </w:t>
      </w:r>
      <w:r w:rsidRPr="00A425E0">
        <w:t>Xa, выдавшим свидетельство об утверждении конструкции, могут быть проведены дополнительные испытания с целью определить основную причину непрохождения испытания.</w:t>
      </w:r>
    </w:p>
    <w:p w:rsidR="002516B3" w:rsidRPr="00A425E0" w:rsidRDefault="002516B3" w:rsidP="002516B3">
      <w:pPr>
        <w:pStyle w:val="SingleTxtGR"/>
        <w:ind w:left="1701" w:hanging="567"/>
      </w:pPr>
      <w:r>
        <w:tab/>
      </w:r>
      <w:r w:rsidRPr="00A425E0">
        <w:t>Если невозможно доказать, что основная причина характерна только для затронутой партии данного собственник</w:t>
      </w:r>
      <w:r>
        <w:t>а, компетентный орган или орган </w:t>
      </w:r>
      <w:r w:rsidRPr="00A425E0">
        <w:t xml:space="preserve">Xa должен принять меры в отношении всей основной совокупности и, возможно, других годов изготовления. </w:t>
      </w:r>
    </w:p>
    <w:p w:rsidR="002516B3" w:rsidRPr="00A425E0" w:rsidRDefault="002516B3" w:rsidP="002516B3">
      <w:pPr>
        <w:pStyle w:val="SingleTxtGR"/>
        <w:ind w:left="1701" w:hanging="567"/>
      </w:pPr>
      <w:r>
        <w:tab/>
      </w:r>
      <w:r w:rsidRPr="00A425E0">
        <w:t>Если возможно доказать, что основная причина характерна только для части затронутой партии, компетентный орган может разрешить дальнейшую эксплуатацию незатронутых частей данной партии. Должно быть доказано, что ни один баллон с формованным кожухом, возвращаемый в эксплуатацию, не затронут.</w:t>
      </w:r>
    </w:p>
    <w:p w:rsidR="002516B3" w:rsidRPr="00A425E0" w:rsidRDefault="002516B3" w:rsidP="002516B3">
      <w:pPr>
        <w:pStyle w:val="SingleTxtGR"/>
      </w:pPr>
      <w:r>
        <w:br w:type="page"/>
      </w:r>
      <w:r w:rsidRPr="00A425E0">
        <w:lastRenderedPageBreak/>
        <w:t>i)</w:t>
      </w:r>
      <w:r w:rsidRPr="00A425E0">
        <w:tab/>
        <w:t>Требования, предъявляемые к заправочным центрам</w:t>
      </w:r>
    </w:p>
    <w:p w:rsidR="002516B3" w:rsidRPr="00A425E0" w:rsidRDefault="002516B3" w:rsidP="002516B3">
      <w:pPr>
        <w:pStyle w:val="SingleTxtGR"/>
        <w:ind w:left="1701"/>
      </w:pPr>
      <w:r w:rsidRPr="00A425E0">
        <w:t>Собственник должен предоставить компетентному органу документальные свидетельства того, что заправочные центры:</w:t>
      </w:r>
    </w:p>
    <w:p w:rsidR="002516B3" w:rsidRPr="00A425E0" w:rsidRDefault="002516B3" w:rsidP="002516B3">
      <w:pPr>
        <w:pStyle w:val="SingleTxtGR"/>
        <w:ind w:left="1701"/>
      </w:pPr>
      <w:r>
        <w:t>–</w:t>
      </w:r>
      <w:r w:rsidRPr="00A425E0">
        <w:tab/>
        <w:t>отвечают положениям пункта (7) инструкции по упаковке P200, изложенной в подразделе 4.1.4.1, и что требования стандарта в отношении проверок перед наполнением, указанного в таблице пункта (11) инструкции по упаковке P200, изложенной в подразделе 4.1.4.1, соблюдены и применяются надлежащим образом;</w:t>
      </w:r>
    </w:p>
    <w:p w:rsidR="002516B3" w:rsidRPr="00A425E0" w:rsidRDefault="002516B3" w:rsidP="002516B3">
      <w:pPr>
        <w:pStyle w:val="SingleTxtGR"/>
        <w:ind w:left="1701"/>
      </w:pPr>
      <w:r>
        <w:t>–</w:t>
      </w:r>
      <w:r w:rsidRPr="00A425E0">
        <w:tab/>
        <w:t>имеют соответствующие средства для идентификации баллонов с формованным защитным кожухом с помощью устройства для электронной идентификации;</w:t>
      </w:r>
    </w:p>
    <w:p w:rsidR="002516B3" w:rsidRPr="00A425E0" w:rsidRDefault="002516B3" w:rsidP="002516B3">
      <w:pPr>
        <w:pStyle w:val="SingleTxtGR"/>
        <w:ind w:left="1701"/>
      </w:pPr>
      <w:r>
        <w:t>–</w:t>
      </w:r>
      <w:r w:rsidRPr="00A425E0">
        <w:tab/>
        <w:t>имеют доступ к базе данных, определенной в подпункте d);</w:t>
      </w:r>
    </w:p>
    <w:p w:rsidR="002516B3" w:rsidRPr="00A425E0" w:rsidRDefault="002516B3" w:rsidP="002516B3">
      <w:pPr>
        <w:pStyle w:val="SingleTxtGR"/>
        <w:ind w:left="1701"/>
      </w:pPr>
      <w:r>
        <w:t>–</w:t>
      </w:r>
      <w:r w:rsidRPr="00A425E0">
        <w:tab/>
        <w:t>имеют возможности для обновления этой базы данных;</w:t>
      </w:r>
    </w:p>
    <w:p w:rsidR="002516B3" w:rsidRPr="00A425E0" w:rsidRDefault="002516B3" w:rsidP="002516B3">
      <w:pPr>
        <w:pStyle w:val="SingleTxtGR"/>
        <w:ind w:left="1701"/>
      </w:pPr>
      <w:r>
        <w:t>–</w:t>
      </w:r>
      <w:r w:rsidRPr="00A425E0">
        <w:tab/>
        <w:t>применяют систему качества, с</w:t>
      </w:r>
      <w:r>
        <w:t>оответствующую стандартам серии </w:t>
      </w:r>
      <w:r w:rsidRPr="00A425E0">
        <w:t>ISO 9000 или эквивалентным стандартам, которая сертифицирована аккредитованным независимым органом, признанным компетентным органом.».</w:t>
      </w:r>
    </w:p>
    <w:p w:rsidR="002516B3" w:rsidRPr="00A425E0" w:rsidRDefault="002516B3" w:rsidP="002516B3">
      <w:pPr>
        <w:pStyle w:val="SingleTxtGR"/>
        <w:rPr>
          <w:i/>
          <w:iCs/>
        </w:rPr>
      </w:pPr>
      <w:r w:rsidRPr="00A425E0">
        <w:rPr>
          <w:i/>
          <w:iCs/>
        </w:rPr>
        <w:t>(Справочный документ: ECE/TRANS/WP.15/AC.1/2017/33 с поправками, содержащимися в неофициальных документах INF.55 и INF.56)</w:t>
      </w:r>
    </w:p>
    <w:p w:rsidR="002516B3" w:rsidRPr="00B75AEE" w:rsidRDefault="002516B3" w:rsidP="002516B3">
      <w:pPr>
        <w:pStyle w:val="H1GR"/>
      </w:pPr>
      <w:r w:rsidRPr="00B75AEE">
        <w:tab/>
      </w:r>
      <w:r w:rsidRPr="00B75AEE">
        <w:tab/>
        <w:t>Глава 4.1</w:t>
      </w:r>
    </w:p>
    <w:p w:rsidR="002516B3" w:rsidRPr="00A425E0" w:rsidRDefault="002516B3" w:rsidP="002516B3">
      <w:pPr>
        <w:pStyle w:val="SingleTxtGR"/>
      </w:pPr>
      <w:r w:rsidRPr="00A425E0">
        <w:t xml:space="preserve">4.1.4.1, инструкция по упаковке P200 </w:t>
      </w:r>
      <w:r w:rsidRPr="00A425E0">
        <w:tab/>
        <w:t xml:space="preserve">В пункте (10), в специальном положении по упаковке </w:t>
      </w:r>
      <w:r>
        <w:t>«</w:t>
      </w:r>
      <w:r w:rsidRPr="00A425E0">
        <w:t>va</w:t>
      </w:r>
      <w:r>
        <w:t>»</w:t>
      </w:r>
      <w:r w:rsidRPr="00A425E0">
        <w:t xml:space="preserve"> добавить «и</w:t>
      </w:r>
      <w:r>
        <w:t>ли EN ISO 15996:2017» после «EN ISO </w:t>
      </w:r>
      <w:r w:rsidRPr="00A425E0">
        <w:t>15996:2005 + А1:2007» (дважды).</w:t>
      </w:r>
    </w:p>
    <w:p w:rsidR="002516B3" w:rsidRPr="00A425E0" w:rsidRDefault="002516B3" w:rsidP="002516B3">
      <w:pPr>
        <w:pStyle w:val="SingleTxtGR"/>
        <w:rPr>
          <w:i/>
          <w:iCs/>
        </w:rPr>
      </w:pPr>
      <w:r w:rsidRPr="00A425E0">
        <w:rPr>
          <w:i/>
          <w:iCs/>
        </w:rPr>
        <w:t>(Справочный документ: неофициальный документ INF.53, предложение 3)</w:t>
      </w:r>
    </w:p>
    <w:p w:rsidR="002516B3" w:rsidRPr="00A425E0" w:rsidRDefault="002516B3" w:rsidP="002516B3">
      <w:pPr>
        <w:pStyle w:val="SingleTxtGR"/>
      </w:pPr>
      <w:r w:rsidRPr="00A425E0">
        <w:t>4.1.4.1, инструкция по упаковке P200</w:t>
      </w:r>
      <w:r w:rsidRPr="00A425E0">
        <w:tab/>
        <w:t>В пункте (11), в таблице, в колонке «Обозначение стандарта», в клетке «EN 1439» исключить «(за исключением 3.5 и приложения G)».</w:t>
      </w:r>
    </w:p>
    <w:p w:rsidR="002516B3" w:rsidRPr="00A425E0" w:rsidRDefault="002516B3" w:rsidP="002516B3">
      <w:pPr>
        <w:pStyle w:val="SingleTxtGR"/>
        <w:rPr>
          <w:i/>
          <w:iCs/>
        </w:rPr>
      </w:pPr>
      <w:r w:rsidRPr="00A425E0">
        <w:rPr>
          <w:i/>
          <w:iCs/>
        </w:rPr>
        <w:t>(Справочный документ: ECE/TRANS/WP.15/AC.1/2017/33 с поправками, содержащимися в неофициальных документах INF.55 и INF.56)</w:t>
      </w:r>
    </w:p>
    <w:p w:rsidR="002516B3" w:rsidRPr="00A425E0" w:rsidRDefault="002516B3" w:rsidP="002516B3">
      <w:pPr>
        <w:pStyle w:val="SingleTxtGR"/>
      </w:pPr>
      <w:r w:rsidRPr="00A425E0">
        <w:t>4.1.6.15</w:t>
      </w:r>
      <w:r w:rsidRPr="00A425E0">
        <w:tab/>
        <w:t>В таблице добавить в графу «4.1.6.8 Вентили с конструктивной защитой» следующую новую строку:</w:t>
      </w:r>
    </w:p>
    <w:tbl>
      <w:tblPr>
        <w:tblW w:w="7371" w:type="dxa"/>
        <w:tblInd w:w="119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333"/>
        <w:gridCol w:w="2069"/>
        <w:gridCol w:w="3969"/>
      </w:tblGrid>
      <w:tr w:rsidR="002516B3" w:rsidRPr="00C33081" w:rsidTr="002516B3">
        <w:trPr>
          <w:trHeight w:val="227"/>
        </w:trPr>
        <w:tc>
          <w:tcPr>
            <w:tcW w:w="1333" w:type="dxa"/>
            <w:shd w:val="clear" w:color="auto" w:fill="auto"/>
          </w:tcPr>
          <w:p w:rsidR="002516B3" w:rsidRPr="006C4425" w:rsidRDefault="002516B3" w:rsidP="002516B3">
            <w:pPr>
              <w:keepNext/>
              <w:spacing w:before="40" w:after="120"/>
              <w:ind w:hanging="22"/>
            </w:pPr>
            <w:r>
              <w:t>4.1.6.8 Вентили с конструктив-</w:t>
            </w:r>
            <w:r w:rsidRPr="006C4425">
              <w:rPr>
                <w:b/>
                <w:i/>
                <w:sz w:val="18"/>
                <w:szCs w:val="18"/>
              </w:rPr>
              <w:br/>
            </w:r>
            <w:r>
              <w:t>ной защитой</w:t>
            </w:r>
          </w:p>
        </w:tc>
        <w:tc>
          <w:tcPr>
            <w:tcW w:w="2069" w:type="dxa"/>
            <w:shd w:val="clear" w:color="auto" w:fill="auto"/>
          </w:tcPr>
          <w:p w:rsidR="002516B3" w:rsidRPr="00960236" w:rsidRDefault="002516B3" w:rsidP="002516B3">
            <w:pPr>
              <w:keepNext/>
              <w:spacing w:before="40" w:after="120"/>
              <w:ind w:hanging="22"/>
            </w:pPr>
            <w:r>
              <w:t>EN ISO 17879:2017</w:t>
            </w:r>
          </w:p>
        </w:tc>
        <w:tc>
          <w:tcPr>
            <w:tcW w:w="3969" w:type="dxa"/>
            <w:shd w:val="clear" w:color="auto" w:fill="auto"/>
          </w:tcPr>
          <w:p w:rsidR="002516B3" w:rsidRPr="007A0339" w:rsidRDefault="002516B3" w:rsidP="002516B3">
            <w:pPr>
              <w:spacing w:before="40" w:after="120"/>
            </w:pPr>
            <w:r>
              <w:t>Газовые баллоны – Самозакрывающиеся вентили баллонов – Технические требования и испытания типа</w:t>
            </w:r>
          </w:p>
        </w:tc>
      </w:tr>
    </w:tbl>
    <w:p w:rsidR="002516B3" w:rsidRPr="00A425E0" w:rsidRDefault="002516B3" w:rsidP="002516B3">
      <w:pPr>
        <w:pStyle w:val="SingleTxtGR"/>
        <w:rPr>
          <w:i/>
          <w:iCs/>
        </w:rPr>
      </w:pPr>
      <w:r w:rsidRPr="00A425E0">
        <w:rPr>
          <w:i/>
          <w:iCs/>
        </w:rPr>
        <w:t>(Справочный документ: неофициальный документ INF.53, предложение 4)</w:t>
      </w:r>
    </w:p>
    <w:p w:rsidR="002516B3" w:rsidRPr="00B75AEE" w:rsidRDefault="002516B3" w:rsidP="002516B3">
      <w:pPr>
        <w:pStyle w:val="H1GR"/>
      </w:pPr>
      <w:r w:rsidRPr="00B75AEE">
        <w:tab/>
      </w:r>
      <w:r w:rsidRPr="00B75AEE">
        <w:tab/>
        <w:t>Глава 4.3</w:t>
      </w:r>
    </w:p>
    <w:p w:rsidR="002516B3" w:rsidRPr="00A425E0" w:rsidRDefault="002516B3" w:rsidP="002516B3">
      <w:pPr>
        <w:pStyle w:val="SingleTxtGR"/>
      </w:pPr>
      <w:r w:rsidRPr="00A425E0">
        <w:t>4.3.5</w:t>
      </w:r>
      <w:r w:rsidRPr="00A425E0">
        <w:tab/>
        <w:t>Добавить новое специальное положение TU43 следующего содержания:</w:t>
      </w:r>
    </w:p>
    <w:p w:rsidR="002516B3" w:rsidRPr="00A425E0" w:rsidRDefault="002516B3" w:rsidP="002516B3">
      <w:pPr>
        <w:pStyle w:val="SingleTxtGR"/>
      </w:pPr>
      <w:r w:rsidRPr="00A425E0">
        <w:t>«TU 43</w:t>
      </w:r>
      <w:r w:rsidRPr="00A425E0">
        <w:tab/>
        <w:t>Порожняя неочищенная цистерна может передаваться для перевозки после даты истечения срока действия последней проверки облицовки в течение периода, не превышающего трех месяцев после этой даты, в целях прохождения очередной проверки облицовки перед очередным наполнением (см. специальное положение</w:t>
      </w:r>
      <w:r>
        <w:t xml:space="preserve"> </w:t>
      </w:r>
      <w:r w:rsidRPr="00A425E0">
        <w:t>TT2 в пункте 6.8.4 d)).».</w:t>
      </w:r>
    </w:p>
    <w:p w:rsidR="002516B3" w:rsidRPr="00A425E0" w:rsidRDefault="002516B3" w:rsidP="002516B3">
      <w:pPr>
        <w:pStyle w:val="SingleTxtGR"/>
        <w:rPr>
          <w:i/>
          <w:iCs/>
        </w:rPr>
      </w:pPr>
      <w:r w:rsidRPr="00A425E0">
        <w:rPr>
          <w:i/>
          <w:iCs/>
        </w:rPr>
        <w:t>(Справочный документ: неофициальный документ INF.46, предложение 1)</w:t>
      </w:r>
    </w:p>
    <w:p w:rsidR="002516B3" w:rsidRPr="00B75AEE" w:rsidRDefault="002516B3" w:rsidP="002516B3">
      <w:pPr>
        <w:pStyle w:val="H1GR"/>
      </w:pPr>
      <w:r w:rsidRPr="00B75AEE">
        <w:lastRenderedPageBreak/>
        <w:tab/>
      </w:r>
      <w:r w:rsidRPr="00B75AEE">
        <w:tab/>
        <w:t>Глава 5.2</w:t>
      </w:r>
    </w:p>
    <w:p w:rsidR="002516B3" w:rsidRPr="00A425E0" w:rsidRDefault="002516B3" w:rsidP="002516B3">
      <w:pPr>
        <w:pStyle w:val="SingleTxtGR"/>
      </w:pPr>
      <w:r w:rsidRPr="00A425E0">
        <w:t>[5.2.2.2.1.1.2</w:t>
      </w:r>
      <w:r w:rsidRPr="00A425E0">
        <w:tab/>
        <w:t>Заменить второе и третье предложения следующим текстом: «Минимальные размеры − 100 мм x 100 мм. С внутренней стороны кромки ромба должна проходить линия, которая должна быть параллельна внутренней стороне кромки знака и отступать от нее приблизительно на 5 мм.».]</w:t>
      </w:r>
    </w:p>
    <w:p w:rsidR="002516B3" w:rsidRPr="00A425E0" w:rsidRDefault="002516B3" w:rsidP="002516B3">
      <w:pPr>
        <w:pStyle w:val="SingleTxtGR"/>
        <w:rPr>
          <w:i/>
          <w:iCs/>
        </w:rPr>
      </w:pPr>
      <w:r w:rsidRPr="00A425E0">
        <w:rPr>
          <w:i/>
          <w:iCs/>
        </w:rPr>
        <w:t>(Справочный документ: неофициальный документ INF.57)</w:t>
      </w:r>
    </w:p>
    <w:p w:rsidR="002516B3" w:rsidRPr="00B75AEE" w:rsidRDefault="002516B3" w:rsidP="002516B3">
      <w:pPr>
        <w:pStyle w:val="H1GR"/>
      </w:pPr>
      <w:r w:rsidRPr="00B75AEE">
        <w:tab/>
      </w:r>
      <w:r w:rsidRPr="00B75AEE">
        <w:tab/>
        <w:t>Глава 5.3</w:t>
      </w:r>
    </w:p>
    <w:p w:rsidR="002516B3" w:rsidRPr="00A425E0" w:rsidRDefault="002516B3" w:rsidP="002516B3">
      <w:pPr>
        <w:pStyle w:val="SingleTxtGR"/>
      </w:pPr>
      <w:r w:rsidRPr="00A425E0">
        <w:t>5.3.1.1.1</w:t>
      </w:r>
      <w:r w:rsidRPr="00A425E0">
        <w:tab/>
        <w:t>В конце добавить: «Большие знаки опасности должны быть атмосферостойкими и обеспечивать долговечность маркировки на протяжении всего рейса.».</w:t>
      </w:r>
    </w:p>
    <w:p w:rsidR="002516B3" w:rsidRPr="00A425E0" w:rsidRDefault="002516B3" w:rsidP="002516B3">
      <w:pPr>
        <w:pStyle w:val="SingleTxtGR"/>
        <w:rPr>
          <w:i/>
        </w:rPr>
      </w:pPr>
      <w:r w:rsidRPr="00A425E0">
        <w:rPr>
          <w:i/>
          <w:iCs/>
        </w:rPr>
        <w:t>(Справочный документ: неофициальный документ INF.31, предложение 1)</w:t>
      </w:r>
    </w:p>
    <w:p w:rsidR="002516B3" w:rsidRPr="00A425E0" w:rsidRDefault="002516B3" w:rsidP="002516B3">
      <w:pPr>
        <w:pStyle w:val="SingleTxtGR"/>
      </w:pPr>
      <w:r>
        <w:t>5.3.3</w:t>
      </w:r>
      <w:r>
        <w:tab/>
      </w:r>
      <w:r>
        <w:tab/>
      </w:r>
      <w:r w:rsidRPr="00A425E0">
        <w:t>В конце второго абзаца добавить следующее предложение: «Маркировочный знак должен быть атмосферостойким и обеспечивать долговечность маркировки на протяжении всего рейса.».</w:t>
      </w:r>
    </w:p>
    <w:p w:rsidR="002516B3" w:rsidRPr="00A425E0" w:rsidRDefault="002516B3" w:rsidP="002516B3">
      <w:pPr>
        <w:pStyle w:val="SingleTxtGR"/>
        <w:rPr>
          <w:i/>
        </w:rPr>
      </w:pPr>
      <w:r w:rsidRPr="00A425E0">
        <w:rPr>
          <w:i/>
          <w:iCs/>
        </w:rPr>
        <w:t>(Справочный документ: неофициальный документ INF.31, предложение 2, с поправками, содержащимися в неофициальном документе INF.31/Rev.1)</w:t>
      </w:r>
    </w:p>
    <w:p w:rsidR="002516B3" w:rsidRPr="00A425E0" w:rsidRDefault="002516B3" w:rsidP="002516B3">
      <w:pPr>
        <w:pStyle w:val="SingleTxtGR"/>
      </w:pPr>
      <w:r w:rsidRPr="00A425E0">
        <w:t>5.3.6.1</w:t>
      </w:r>
      <w:r w:rsidRPr="00A425E0">
        <w:tab/>
        <w:t>В конце добавить новое предложение следующего содержания: «Это положение не применяется в отношении изъятий, предусмотренных в пункте 5.2.1.8.1.».</w:t>
      </w:r>
    </w:p>
    <w:p w:rsidR="002516B3" w:rsidRPr="00A425E0" w:rsidRDefault="002516B3" w:rsidP="002516B3">
      <w:pPr>
        <w:pStyle w:val="SingleTxtGR"/>
        <w:rPr>
          <w:i/>
          <w:iCs/>
        </w:rPr>
      </w:pPr>
      <w:r w:rsidRPr="00A425E0">
        <w:rPr>
          <w:i/>
          <w:iCs/>
        </w:rPr>
        <w:t>(Справочный документ: ECE/TRANS/WP.15/AC.1/2017/30)</w:t>
      </w:r>
    </w:p>
    <w:p w:rsidR="002516B3" w:rsidRPr="00B75AEE" w:rsidRDefault="002516B3" w:rsidP="002516B3">
      <w:pPr>
        <w:pStyle w:val="H1GR"/>
      </w:pPr>
      <w:r w:rsidRPr="00B75AEE">
        <w:tab/>
      </w:r>
      <w:r w:rsidRPr="00B75AEE">
        <w:tab/>
        <w:t>Глава 6.1</w:t>
      </w:r>
    </w:p>
    <w:p w:rsidR="002516B3" w:rsidRPr="00A425E0" w:rsidRDefault="002516B3" w:rsidP="002516B3">
      <w:pPr>
        <w:pStyle w:val="SingleTxtGR"/>
      </w:pPr>
      <w:r w:rsidRPr="00A425E0">
        <w:t>6.1.1.1 b)</w:t>
      </w:r>
      <w:r w:rsidRPr="00A425E0">
        <w:tab/>
        <w:t>Заменить «(см. главу 6.3, прим</w:t>
      </w:r>
      <w:r>
        <w:t>ечание и инструкцию по упаковке </w:t>
      </w:r>
      <w:r w:rsidRPr="00A425E0">
        <w:t>P621 в подразделе 4.1.4.1)» на «(см. примечание под заголовком главы 6.3 и инструкцию по упаковке P621 в подразделе 4.1.4.1)».</w:t>
      </w:r>
    </w:p>
    <w:p w:rsidR="002516B3" w:rsidRPr="00A425E0" w:rsidRDefault="002516B3" w:rsidP="002516B3">
      <w:pPr>
        <w:pStyle w:val="SingleTxtGR"/>
        <w:rPr>
          <w:i/>
          <w:iCs/>
        </w:rPr>
      </w:pPr>
      <w:r w:rsidRPr="00A425E0">
        <w:rPr>
          <w:i/>
          <w:iCs/>
        </w:rPr>
        <w:t>(Справочный документ: ECE/TRANS/WP.15/AC.1/2017/43 с поправками)</w:t>
      </w:r>
    </w:p>
    <w:p w:rsidR="002516B3" w:rsidRPr="00B75AEE" w:rsidRDefault="002516B3" w:rsidP="002516B3">
      <w:pPr>
        <w:pStyle w:val="H1GR"/>
      </w:pPr>
      <w:r w:rsidRPr="00B75AEE">
        <w:tab/>
      </w:r>
      <w:r w:rsidRPr="00B75AEE">
        <w:tab/>
        <w:t>Глава 6.2</w:t>
      </w:r>
    </w:p>
    <w:p w:rsidR="002516B3" w:rsidRPr="00A425E0" w:rsidRDefault="002516B3" w:rsidP="002516B3">
      <w:pPr>
        <w:pStyle w:val="SingleTxtGR"/>
      </w:pPr>
      <w:r w:rsidRPr="00A425E0">
        <w:t>Добавить новый пункт 6.2.3.5.3 следующего содержания:</w:t>
      </w:r>
    </w:p>
    <w:p w:rsidR="002516B3" w:rsidRPr="00A425E0" w:rsidRDefault="002516B3" w:rsidP="002516B3">
      <w:pPr>
        <w:pStyle w:val="SingleTxtGR"/>
      </w:pPr>
      <w:r w:rsidRPr="00A425E0">
        <w:t>«6.2.3.5.3</w:t>
      </w:r>
      <w:r w:rsidRPr="00A425E0">
        <w:tab/>
      </w:r>
      <w:r w:rsidRPr="00A425E0">
        <w:rPr>
          <w:i/>
          <w:iCs/>
        </w:rPr>
        <w:t>Общие положения, касающиеся замены специальной(ых) проверки(проверок) для целей периодической проверки и испытания, предписанных в пункте 6.2.3.5.1.</w:t>
      </w:r>
    </w:p>
    <w:p w:rsidR="002516B3" w:rsidRPr="00A425E0" w:rsidRDefault="002516B3" w:rsidP="002516B3">
      <w:pPr>
        <w:pStyle w:val="SingleTxtGR"/>
        <w:rPr>
          <w:i/>
        </w:rPr>
      </w:pPr>
      <w:r w:rsidRPr="00A425E0">
        <w:t>6.2.3.5.3.1</w:t>
      </w:r>
      <w:r w:rsidRPr="00A425E0">
        <w:tab/>
        <w:t>Настоящий пункт применяется только к типам сосудов под давлением, которые сконструированы и изготовлены в соответствии со стандартами, упомянутыми в подразделе 6.2.4.1, или техническими правилами согласно разделу 6.2.5 и особенности конструкции которых не позволяют провести проверки, предписанные для целей периодической проверки и испытания в подпунктах b) или d) пункта 6.2.1.6.1, либо не позволяют истолковать их результаты.</w:t>
      </w:r>
    </w:p>
    <w:p w:rsidR="002516B3" w:rsidRPr="00A425E0" w:rsidRDefault="002516B3" w:rsidP="002516B3">
      <w:pPr>
        <w:pStyle w:val="SingleTxtGR"/>
      </w:pPr>
      <w:r w:rsidRPr="00A425E0">
        <w:t>Для таких сосудов под давлением данная(ые) проверка(и) заменяется(ются) альтернативным(и) методом(ами), соответствующим(и) характеристикам конкретной конструкции, указанной в пункте 6.2.3.5.4 и подробно описанной в специальном положении главы 3.3 или стандарте, на который сделана ссылка в подразделе 6.2.4.2.</w:t>
      </w:r>
    </w:p>
    <w:p w:rsidR="002516B3" w:rsidRPr="00A425E0" w:rsidRDefault="002516B3" w:rsidP="002516B3">
      <w:pPr>
        <w:pStyle w:val="SingleTxtGR"/>
      </w:pPr>
      <w:r w:rsidRPr="00A425E0">
        <w:t>Данные альтернативные методы должны указывать на то, какие проверки и испытания, предусмотренные в подпунктах b) и d) пункта 6.2.1.6.1, подлежат замене.</w:t>
      </w:r>
    </w:p>
    <w:p w:rsidR="002516B3" w:rsidRPr="00A425E0" w:rsidRDefault="002516B3" w:rsidP="002516B3">
      <w:pPr>
        <w:pStyle w:val="SingleTxtGR"/>
      </w:pPr>
      <w:r w:rsidRPr="00A425E0">
        <w:lastRenderedPageBreak/>
        <w:t>Альтернативный(ые) метод(ы) в сочетании с сохраненными проверками, предусмотренными в подпунктах a)–e) пункта 6.2.1.6.1, должен (должны) обеспечивать уровень безопасности, по меньшей мере эквивалентный уровню безопасности для сосудов под давлением, аналогичных по размеру и использованию, которые подвергаются периодическим проверкам и испытаниям в соответствии с положениями пункта 6.2.3.5.1.</w:t>
      </w:r>
    </w:p>
    <w:p w:rsidR="002516B3" w:rsidRPr="00A425E0" w:rsidRDefault="002516B3" w:rsidP="002516B3">
      <w:pPr>
        <w:pStyle w:val="SingleTxtGR"/>
      </w:pPr>
      <w:r w:rsidRPr="00A425E0">
        <w:t>Кроме того, альтернативный(ые) метод(ы) должен (должны) содержать все следующие элементы:</w:t>
      </w:r>
    </w:p>
    <w:p w:rsidR="002516B3" w:rsidRPr="00A425E0" w:rsidRDefault="002516B3" w:rsidP="002516B3">
      <w:pPr>
        <w:pStyle w:val="SingleTxtGR"/>
      </w:pPr>
      <w:r>
        <w:t>–</w:t>
      </w:r>
      <w:r w:rsidRPr="00A425E0">
        <w:tab/>
        <w:t>описание соответствующих типов сосудов под давлением;</w:t>
      </w:r>
    </w:p>
    <w:p w:rsidR="002516B3" w:rsidRPr="00A425E0" w:rsidRDefault="002516B3" w:rsidP="002516B3">
      <w:pPr>
        <w:pStyle w:val="SingleTxtGR"/>
      </w:pPr>
      <w:r>
        <w:t>–</w:t>
      </w:r>
      <w:r w:rsidRPr="00A425E0">
        <w:tab/>
        <w:t>процедура проведения испытания(ий);</w:t>
      </w:r>
    </w:p>
    <w:p w:rsidR="002516B3" w:rsidRPr="00A425E0" w:rsidRDefault="002516B3" w:rsidP="002516B3">
      <w:pPr>
        <w:pStyle w:val="SingleTxtGR"/>
      </w:pPr>
      <w:r>
        <w:t>–</w:t>
      </w:r>
      <w:r w:rsidRPr="00A425E0">
        <w:tab/>
        <w:t xml:space="preserve">технические требования к критериям приемлемости; </w:t>
      </w:r>
    </w:p>
    <w:p w:rsidR="002516B3" w:rsidRPr="00A425E0" w:rsidRDefault="002516B3" w:rsidP="002516B3">
      <w:pPr>
        <w:pStyle w:val="SingleTxtGR"/>
      </w:pPr>
      <w:r>
        <w:t>–</w:t>
      </w:r>
      <w:r w:rsidRPr="00A425E0">
        <w:tab/>
        <w:t>описание мер, которые должны быть приняты в случае отклонения сосудов под давлением.</w:t>
      </w:r>
    </w:p>
    <w:p w:rsidR="002516B3" w:rsidRPr="00A425E0" w:rsidRDefault="002516B3" w:rsidP="002516B3">
      <w:pPr>
        <w:pStyle w:val="SingleTxtGR"/>
      </w:pPr>
      <w:r w:rsidRPr="00A425E0">
        <w:t>6.2.3.5.3.2</w:t>
      </w:r>
      <w:r w:rsidRPr="00A425E0">
        <w:tab/>
        <w:t>Неразрушающий контроль в качестве альтернативного метода</w:t>
      </w:r>
    </w:p>
    <w:p w:rsidR="002516B3" w:rsidRPr="00A425E0" w:rsidRDefault="002516B3" w:rsidP="002516B3">
      <w:pPr>
        <w:pStyle w:val="SingleTxtGR"/>
      </w:pPr>
      <w:r w:rsidRPr="00A425E0">
        <w:t>Проверка(и), указанная(ые) в пункте 6.2.3.5.3.1, должна(ы) быть дополнена(ы) или заменена(ы) одним (или более) методом(ами) неразрушающего контроля, которому подлежит каждый отдельный сосуд под давлением.</w:t>
      </w:r>
    </w:p>
    <w:p w:rsidR="002516B3" w:rsidRPr="00A425E0" w:rsidRDefault="002516B3" w:rsidP="002516B3">
      <w:pPr>
        <w:pStyle w:val="SingleTxtGR"/>
      </w:pPr>
      <w:r w:rsidRPr="00A425E0">
        <w:t>6.2.3.5.3.3</w:t>
      </w:r>
      <w:r w:rsidRPr="00A425E0">
        <w:tab/>
        <w:t>Разрушающий контроль в качестве альтернативного метода</w:t>
      </w:r>
    </w:p>
    <w:p w:rsidR="002516B3" w:rsidRPr="00A425E0" w:rsidRDefault="002516B3" w:rsidP="002516B3">
      <w:pPr>
        <w:pStyle w:val="SingleTxtGR"/>
      </w:pPr>
      <w:r w:rsidRPr="00A425E0">
        <w:t>В том случае, если эквивалентный уровень безопасности невозможно обеспечить ни одним из методов неразрушающего контроля, то проверка(и), указанная(ые) в пункте 6.2.3.5.3.1, за исключением проверки внутреннего состояния, упомянутой в пункте 6.2.1.6.1 b), должна(ы) быть дополнена(ы) или заменена(ы) одним (или более) методом(ами) разрушающего контроля в сочетании с его статистической оценкой.</w:t>
      </w:r>
    </w:p>
    <w:p w:rsidR="002516B3" w:rsidRPr="00A425E0" w:rsidRDefault="002516B3" w:rsidP="002516B3">
      <w:pPr>
        <w:pStyle w:val="SingleTxtGR"/>
      </w:pPr>
      <w:r w:rsidRPr="00A425E0">
        <w:t>В дополнение к элементам, указанным выше, подробный метод разрушающего контроля должен содержать следующие элементы:</w:t>
      </w:r>
    </w:p>
    <w:p w:rsidR="002516B3" w:rsidRPr="00A425E0" w:rsidRDefault="002516B3" w:rsidP="002516B3">
      <w:pPr>
        <w:pStyle w:val="SingleTxtGR"/>
      </w:pPr>
      <w:r>
        <w:t>–</w:t>
      </w:r>
      <w:r w:rsidRPr="00A425E0">
        <w:tab/>
        <w:t>описание соответствующей основной совокупности сосудов под давлением;</w:t>
      </w:r>
    </w:p>
    <w:p w:rsidR="002516B3" w:rsidRPr="00A425E0" w:rsidRDefault="002516B3" w:rsidP="002516B3">
      <w:pPr>
        <w:pStyle w:val="SingleTxtGR"/>
      </w:pPr>
      <w:r>
        <w:t>–</w:t>
      </w:r>
      <w:r w:rsidRPr="00A425E0">
        <w:tab/>
        <w:t>процедура произвольного отбора отдельных сосудов под давлением, которые должны быть подвергнуты испытанию;</w:t>
      </w:r>
    </w:p>
    <w:p w:rsidR="002516B3" w:rsidRPr="00A425E0" w:rsidRDefault="002516B3" w:rsidP="002516B3">
      <w:pPr>
        <w:pStyle w:val="SingleTxtGR"/>
      </w:pPr>
      <w:r>
        <w:t>–</w:t>
      </w:r>
      <w:r w:rsidRPr="00A425E0">
        <w:tab/>
        <w:t xml:space="preserve">процедура статистической оценки результатов испытаний, включая критерии отклонения; </w:t>
      </w:r>
    </w:p>
    <w:p w:rsidR="002516B3" w:rsidRPr="00A425E0" w:rsidRDefault="002516B3" w:rsidP="002516B3">
      <w:pPr>
        <w:pStyle w:val="SingleTxtGR"/>
      </w:pPr>
      <w:r>
        <w:t>–</w:t>
      </w:r>
      <w:r w:rsidRPr="00A425E0">
        <w:tab/>
        <w:t xml:space="preserve">требования к периодичности проведения испытаний по методу разрушающего контроля; </w:t>
      </w:r>
    </w:p>
    <w:p w:rsidR="002516B3" w:rsidRPr="00A425E0" w:rsidRDefault="002516B3" w:rsidP="002516B3">
      <w:pPr>
        <w:pStyle w:val="SingleTxtGR"/>
      </w:pPr>
      <w:r>
        <w:t>–</w:t>
      </w:r>
      <w:r w:rsidRPr="00A425E0">
        <w:tab/>
        <w:t>описание мер, которые должны быть приняты в случае, если критерии приемлемости соблюдены, но при этом наблюдается влияющее на безопасность ухудшение свойств материалов; оно должно использоваться для определения момента завершения срока службы;</w:t>
      </w:r>
    </w:p>
    <w:p w:rsidR="002516B3" w:rsidRPr="00A425E0" w:rsidRDefault="002516B3" w:rsidP="002516B3">
      <w:pPr>
        <w:pStyle w:val="SingleTxtGR"/>
      </w:pPr>
      <w:r>
        <w:t>–</w:t>
      </w:r>
      <w:r w:rsidRPr="00A425E0">
        <w:tab/>
        <w:t>статистическая оценка уровня безопасности, достигнутого с помощью альтернативного метода.».</w:t>
      </w:r>
    </w:p>
    <w:p w:rsidR="002516B3" w:rsidRPr="00A425E0" w:rsidRDefault="002516B3" w:rsidP="002516B3">
      <w:pPr>
        <w:pStyle w:val="SingleTxtGR"/>
        <w:rPr>
          <w:i/>
          <w:iCs/>
        </w:rPr>
      </w:pPr>
      <w:r w:rsidRPr="00A425E0">
        <w:rPr>
          <w:i/>
          <w:iCs/>
        </w:rPr>
        <w:t>(Справочный документ: ECE/TRANS/WP.15/AC.1/2017/33 с поправками, содержащимися в неофициальных документах INF.55 и INF.56)</w:t>
      </w:r>
    </w:p>
    <w:p w:rsidR="002516B3" w:rsidRPr="00A425E0" w:rsidRDefault="002516B3" w:rsidP="002516B3">
      <w:pPr>
        <w:pStyle w:val="SingleTxtGR"/>
      </w:pPr>
      <w:r w:rsidRPr="00A425E0">
        <w:t>Добавить новый пункт 6.2.3.5.4 следующего содержания:</w:t>
      </w:r>
    </w:p>
    <w:p w:rsidR="002516B3" w:rsidRPr="00A425E0" w:rsidRDefault="002516B3" w:rsidP="002516B3">
      <w:pPr>
        <w:pStyle w:val="SingleTxtGR"/>
      </w:pPr>
      <w:r w:rsidRPr="00A425E0">
        <w:t xml:space="preserve">«6.2.3.5.4 </w:t>
      </w:r>
      <w:r w:rsidRPr="00A425E0">
        <w:tab/>
        <w:t>Баллоны с формованным кожух</w:t>
      </w:r>
      <w:r>
        <w:t>ом, к которым применяется пункт </w:t>
      </w:r>
      <w:r w:rsidRPr="00A425E0">
        <w:t>6.2.3.5.3.1, подлежат периодической проверке и испытанию в соответствии со специальным положением 674 главы 3.3.».</w:t>
      </w:r>
    </w:p>
    <w:p w:rsidR="002516B3" w:rsidRPr="00A425E0" w:rsidRDefault="002516B3" w:rsidP="002516B3">
      <w:pPr>
        <w:pStyle w:val="SingleTxtGR"/>
        <w:rPr>
          <w:i/>
          <w:iCs/>
        </w:rPr>
      </w:pPr>
      <w:r w:rsidRPr="00A425E0">
        <w:rPr>
          <w:i/>
          <w:iCs/>
        </w:rPr>
        <w:t>(Справочный документ: ECE/TRANS/WP.15/AC.1/2017/33 с поправками, содержащимися в неофициальных документах INF.55 и INF.56)</w:t>
      </w:r>
    </w:p>
    <w:p w:rsidR="002516B3" w:rsidRPr="00A425E0" w:rsidRDefault="002516B3" w:rsidP="002516B3">
      <w:pPr>
        <w:pStyle w:val="SingleTxtGR"/>
        <w:keepNext/>
      </w:pPr>
      <w:r w:rsidRPr="00A425E0">
        <w:lastRenderedPageBreak/>
        <w:t>6.2.3.6.1</w:t>
      </w:r>
      <w:r w:rsidRPr="00A425E0">
        <w:tab/>
        <w:t>Изменить первый после таблицы абзац следующим образом:</w:t>
      </w:r>
    </w:p>
    <w:p w:rsidR="002516B3" w:rsidRPr="00A425E0" w:rsidRDefault="002516B3" w:rsidP="002516B3">
      <w:pPr>
        <w:pStyle w:val="SingleTxtGR"/>
        <w:keepNext/>
      </w:pPr>
      <w:r w:rsidRPr="00A425E0">
        <w:t>«В случае сосудов под давлением многоразового использования оценка соответствия вентилей и других съемных приспособлений, выполняющих прямую функцию обеспечения безопасности, может осуществляться отдельно от оценки соответствия сосудов под давлением. В случае сосудов под давлением одноразового использования оценка соответствия вентилей и других съемных приспособлений, выполняющих прямую функцию обеспечения безопасности, должна осуществляться совместно с оценкой сосудов под давлением.».</w:t>
      </w:r>
    </w:p>
    <w:p w:rsidR="002516B3" w:rsidRPr="00A425E0" w:rsidRDefault="002516B3" w:rsidP="002516B3">
      <w:pPr>
        <w:pStyle w:val="SingleTxtGR"/>
        <w:rPr>
          <w:i/>
        </w:rPr>
      </w:pPr>
      <w:r w:rsidRPr="00A425E0">
        <w:rPr>
          <w:i/>
          <w:iCs/>
        </w:rPr>
        <w:t>(Справочный документ: неофициальный документ INF.20)</w:t>
      </w:r>
    </w:p>
    <w:p w:rsidR="002516B3" w:rsidRPr="00A425E0" w:rsidRDefault="002516B3" w:rsidP="002516B3">
      <w:pPr>
        <w:pStyle w:val="SingleTxtGR"/>
      </w:pPr>
      <w:r w:rsidRPr="00A425E0">
        <w:t>6.2.4.1</w:t>
      </w:r>
      <w:r w:rsidRPr="00A425E0">
        <w:tab/>
        <w:t>В таблице, под заголовком «Для конструкции и изготовления», д</w:t>
      </w:r>
      <w:r>
        <w:t>ля стандарта «EN 14140:2014+AC:</w:t>
      </w:r>
      <w:r w:rsidRPr="00A425E0">
        <w:t>2015» в колонке 1 исключить «(за исключением баллонов с формованным кожухом)».</w:t>
      </w:r>
    </w:p>
    <w:p w:rsidR="002516B3" w:rsidRPr="00A425E0" w:rsidRDefault="002516B3" w:rsidP="002516B3">
      <w:pPr>
        <w:pStyle w:val="SingleTxtGR"/>
        <w:rPr>
          <w:i/>
          <w:iCs/>
        </w:rPr>
      </w:pPr>
      <w:r w:rsidRPr="00A425E0">
        <w:rPr>
          <w:i/>
          <w:iCs/>
        </w:rPr>
        <w:t>(Справочный документ: ECE/TRANS/WP.15/AC.1/2017/33 с поправками, содержащимися в неофициальных документах INF.55 и INF.56)</w:t>
      </w:r>
    </w:p>
    <w:p w:rsidR="002516B3" w:rsidRPr="00A425E0" w:rsidRDefault="002516B3" w:rsidP="002516B3">
      <w:pPr>
        <w:pStyle w:val="SingleTxtGR"/>
      </w:pPr>
      <w:r w:rsidRPr="00A425E0">
        <w:t>6.2.4.1</w:t>
      </w:r>
      <w:r w:rsidRPr="00A425E0">
        <w:tab/>
        <w:t>В таблице, под заголовком «Для затворов», для стандарта «EN ISO 17871:2015» в колонке 4 заменить «До дальнейшего указания» на «С 1 января 2017 года до 31 декабря 2020 года». После стандарта «EN ISO 17871:2015» включить следующий новый стандарт:</w:t>
      </w:r>
    </w:p>
    <w:tbl>
      <w:tblPr>
        <w:tblW w:w="7428"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417"/>
        <w:gridCol w:w="3459"/>
        <w:gridCol w:w="1502"/>
        <w:gridCol w:w="1050"/>
      </w:tblGrid>
      <w:tr w:rsidR="002516B3" w:rsidRPr="00960236" w:rsidTr="002516B3">
        <w:tc>
          <w:tcPr>
            <w:tcW w:w="1417" w:type="dxa"/>
            <w:shd w:val="clear" w:color="auto" w:fill="auto"/>
          </w:tcPr>
          <w:p w:rsidR="002516B3" w:rsidRPr="00960236" w:rsidRDefault="002516B3" w:rsidP="002516B3">
            <w:pPr>
              <w:keepNext/>
              <w:spacing w:before="40" w:after="120"/>
              <w:ind w:hanging="22"/>
            </w:pPr>
            <w:r>
              <w:t>EN ISO 17871:2015 + A1:[2018]</w:t>
            </w:r>
          </w:p>
        </w:tc>
        <w:tc>
          <w:tcPr>
            <w:tcW w:w="3459" w:type="dxa"/>
            <w:shd w:val="clear" w:color="auto" w:fill="auto"/>
          </w:tcPr>
          <w:p w:rsidR="002516B3" w:rsidRPr="007A0339" w:rsidRDefault="002516B3" w:rsidP="002516B3">
            <w:pPr>
              <w:keepNext/>
              <w:spacing w:before="40" w:after="120"/>
              <w:ind w:hanging="22"/>
            </w:pPr>
            <w:r>
              <w:t xml:space="preserve">Газовые баллоны – Быстродействующие вентили газовых баллонов – Технические требования и испытания типа </w:t>
            </w:r>
          </w:p>
        </w:tc>
        <w:tc>
          <w:tcPr>
            <w:tcW w:w="1502" w:type="dxa"/>
            <w:shd w:val="clear" w:color="auto" w:fill="auto"/>
          </w:tcPr>
          <w:p w:rsidR="002516B3" w:rsidRPr="00960236" w:rsidRDefault="002516B3" w:rsidP="002516B3">
            <w:pPr>
              <w:spacing w:before="40" w:after="120"/>
            </w:pPr>
            <w:r>
              <w:t>6.2.3.1, 6.2.3.3 и 6.2.3.4</w:t>
            </w:r>
          </w:p>
        </w:tc>
        <w:tc>
          <w:tcPr>
            <w:tcW w:w="1050" w:type="dxa"/>
            <w:shd w:val="clear" w:color="auto" w:fill="auto"/>
          </w:tcPr>
          <w:p w:rsidR="002516B3" w:rsidRPr="00960236" w:rsidRDefault="002516B3" w:rsidP="002516B3">
            <w:pPr>
              <w:spacing w:before="40" w:after="120"/>
              <w:jc w:val="center"/>
            </w:pPr>
            <w:r>
              <w:t>До дальнейшего указания</w:t>
            </w:r>
          </w:p>
        </w:tc>
      </w:tr>
    </w:tbl>
    <w:p w:rsidR="002516B3" w:rsidRPr="00A425E0" w:rsidRDefault="002516B3" w:rsidP="002516B3">
      <w:pPr>
        <w:pStyle w:val="SingleTxtGR"/>
        <w:rPr>
          <w:i/>
          <w:iCs/>
        </w:rPr>
      </w:pPr>
      <w:r w:rsidRPr="00A425E0">
        <w:rPr>
          <w:i/>
          <w:iCs/>
        </w:rPr>
        <w:t>(Справочный документ: неофициальный документ INF.53, предложение 1)</w:t>
      </w:r>
    </w:p>
    <w:p w:rsidR="002516B3" w:rsidRPr="00A425E0" w:rsidRDefault="002516B3" w:rsidP="002516B3">
      <w:pPr>
        <w:pStyle w:val="SingleTxtGR"/>
      </w:pPr>
      <w:r w:rsidRPr="00A425E0">
        <w:t>6.2.4.1</w:t>
      </w:r>
      <w:r w:rsidRPr="00A425E0">
        <w:tab/>
        <w:t>В таблице, под заголовком «Для затворов», добавить новую строку следующего содержания:</w:t>
      </w:r>
    </w:p>
    <w:tbl>
      <w:tblPr>
        <w:tblW w:w="7428"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415"/>
        <w:gridCol w:w="3461"/>
        <w:gridCol w:w="1502"/>
        <w:gridCol w:w="1050"/>
      </w:tblGrid>
      <w:tr w:rsidR="002516B3" w:rsidRPr="00960236" w:rsidTr="002516B3">
        <w:tc>
          <w:tcPr>
            <w:tcW w:w="1415" w:type="dxa"/>
            <w:shd w:val="clear" w:color="auto" w:fill="auto"/>
          </w:tcPr>
          <w:p w:rsidR="002516B3" w:rsidRPr="00960236" w:rsidRDefault="002516B3" w:rsidP="002516B3">
            <w:pPr>
              <w:autoSpaceDE w:val="0"/>
              <w:autoSpaceDN w:val="0"/>
              <w:adjustRightInd w:val="0"/>
              <w:spacing w:before="40" w:after="120"/>
              <w:rPr>
                <w:rFonts w:eastAsia="MS Mincho"/>
              </w:rPr>
            </w:pPr>
            <w:r>
              <w:t>EN ISO 17879:2017</w:t>
            </w:r>
          </w:p>
        </w:tc>
        <w:tc>
          <w:tcPr>
            <w:tcW w:w="3461" w:type="dxa"/>
            <w:shd w:val="clear" w:color="auto" w:fill="auto"/>
          </w:tcPr>
          <w:p w:rsidR="002516B3" w:rsidRPr="007A0339" w:rsidRDefault="002516B3" w:rsidP="002516B3">
            <w:pPr>
              <w:autoSpaceDE w:val="0"/>
              <w:autoSpaceDN w:val="0"/>
              <w:adjustRightInd w:val="0"/>
              <w:spacing w:before="40" w:after="120"/>
              <w:rPr>
                <w:spacing w:val="-3"/>
              </w:rPr>
            </w:pPr>
            <w:r>
              <w:t>Газовые баллоны – Самозакрывающиеся вентили баллонов – Технические требования и испытания типа</w:t>
            </w:r>
          </w:p>
        </w:tc>
        <w:tc>
          <w:tcPr>
            <w:tcW w:w="1502" w:type="dxa"/>
            <w:shd w:val="clear" w:color="auto" w:fill="auto"/>
          </w:tcPr>
          <w:p w:rsidR="002516B3" w:rsidRPr="00960236" w:rsidRDefault="002516B3" w:rsidP="002516B3">
            <w:pPr>
              <w:spacing w:before="40" w:after="120"/>
              <w:rPr>
                <w:bCs/>
              </w:rPr>
            </w:pPr>
            <w:r>
              <w:t xml:space="preserve">6.2.3.1 и 6.2.3.4 </w:t>
            </w:r>
          </w:p>
        </w:tc>
        <w:tc>
          <w:tcPr>
            <w:tcW w:w="1050" w:type="dxa"/>
            <w:shd w:val="clear" w:color="auto" w:fill="auto"/>
          </w:tcPr>
          <w:p w:rsidR="002516B3" w:rsidRPr="00960236" w:rsidRDefault="002516B3" w:rsidP="002516B3">
            <w:pPr>
              <w:spacing w:before="40" w:after="120"/>
              <w:jc w:val="center"/>
              <w:rPr>
                <w:bCs/>
              </w:rPr>
            </w:pPr>
            <w:r>
              <w:t>До дальнейшего указания</w:t>
            </w:r>
          </w:p>
        </w:tc>
      </w:tr>
    </w:tbl>
    <w:p w:rsidR="002516B3" w:rsidRPr="00A425E0" w:rsidRDefault="002516B3" w:rsidP="002516B3">
      <w:pPr>
        <w:pStyle w:val="SingleTxtGR"/>
        <w:rPr>
          <w:i/>
          <w:iCs/>
        </w:rPr>
      </w:pPr>
      <w:r w:rsidRPr="00A425E0">
        <w:rPr>
          <w:i/>
          <w:iCs/>
        </w:rPr>
        <w:t>(Справочный документ: неофициальный документ INF.53, предложение 4)</w:t>
      </w:r>
    </w:p>
    <w:p w:rsidR="002516B3" w:rsidRPr="00A425E0" w:rsidRDefault="002516B3" w:rsidP="002516B3">
      <w:pPr>
        <w:pStyle w:val="SingleTxtGR"/>
      </w:pPr>
      <w:r w:rsidRPr="00A425E0">
        <w:t>6.2.4.2</w:t>
      </w:r>
      <w:r w:rsidRPr="00A425E0">
        <w:tab/>
        <w:t>В таблице исключить строки «EN ISO 11623:2002 (за исключением пункта 4)», «EN 14912:2005» и «EN 1440:2008 + A1:2012 (за исключением приложений G и H)». Для стандарта «EN 1440:2016 (за исключением при</w:t>
      </w:r>
      <w:r>
        <w:t>ложения </w:t>
      </w:r>
      <w:r w:rsidRPr="00A425E0">
        <w:t>C)» в колонке 3 заменить «Обязательно с 1 января 2019 года» на «До 31 декабря 2020</w:t>
      </w:r>
      <w:r>
        <w:t xml:space="preserve"> года». После стандарта «EN 1440</w:t>
      </w:r>
      <w:r w:rsidRPr="00A425E0">
        <w:t>:2016 (за исключением при</w:t>
      </w:r>
      <w:r>
        <w:t>ложения </w:t>
      </w:r>
      <w:r w:rsidRPr="00A425E0">
        <w:t>C)» включить новую строку следующего содержания:</w:t>
      </w:r>
    </w:p>
    <w:tbl>
      <w:tblPr>
        <w:tblStyle w:val="TableGrid"/>
        <w:tblW w:w="0" w:type="auto"/>
        <w:tblInd w:w="11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02"/>
        <w:gridCol w:w="4394"/>
        <w:gridCol w:w="1559"/>
      </w:tblGrid>
      <w:tr w:rsidR="002516B3" w:rsidRPr="00960236" w:rsidTr="002516B3">
        <w:tc>
          <w:tcPr>
            <w:tcW w:w="1502" w:type="dxa"/>
          </w:tcPr>
          <w:p w:rsidR="002516B3" w:rsidRPr="007A0339" w:rsidRDefault="002516B3" w:rsidP="002516B3">
            <w:pPr>
              <w:spacing w:before="40" w:after="120" w:line="240" w:lineRule="auto"/>
            </w:pPr>
            <w:r>
              <w:t>EN 1440:2016 +A1:[2018] (за исключением приложения C)</w:t>
            </w:r>
          </w:p>
        </w:tc>
        <w:tc>
          <w:tcPr>
            <w:tcW w:w="4394" w:type="dxa"/>
          </w:tcPr>
          <w:p w:rsidR="002516B3" w:rsidRPr="007A0339" w:rsidRDefault="002516B3" w:rsidP="002516B3">
            <w:pPr>
              <w:spacing w:before="40" w:after="120" w:line="240" w:lineRule="auto"/>
            </w:pPr>
            <w:r>
              <w:t>Оборудование для СНГ и его вспомогательные приспособления – Переносные сварные и паяные стальные баллоны многоразового использования для сжиженного нефтяного газа (СНГ) – Периодическая проверка</w:t>
            </w:r>
          </w:p>
        </w:tc>
        <w:tc>
          <w:tcPr>
            <w:tcW w:w="1559" w:type="dxa"/>
            <w:shd w:val="clear" w:color="auto" w:fill="auto"/>
          </w:tcPr>
          <w:p w:rsidR="002516B3" w:rsidRPr="00960236" w:rsidRDefault="002516B3" w:rsidP="002516B3">
            <w:pPr>
              <w:spacing w:before="40" w:after="120" w:line="240" w:lineRule="auto"/>
              <w:jc w:val="center"/>
            </w:pPr>
            <w:r>
              <w:t xml:space="preserve">Обязательно </w:t>
            </w:r>
            <w:r>
              <w:br/>
              <w:t>с 1 января 2021 года</w:t>
            </w:r>
          </w:p>
        </w:tc>
      </w:tr>
    </w:tbl>
    <w:p w:rsidR="002516B3" w:rsidRPr="00A425E0" w:rsidRDefault="002516B3" w:rsidP="002516B3">
      <w:pPr>
        <w:pStyle w:val="SingleTxtGR"/>
        <w:spacing w:before="120"/>
      </w:pPr>
      <w:r w:rsidRPr="00A425E0">
        <w:t>Для стандарта «EN 16728:2016 (за исключением пункта 3.5, приложения F и приложения G)» в колонке 3 заменить «Обязательно с 1 января 2019 года» на «До 31 декабря 2020 года». После стандарта «EN 16728:2016 (за исключением пункта 3.5, приложения F и приложения G)» включить новую строку следующего содержания:</w:t>
      </w:r>
    </w:p>
    <w:tbl>
      <w:tblPr>
        <w:tblStyle w:val="TableGrid"/>
        <w:tblW w:w="7474" w:type="dxa"/>
        <w:tblInd w:w="1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21"/>
        <w:gridCol w:w="4291"/>
        <w:gridCol w:w="1662"/>
      </w:tblGrid>
      <w:tr w:rsidR="002516B3" w:rsidRPr="00960236" w:rsidTr="002516B3">
        <w:tc>
          <w:tcPr>
            <w:tcW w:w="1521" w:type="dxa"/>
          </w:tcPr>
          <w:p w:rsidR="002516B3" w:rsidRPr="00960236" w:rsidRDefault="002516B3" w:rsidP="002516B3">
            <w:pPr>
              <w:keepNext/>
              <w:spacing w:before="40" w:after="120"/>
            </w:pPr>
            <w:r>
              <w:lastRenderedPageBreak/>
              <w:t>EN 6728:2016+</w:t>
            </w:r>
            <w:r>
              <w:br/>
              <w:t>A1:[2018]</w:t>
            </w:r>
          </w:p>
        </w:tc>
        <w:tc>
          <w:tcPr>
            <w:tcW w:w="4291" w:type="dxa"/>
          </w:tcPr>
          <w:p w:rsidR="002516B3" w:rsidRPr="007A0339" w:rsidRDefault="002516B3" w:rsidP="002516B3">
            <w:pPr>
              <w:keepNext/>
              <w:spacing w:before="40" w:after="120"/>
            </w:pPr>
            <w:r>
              <w:t>Оборудование для СНГ и его вспомогательные приспособления – Переносные баллоны многоразового использования для СНГ, помимо сварных и паяных стальных баллонов – Периодическая проверка</w:t>
            </w:r>
          </w:p>
        </w:tc>
        <w:tc>
          <w:tcPr>
            <w:tcW w:w="1662" w:type="dxa"/>
            <w:shd w:val="clear" w:color="auto" w:fill="auto"/>
          </w:tcPr>
          <w:p w:rsidR="002516B3" w:rsidRPr="00960236" w:rsidRDefault="002516B3" w:rsidP="002516B3">
            <w:pPr>
              <w:keepNext/>
              <w:spacing w:before="40" w:after="120"/>
              <w:jc w:val="center"/>
            </w:pPr>
            <w:r>
              <w:t>Обязательно с 1 января 2021 года</w:t>
            </w:r>
          </w:p>
        </w:tc>
      </w:tr>
    </w:tbl>
    <w:p w:rsidR="002516B3" w:rsidRPr="00A425E0" w:rsidRDefault="002516B3" w:rsidP="002516B3">
      <w:pPr>
        <w:pStyle w:val="SingleTxtGR"/>
        <w:rPr>
          <w:i/>
          <w:iCs/>
        </w:rPr>
      </w:pPr>
      <w:r w:rsidRPr="00A425E0">
        <w:rPr>
          <w:i/>
          <w:iCs/>
        </w:rPr>
        <w:t>(Справочный документ: неофициальный документ INF.53, предложение 6)</w:t>
      </w:r>
    </w:p>
    <w:p w:rsidR="002516B3" w:rsidRPr="00B75AEE" w:rsidRDefault="002516B3" w:rsidP="002516B3">
      <w:pPr>
        <w:pStyle w:val="H1GR"/>
      </w:pPr>
      <w:r w:rsidRPr="00B75AEE">
        <w:tab/>
      </w:r>
      <w:r w:rsidRPr="00B75AEE">
        <w:tab/>
        <w:t>Глава 6.8</w:t>
      </w:r>
    </w:p>
    <w:p w:rsidR="002516B3" w:rsidRPr="00A425E0" w:rsidRDefault="002516B3" w:rsidP="002516B3">
      <w:pPr>
        <w:pStyle w:val="SingleTxtGR"/>
      </w:pPr>
      <w:r w:rsidRPr="00A425E0">
        <w:t xml:space="preserve">[6.8.2.1.18 </w:t>
      </w:r>
      <w:r w:rsidRPr="00A425E0">
        <w:tab/>
        <w:t xml:space="preserve">Добавить следующее предложение в конце сноски 4/сноски 2: </w:t>
      </w:r>
      <w:r>
        <w:br/>
      </w:r>
      <w:r w:rsidRPr="00A425E0">
        <w:t>«Однако поперечное сечение корпусов, указанных в пункте 6.8.2.1.14 а), может в отдельных местах иметь выемки или выступы, например отстойники, вырезы или конструкционные углубления для люков. Они могут быть изготовлены из листового металла и иметь либо плоскую, либо вогнутую или выпуклую форму. Вмятины и другие непредусмотренные деформации не считаются выемками или выступами.».]</w:t>
      </w:r>
    </w:p>
    <w:p w:rsidR="002516B3" w:rsidRPr="00A425E0" w:rsidRDefault="002516B3" w:rsidP="002516B3">
      <w:pPr>
        <w:pStyle w:val="SingleTxtGR"/>
        <w:rPr>
          <w:i/>
          <w:iCs/>
        </w:rPr>
      </w:pPr>
      <w:r w:rsidRPr="00A425E0">
        <w:rPr>
          <w:i/>
          <w:iCs/>
        </w:rPr>
        <w:t>(Справочный документ: неофициальный документ INF.46, предложение 6)</w:t>
      </w:r>
    </w:p>
    <w:p w:rsidR="002516B3" w:rsidRPr="00A425E0" w:rsidRDefault="002516B3" w:rsidP="002516B3">
      <w:pPr>
        <w:pStyle w:val="SingleTxtGR"/>
      </w:pPr>
      <w:r w:rsidRPr="00A425E0">
        <w:t>6.8.2.1.23</w:t>
      </w:r>
      <w:r w:rsidRPr="00A425E0">
        <w:tab/>
        <w:t>В первом предложении первого абзаца после «Способность изготовителя» добавить «или мастерской по обслуживанию или ремонту» и в конце исключить «, который выдает официальное утверждение типа». Во втором предложении первого абзаца после «Изготовитель» добавить «или мастерская по обслуживанию или ремонту».</w:t>
      </w:r>
    </w:p>
    <w:p w:rsidR="002516B3" w:rsidRPr="00A425E0" w:rsidRDefault="002516B3" w:rsidP="002516B3">
      <w:pPr>
        <w:pStyle w:val="SingleTxtGR"/>
        <w:rPr>
          <w:i/>
          <w:iCs/>
        </w:rPr>
      </w:pPr>
      <w:r w:rsidRPr="00A425E0">
        <w:rPr>
          <w:i/>
          <w:iCs/>
        </w:rPr>
        <w:t>(Справочный документ: неофициальный документ INF.46, предложение 5)</w:t>
      </w:r>
    </w:p>
    <w:p w:rsidR="002516B3" w:rsidRPr="00A425E0" w:rsidRDefault="002516B3" w:rsidP="002516B3">
      <w:pPr>
        <w:pStyle w:val="SingleTxtGR"/>
      </w:pPr>
      <w:r w:rsidRPr="00A425E0">
        <w:t>(ДОПОГ:) 6.8.2.6.1</w:t>
      </w:r>
      <w:r w:rsidRPr="00A425E0">
        <w:tab/>
        <w:t>Под заголовком «</w:t>
      </w:r>
      <w:r>
        <w:t>Для оборудования» для стандарта </w:t>
      </w:r>
      <w:r w:rsidRPr="00A425E0">
        <w:t xml:space="preserve">«EN 13317:2002 + A1:2006» в колонке 4 заменить «До дальнейшего указания» на «С 1 января 2009 года до 31 декабря </w:t>
      </w:r>
      <w:r>
        <w:t>2020 года». После стандарта «EN </w:t>
      </w:r>
      <w:r w:rsidRPr="00A425E0">
        <w:t>13317:2002 + A1:2006» включить следующий новый стандарт:</w:t>
      </w:r>
    </w:p>
    <w:tbl>
      <w:tblPr>
        <w:tblW w:w="7428"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475"/>
        <w:gridCol w:w="3401"/>
        <w:gridCol w:w="993"/>
        <w:gridCol w:w="1559"/>
      </w:tblGrid>
      <w:tr w:rsidR="002516B3" w:rsidRPr="00960236" w:rsidTr="002516B3">
        <w:trPr>
          <w:trHeight w:val="771"/>
        </w:trPr>
        <w:tc>
          <w:tcPr>
            <w:tcW w:w="1475" w:type="dxa"/>
            <w:shd w:val="clear" w:color="auto" w:fill="auto"/>
          </w:tcPr>
          <w:p w:rsidR="002516B3" w:rsidRPr="00960236" w:rsidRDefault="002516B3" w:rsidP="002516B3">
            <w:pPr>
              <w:autoSpaceDE w:val="0"/>
              <w:autoSpaceDN w:val="0"/>
              <w:adjustRightInd w:val="0"/>
              <w:spacing w:before="40" w:after="120"/>
              <w:rPr>
                <w:rFonts w:eastAsia="MS Mincho"/>
              </w:rPr>
            </w:pPr>
            <w:r>
              <w:t>EN 3317:[2018]</w:t>
            </w:r>
          </w:p>
        </w:tc>
        <w:tc>
          <w:tcPr>
            <w:tcW w:w="3401" w:type="dxa"/>
            <w:shd w:val="clear" w:color="auto" w:fill="auto"/>
          </w:tcPr>
          <w:p w:rsidR="002516B3" w:rsidRPr="007A0339" w:rsidRDefault="002516B3" w:rsidP="002516B3">
            <w:pPr>
              <w:autoSpaceDE w:val="0"/>
              <w:autoSpaceDN w:val="0"/>
              <w:adjustRightInd w:val="0"/>
              <w:spacing w:before="40" w:after="120"/>
            </w:pPr>
            <w:r>
              <w:t>Цистерны для перевозки опасных грузов – Эксплуатационное оборудование для цистерн – Крышка смотрового люка</w:t>
            </w:r>
          </w:p>
        </w:tc>
        <w:tc>
          <w:tcPr>
            <w:tcW w:w="993" w:type="dxa"/>
            <w:shd w:val="clear" w:color="auto" w:fill="auto"/>
          </w:tcPr>
          <w:p w:rsidR="002516B3" w:rsidRPr="00960236" w:rsidRDefault="002516B3" w:rsidP="002516B3">
            <w:pPr>
              <w:spacing w:before="40" w:after="120"/>
            </w:pPr>
            <w:r>
              <w:t>6.8.2.2 и 6.8.2.4.1</w:t>
            </w:r>
          </w:p>
        </w:tc>
        <w:tc>
          <w:tcPr>
            <w:tcW w:w="1559" w:type="dxa"/>
            <w:shd w:val="clear" w:color="auto" w:fill="auto"/>
          </w:tcPr>
          <w:p w:rsidR="002516B3" w:rsidRPr="00960236" w:rsidRDefault="002516B3" w:rsidP="002516B3">
            <w:pPr>
              <w:spacing w:before="40" w:after="120"/>
              <w:jc w:val="center"/>
            </w:pPr>
            <w:r>
              <w:t>До дальнейшего указания</w:t>
            </w:r>
          </w:p>
        </w:tc>
      </w:tr>
    </w:tbl>
    <w:p w:rsidR="002516B3" w:rsidRPr="00A425E0" w:rsidRDefault="002516B3" w:rsidP="002516B3">
      <w:pPr>
        <w:pStyle w:val="SingleTxtGR"/>
        <w:rPr>
          <w:i/>
          <w:iCs/>
        </w:rPr>
      </w:pPr>
      <w:r w:rsidRPr="00A425E0">
        <w:rPr>
          <w:i/>
          <w:iCs/>
        </w:rPr>
        <w:t>(Справочный документ: неофициальный документ INF.53, предложение 5)</w:t>
      </w:r>
    </w:p>
    <w:p w:rsidR="002516B3" w:rsidRPr="00A425E0" w:rsidRDefault="002516B3" w:rsidP="002516B3">
      <w:pPr>
        <w:pStyle w:val="SingleTxtGR"/>
      </w:pPr>
      <w:r w:rsidRPr="00A425E0">
        <w:t>6.8.3.2.21</w:t>
      </w:r>
      <w:r w:rsidRPr="00A425E0">
        <w:tab/>
        <w:t xml:space="preserve">В конце исключить «Основные требования этого пункта считаются выполненными, если применяются следующие стандарты: </w:t>
      </w:r>
      <w:r w:rsidRPr="00A425E0">
        <w:rPr>
          <w:i/>
          <w:iCs/>
        </w:rPr>
        <w:t>(Зарезервировано)</w:t>
      </w:r>
      <w:r w:rsidRPr="00A425E0">
        <w:t>.».</w:t>
      </w:r>
    </w:p>
    <w:p w:rsidR="002516B3" w:rsidRPr="00A425E0" w:rsidRDefault="002516B3" w:rsidP="002516B3">
      <w:pPr>
        <w:pStyle w:val="SingleTxtGR"/>
        <w:rPr>
          <w:i/>
          <w:iCs/>
        </w:rPr>
      </w:pPr>
      <w:r w:rsidRPr="00A425E0">
        <w:rPr>
          <w:i/>
          <w:iCs/>
        </w:rPr>
        <w:t>(Справочный документ: ECE/TRANS/WP.15/AC.1/2017/43)</w:t>
      </w:r>
    </w:p>
    <w:p w:rsidR="002516B3" w:rsidRPr="00590F61" w:rsidRDefault="002516B3" w:rsidP="002516B3">
      <w:pPr>
        <w:pStyle w:val="SingleTxtGR"/>
      </w:pPr>
      <w:r w:rsidRPr="00A425E0">
        <w:t>6.8.3.6</w:t>
      </w:r>
      <w:r w:rsidRPr="00A425E0">
        <w:tab/>
        <w:t>В таблице для стандарта «EN 13807:2003» в колонке 4 заменить «До дальнейшего указания» на «С 1 января 2005 года до 31 декабря 2020 года». После стандарта «EN 13807:2003» включить следующий новый стандарт:</w:t>
      </w:r>
    </w:p>
    <w:tbl>
      <w:tblPr>
        <w:tblW w:w="7428"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475"/>
        <w:gridCol w:w="3402"/>
        <w:gridCol w:w="1255"/>
        <w:gridCol w:w="1296"/>
      </w:tblGrid>
      <w:tr w:rsidR="002516B3" w:rsidRPr="00960236" w:rsidTr="002516B3">
        <w:tc>
          <w:tcPr>
            <w:tcW w:w="1475" w:type="dxa"/>
            <w:shd w:val="clear" w:color="auto" w:fill="auto"/>
          </w:tcPr>
          <w:p w:rsidR="002516B3" w:rsidRPr="00960236" w:rsidRDefault="002516B3" w:rsidP="002516B3">
            <w:pPr>
              <w:keepNext/>
              <w:spacing w:before="40" w:after="120"/>
              <w:ind w:hanging="22"/>
            </w:pPr>
            <w:r>
              <w:t>EN 13807:2017</w:t>
            </w:r>
          </w:p>
        </w:tc>
        <w:tc>
          <w:tcPr>
            <w:tcW w:w="3402" w:type="dxa"/>
            <w:shd w:val="clear" w:color="auto" w:fill="auto"/>
          </w:tcPr>
          <w:p w:rsidR="002516B3" w:rsidRPr="007A0339" w:rsidRDefault="002516B3" w:rsidP="002516B3">
            <w:pPr>
              <w:keepNext/>
              <w:spacing w:before="40" w:after="120"/>
              <w:ind w:hanging="22"/>
            </w:pPr>
            <w:r>
              <w:t>Переносные газовые баллоны – Транспортные средства-батареи и многоэлементные газовые контейнеры (МЭГК) – Конструкция, изготовление, идентификация и испытания</w:t>
            </w:r>
          </w:p>
        </w:tc>
        <w:tc>
          <w:tcPr>
            <w:tcW w:w="1255" w:type="dxa"/>
            <w:shd w:val="clear" w:color="auto" w:fill="auto"/>
          </w:tcPr>
          <w:p w:rsidR="002516B3" w:rsidRPr="00960236" w:rsidRDefault="002516B3" w:rsidP="002516B3">
            <w:pPr>
              <w:spacing w:before="40" w:after="120" w:line="240" w:lineRule="auto"/>
            </w:pPr>
            <w:r>
              <w:t>6.8.3.1.4, 6.8.3.1.5, 6.8.3.2.18–6.8.3.2.28, 6.8.3.4.12–6.8.3.4.14 и 6.8.3.5.10–6.8.3.5.13</w:t>
            </w:r>
          </w:p>
        </w:tc>
        <w:tc>
          <w:tcPr>
            <w:tcW w:w="1296" w:type="dxa"/>
            <w:shd w:val="clear" w:color="auto" w:fill="auto"/>
          </w:tcPr>
          <w:p w:rsidR="002516B3" w:rsidRPr="00960236" w:rsidRDefault="002516B3" w:rsidP="002516B3">
            <w:pPr>
              <w:spacing w:before="40" w:after="120" w:line="240" w:lineRule="auto"/>
              <w:jc w:val="center"/>
            </w:pPr>
            <w:r>
              <w:t>До дальнейшего указания</w:t>
            </w:r>
          </w:p>
        </w:tc>
      </w:tr>
    </w:tbl>
    <w:p w:rsidR="002516B3" w:rsidRPr="00B75AEE" w:rsidRDefault="002516B3" w:rsidP="002516B3">
      <w:pPr>
        <w:pStyle w:val="SingleTxtGR"/>
        <w:rPr>
          <w:i/>
          <w:iCs/>
        </w:rPr>
      </w:pPr>
      <w:r w:rsidRPr="00B75AEE">
        <w:rPr>
          <w:i/>
          <w:iCs/>
        </w:rPr>
        <w:t>(Справочный документ: неофициальный документ INF.53, предложение 2)</w:t>
      </w:r>
    </w:p>
    <w:p w:rsidR="002516B3" w:rsidRPr="00B75AEE" w:rsidRDefault="002516B3" w:rsidP="002516B3">
      <w:pPr>
        <w:pStyle w:val="SingleTxtGR"/>
        <w:tabs>
          <w:tab w:val="left" w:pos="4678"/>
        </w:tabs>
      </w:pPr>
      <w:r w:rsidRPr="00B75AEE">
        <w:t>6.8.4 d), специальное положение TT2</w:t>
      </w:r>
      <w:r w:rsidRPr="00B75AEE">
        <w:tab/>
        <w:t>В конце добавить «(см. специальное положение TU43 в разделе 4.3.5)».</w:t>
      </w:r>
    </w:p>
    <w:p w:rsidR="002516B3" w:rsidRPr="00B75AEE" w:rsidRDefault="002516B3" w:rsidP="002516B3">
      <w:pPr>
        <w:pStyle w:val="SingleTxtGR"/>
        <w:rPr>
          <w:i/>
          <w:iCs/>
        </w:rPr>
      </w:pPr>
      <w:r w:rsidRPr="00B75AEE">
        <w:rPr>
          <w:i/>
          <w:iCs/>
        </w:rPr>
        <w:t>(Справочный документ: неофициальный документ INF.46, предложение 3)</w:t>
      </w:r>
    </w:p>
    <w:p w:rsidR="002516B3" w:rsidRPr="00B75AEE" w:rsidRDefault="002516B3" w:rsidP="002516B3">
      <w:pPr>
        <w:pStyle w:val="SingleTxtGR"/>
      </w:pPr>
      <w:r w:rsidRPr="00B75AEE">
        <w:lastRenderedPageBreak/>
        <w:t>6.8.5.1.2 a)</w:t>
      </w:r>
      <w:r w:rsidRPr="00B75AEE">
        <w:tab/>
        <w:t>В конце добавить новый подпункт следующего содержания:</w:t>
      </w:r>
    </w:p>
    <w:p w:rsidR="002516B3" w:rsidRPr="00B75AEE" w:rsidRDefault="002516B3" w:rsidP="002516B3">
      <w:pPr>
        <w:pStyle w:val="SingleTxtGR"/>
      </w:pPr>
      <w:r w:rsidRPr="00B75AEE">
        <w:t>«–</w:t>
      </w:r>
      <w:r>
        <w:t xml:space="preserve"> </w:t>
      </w:r>
      <w:r w:rsidRPr="00B75AEE">
        <w:t>ферритно-аустенитные нержавеющие стали при температуре до [–40 °C]</w:t>
      </w:r>
      <w:r>
        <w:t>;</w:t>
      </w:r>
      <w:r w:rsidRPr="00B75AEE">
        <w:t>»</w:t>
      </w:r>
      <w:r>
        <w:t>.</w:t>
      </w:r>
    </w:p>
    <w:p w:rsidR="002516B3" w:rsidRPr="00B75AEE" w:rsidRDefault="002516B3" w:rsidP="002516B3">
      <w:pPr>
        <w:pStyle w:val="SingleTxtGR"/>
        <w:rPr>
          <w:i/>
          <w:iCs/>
        </w:rPr>
      </w:pPr>
      <w:r w:rsidRPr="00B75AEE">
        <w:rPr>
          <w:i/>
          <w:iCs/>
        </w:rPr>
        <w:t>(Справочный документ: неофициальный документ INF.46, предложение 11)</w:t>
      </w:r>
    </w:p>
    <w:p w:rsidR="002516B3" w:rsidRPr="00B75AEE" w:rsidRDefault="002516B3" w:rsidP="002516B3">
      <w:pPr>
        <w:pStyle w:val="SingleTxtGR"/>
      </w:pPr>
      <w:r w:rsidRPr="00B75AEE">
        <w:t>6.8.5.2.1</w:t>
      </w:r>
      <w:r w:rsidRPr="00B75AEE">
        <w:tab/>
        <w:t>В конце второго подпункта заменить «или аустенитной хромникелевой стали» на «, аустенитной хромникелевой стали или ферритно-аусте</w:t>
      </w:r>
      <w:r>
        <w:t>-</w:t>
      </w:r>
      <w:r w:rsidRPr="00B75AEE">
        <w:t xml:space="preserve">нитной нержавеющей стали». </w:t>
      </w:r>
    </w:p>
    <w:p w:rsidR="002516B3" w:rsidRPr="00B75AEE" w:rsidRDefault="002516B3" w:rsidP="002516B3">
      <w:pPr>
        <w:pStyle w:val="SingleTxtGR"/>
        <w:rPr>
          <w:i/>
          <w:iCs/>
        </w:rPr>
      </w:pPr>
      <w:r w:rsidRPr="00B75AEE">
        <w:rPr>
          <w:i/>
          <w:iCs/>
        </w:rPr>
        <w:t>(Справочный документ: неофициальный документ INF.46, предложение 12)</w:t>
      </w:r>
    </w:p>
    <w:p w:rsidR="002516B3" w:rsidRPr="00B75AEE" w:rsidRDefault="002516B3" w:rsidP="002516B3">
      <w:pPr>
        <w:pStyle w:val="H1GR"/>
      </w:pPr>
      <w:r w:rsidRPr="00B75AEE">
        <w:tab/>
      </w:r>
      <w:r w:rsidRPr="00B75AEE">
        <w:tab/>
        <w:t>Глава 6.9</w:t>
      </w:r>
    </w:p>
    <w:p w:rsidR="002516B3" w:rsidRPr="00B75AEE" w:rsidRDefault="002516B3" w:rsidP="002516B3">
      <w:pPr>
        <w:pStyle w:val="SingleTxtGR"/>
      </w:pPr>
      <w:r w:rsidRPr="00B75AEE">
        <w:t>6.9.3.1</w:t>
      </w:r>
      <w:r w:rsidRPr="00B75AEE">
        <w:tab/>
        <w:t>Заменить «и 6.8.2.2.4» на «, 6.8.2.2.4 и 6.8.2.2.6».</w:t>
      </w:r>
    </w:p>
    <w:p w:rsidR="002516B3" w:rsidRPr="00B75AEE" w:rsidRDefault="002516B3" w:rsidP="002516B3">
      <w:pPr>
        <w:pStyle w:val="SingleTxtGR"/>
        <w:rPr>
          <w:i/>
          <w:iCs/>
        </w:rPr>
      </w:pPr>
      <w:r w:rsidRPr="00B75AEE">
        <w:rPr>
          <w:i/>
          <w:iCs/>
        </w:rPr>
        <w:t>(Справочный документ: ECE/TRANS/WP.15/AC.1/2017/43)</w:t>
      </w:r>
    </w:p>
    <w:p w:rsidR="002516B3" w:rsidRPr="00B75AEE" w:rsidRDefault="002516B3" w:rsidP="002516B3">
      <w:pPr>
        <w:pStyle w:val="H1GR"/>
      </w:pPr>
      <w:r w:rsidRPr="00B75AEE">
        <w:tab/>
      </w:r>
      <w:r w:rsidRPr="00B75AEE">
        <w:tab/>
        <w:t>Глава 6.10</w:t>
      </w:r>
    </w:p>
    <w:p w:rsidR="002516B3" w:rsidRPr="00B75AEE" w:rsidRDefault="002516B3" w:rsidP="002516B3">
      <w:pPr>
        <w:pStyle w:val="SingleTxtGR"/>
      </w:pPr>
      <w:r w:rsidRPr="00B75AEE">
        <w:t>6.10.1.2.1</w:t>
      </w:r>
      <w:r w:rsidRPr="00B75AEE">
        <w:tab/>
        <w:t>В первом предложении третьего абзаца заменить «за исключением случаев, когда специальным положением, содержащимся в настоящей главе, предписано иное» на «за исключением случаев, когда специальными требованиями, содержащимися в настоящей главе, предписано иное».</w:t>
      </w:r>
    </w:p>
    <w:p w:rsidR="002516B3" w:rsidRPr="00B75AEE" w:rsidRDefault="002516B3" w:rsidP="002516B3">
      <w:pPr>
        <w:pStyle w:val="SingleTxtGR"/>
        <w:rPr>
          <w:i/>
          <w:iCs/>
        </w:rPr>
      </w:pPr>
      <w:r w:rsidRPr="00B75AEE">
        <w:rPr>
          <w:i/>
          <w:iCs/>
        </w:rPr>
        <w:t>(Справочный документ: неофициальный документ INF.46, предложение 7)</w:t>
      </w:r>
    </w:p>
    <w:p w:rsidR="002516B3" w:rsidRPr="00B75AEE" w:rsidRDefault="002516B3" w:rsidP="002516B3">
      <w:pPr>
        <w:pStyle w:val="H1GR"/>
      </w:pPr>
      <w:r w:rsidRPr="00B75AEE">
        <w:tab/>
      </w:r>
      <w:r w:rsidRPr="00B75AEE">
        <w:tab/>
        <w:t>Глава 7.5</w:t>
      </w:r>
    </w:p>
    <w:p w:rsidR="002516B3" w:rsidRPr="00B75AEE" w:rsidRDefault="002516B3" w:rsidP="002516B3">
      <w:pPr>
        <w:pStyle w:val="SingleTxtGR"/>
      </w:pPr>
      <w:r w:rsidRPr="00B75AEE">
        <w:t>7.5.2.2</w:t>
      </w:r>
      <w:r w:rsidRPr="00B75AEE">
        <w:tab/>
        <w:t>Данное изменение не касается те</w:t>
      </w:r>
      <w:r>
        <w:t>к</w:t>
      </w:r>
      <w:r w:rsidRPr="00B75AEE">
        <w:t>ста на русском языке.</w:t>
      </w:r>
    </w:p>
    <w:p w:rsidR="002516B3" w:rsidRPr="00B75AEE" w:rsidRDefault="002516B3" w:rsidP="002516B3">
      <w:pPr>
        <w:pStyle w:val="SingleTxtGR"/>
        <w:tabs>
          <w:tab w:val="left" w:pos="5812"/>
        </w:tabs>
      </w:pPr>
      <w:r w:rsidRPr="00B75AEE">
        <w:t>(ДОПОГ:) 7.5.11, специальное положение CV20</w:t>
      </w:r>
      <w:r w:rsidRPr="00B75AEE">
        <w:tab/>
        <w:t>Заменить «и специальные положения V1 и V8</w:t>
      </w:r>
      <w:r>
        <w:t xml:space="preserve"> </w:t>
      </w:r>
      <w:r w:rsidRPr="00B75AEE">
        <w:t>(5) и (6) главы 7.2» на «и пунктов 7.1.7.4.7 и 7.1.7.4.8, а также специальное положение V1 главы 7.2».</w:t>
      </w:r>
    </w:p>
    <w:p w:rsidR="002516B3" w:rsidRPr="00B75AEE" w:rsidRDefault="002516B3" w:rsidP="002516B3">
      <w:pPr>
        <w:pStyle w:val="SingleTxtGR"/>
        <w:rPr>
          <w:i/>
        </w:rPr>
      </w:pPr>
      <w:r w:rsidRPr="00B75AEE">
        <w:rPr>
          <w:i/>
          <w:iCs/>
        </w:rPr>
        <w:t>(Справочный документ: неофициальный документ INF.9)</w:t>
      </w:r>
    </w:p>
    <w:p w:rsidR="002516B3" w:rsidRPr="00B75AEE" w:rsidRDefault="002516B3" w:rsidP="002516B3">
      <w:pPr>
        <w:pStyle w:val="SingleTxtGR"/>
      </w:pPr>
      <w:r w:rsidRPr="00B75AEE">
        <w:t>7.5.11, специальное положение CV21</w:t>
      </w:r>
      <w:r w:rsidRPr="00B75AEE">
        <w:tab/>
        <w:t>В третьем абзаце заменить «в соответствии с методами R2 или R4, предусмот</w:t>
      </w:r>
      <w:r>
        <w:t>ренными в специальном положении </w:t>
      </w:r>
      <w:r w:rsidRPr="00B75AEE">
        <w:t>V8</w:t>
      </w:r>
      <w:r>
        <w:t> </w:t>
      </w:r>
      <w:r w:rsidRPr="00B75AEE">
        <w:t>(3) главы 7.2» на «в соответствии с методами, описываемыми в подпунктах 7.1.7.4.5 b) или d)».</w:t>
      </w:r>
    </w:p>
    <w:p w:rsidR="002516B3" w:rsidRPr="00B75AEE" w:rsidRDefault="002516B3" w:rsidP="002516B3">
      <w:pPr>
        <w:pStyle w:val="SingleTxtGR"/>
        <w:rPr>
          <w:i/>
        </w:rPr>
      </w:pPr>
      <w:r w:rsidRPr="00B75AEE">
        <w:rPr>
          <w:i/>
          <w:iCs/>
        </w:rPr>
        <w:t>(Справочный документ: неофициальный документ INF.9)</w:t>
      </w:r>
    </w:p>
    <w:p w:rsidR="002516B3" w:rsidRPr="00B75AEE" w:rsidRDefault="002516B3" w:rsidP="002516B3">
      <w:pPr>
        <w:pStyle w:val="H1GR"/>
      </w:pPr>
      <w:r w:rsidRPr="00B75AEE">
        <w:tab/>
      </w:r>
      <w:r w:rsidRPr="00B75AEE">
        <w:tab/>
        <w:t>(ДОПОГ:) Глава 9.6</w:t>
      </w:r>
    </w:p>
    <w:p w:rsidR="002516B3" w:rsidRPr="00B75AEE" w:rsidRDefault="002516B3" w:rsidP="002516B3">
      <w:pPr>
        <w:pStyle w:val="SingleTxtGR"/>
      </w:pPr>
      <w:r w:rsidRPr="00B75AEE">
        <w:t>9.6.2</w:t>
      </w:r>
      <w:r w:rsidRPr="00B75AEE">
        <w:tab/>
        <w:t>Изменить первое предложение следующим образом: «Надлежащие методы предотвращения превышения контрольной температуры перечислены в пункте 7.1.7.4.5.».</w:t>
      </w:r>
    </w:p>
    <w:p w:rsidR="002516B3" w:rsidRPr="00B75AEE" w:rsidRDefault="002516B3" w:rsidP="002516B3">
      <w:pPr>
        <w:pStyle w:val="SingleTxtGR"/>
        <w:rPr>
          <w:i/>
        </w:rPr>
      </w:pPr>
      <w:r w:rsidRPr="00B75AEE">
        <w:rPr>
          <w:i/>
          <w:iCs/>
        </w:rPr>
        <w:t>(Справочный документ: неофициальный документ INF.9)</w:t>
      </w:r>
    </w:p>
    <w:p w:rsidR="002516B3" w:rsidRPr="00B75AEE" w:rsidRDefault="002516B3" w:rsidP="002516B3">
      <w:pPr>
        <w:pStyle w:val="H1GR"/>
      </w:pPr>
      <w:r w:rsidRPr="00B75AEE">
        <w:tab/>
      </w:r>
      <w:r w:rsidRPr="00B75AEE">
        <w:tab/>
        <w:t>Изменения к приложению II к документу ECE/TRANS/WP.15/AC.1/144</w:t>
      </w:r>
    </w:p>
    <w:p w:rsidR="002516B3" w:rsidRPr="00B75AEE" w:rsidRDefault="002516B3" w:rsidP="002516B3">
      <w:pPr>
        <w:pStyle w:val="SingleTxtGR"/>
        <w:tabs>
          <w:tab w:val="clear" w:pos="3402"/>
          <w:tab w:val="left" w:pos="3119"/>
        </w:tabs>
      </w:pPr>
      <w:r w:rsidRPr="00B75AEE">
        <w:t>1.6.3.48 и 1.6.4.50</w:t>
      </w:r>
      <w:r w:rsidRPr="00B75AEE">
        <w:tab/>
      </w:r>
      <w:r w:rsidRPr="00B75AEE">
        <w:tab/>
        <w:t>Заменить «2022» на «2026».</w:t>
      </w:r>
    </w:p>
    <w:p w:rsidR="002516B3" w:rsidRPr="00B75AEE" w:rsidRDefault="002516B3" w:rsidP="002516B3">
      <w:pPr>
        <w:pStyle w:val="SingleTxtGR"/>
        <w:rPr>
          <w:i/>
          <w:iCs/>
        </w:rPr>
      </w:pPr>
      <w:r w:rsidRPr="00B75AEE">
        <w:rPr>
          <w:i/>
          <w:iCs/>
        </w:rPr>
        <w:t>(Справочный документ: неофициальный документ INF.46, предложение 13)</w:t>
      </w:r>
    </w:p>
    <w:p w:rsidR="002516B3" w:rsidRPr="00B75AEE" w:rsidRDefault="002516B3" w:rsidP="002516B3">
      <w:pPr>
        <w:pStyle w:val="H1GR"/>
      </w:pPr>
      <w:r w:rsidRPr="00B75AEE">
        <w:lastRenderedPageBreak/>
        <w:tab/>
      </w:r>
      <w:r w:rsidRPr="00B75AEE">
        <w:tab/>
        <w:t>Изменения к приложению II к документу ECE/TRANS/WP.15/AC.1/146</w:t>
      </w:r>
    </w:p>
    <w:p w:rsidR="002516B3" w:rsidRPr="00B75AEE" w:rsidRDefault="002516B3" w:rsidP="002516B3">
      <w:pPr>
        <w:pStyle w:val="SingleTxtGR"/>
      </w:pPr>
      <w:r w:rsidRPr="00B75AEE">
        <w:t>1.6.3.49</w:t>
      </w:r>
      <w:r w:rsidRPr="00B75AEE">
        <w:tab/>
        <w:t>Опустить текст в квадратных скобках.</w:t>
      </w:r>
    </w:p>
    <w:p w:rsidR="002516B3" w:rsidRPr="00B75AEE" w:rsidRDefault="002516B3" w:rsidP="002516B3">
      <w:pPr>
        <w:pStyle w:val="SingleTxtGR"/>
        <w:rPr>
          <w:i/>
          <w:iCs/>
        </w:rPr>
      </w:pPr>
      <w:r w:rsidRPr="00B75AEE">
        <w:rPr>
          <w:i/>
          <w:iCs/>
        </w:rPr>
        <w:t>(Справочный документ: неофициальный документ INF.46, предложение 9)</w:t>
      </w:r>
    </w:p>
    <w:p w:rsidR="002516B3" w:rsidRPr="00B75AEE" w:rsidRDefault="002516B3" w:rsidP="002516B3">
      <w:pPr>
        <w:pStyle w:val="SingleTxtGR"/>
      </w:pPr>
      <w:r w:rsidRPr="00B75AEE">
        <w:t>1.6.3.53</w:t>
      </w:r>
      <w:r w:rsidRPr="00B75AEE">
        <w:tab/>
        <w:t>Снять квадратные скобки.</w:t>
      </w:r>
    </w:p>
    <w:p w:rsidR="002516B3" w:rsidRPr="00B75AEE" w:rsidRDefault="002516B3" w:rsidP="002516B3">
      <w:pPr>
        <w:pStyle w:val="SingleTxtGR"/>
        <w:rPr>
          <w:i/>
          <w:iCs/>
        </w:rPr>
      </w:pPr>
      <w:r w:rsidRPr="00B75AEE">
        <w:rPr>
          <w:i/>
          <w:iCs/>
        </w:rPr>
        <w:t>(Справочный документ: неофициальный документ INF.46, предложение 8)</w:t>
      </w:r>
    </w:p>
    <w:p w:rsidR="002516B3" w:rsidRPr="00B75AEE" w:rsidRDefault="002516B3" w:rsidP="002516B3">
      <w:pPr>
        <w:pStyle w:val="SingleTxtGR"/>
      </w:pPr>
      <w:r w:rsidRPr="00B75AEE">
        <w:t>1.6.4.51</w:t>
      </w:r>
      <w:r w:rsidRPr="00B75AEE">
        <w:tab/>
        <w:t>Опустить текст в квадратных скобках.</w:t>
      </w:r>
    </w:p>
    <w:p w:rsidR="002516B3" w:rsidRPr="00B75AEE" w:rsidRDefault="002516B3" w:rsidP="002516B3">
      <w:pPr>
        <w:pStyle w:val="SingleTxtGR"/>
        <w:rPr>
          <w:i/>
          <w:iCs/>
        </w:rPr>
      </w:pPr>
      <w:r w:rsidRPr="00B75AEE">
        <w:rPr>
          <w:i/>
          <w:iCs/>
        </w:rPr>
        <w:t>(Справочный документ: неофициальный документ INF.46, предложение 9)</w:t>
      </w:r>
    </w:p>
    <w:p w:rsidR="002516B3" w:rsidRPr="00B75AEE" w:rsidRDefault="002516B3" w:rsidP="002516B3">
      <w:pPr>
        <w:pStyle w:val="SingleTxtGR"/>
      </w:pPr>
      <w:r w:rsidRPr="00B75AEE">
        <w:t>6.8.2.2.3</w:t>
      </w:r>
      <w:r w:rsidRPr="00B75AEE">
        <w:tab/>
        <w:t>В новом абзаце перед таблицей заменить «EN ISO 16852:[2010]» на «EN ISO 16852:2016</w:t>
      </w:r>
      <w:r w:rsidRPr="00B75AEE">
        <w:rPr>
          <w:i/>
          <w:iCs/>
        </w:rPr>
        <w:t xml:space="preserve"> (Пламегасители – Требования к рабочим характеристикам, методы испытаний и ограничения по использованию)</w:t>
      </w:r>
      <w:r w:rsidRPr="00B75AEE">
        <w:t>». В таблице, во второй колонке заменить «EN ISO 16852:[2010]» на «EN ISO 16852:2016» в каждой графе таблицы.</w:t>
      </w:r>
    </w:p>
    <w:p w:rsidR="002516B3" w:rsidRPr="00B75AEE" w:rsidRDefault="002516B3" w:rsidP="002516B3">
      <w:pPr>
        <w:pStyle w:val="SingleTxtGR"/>
        <w:rPr>
          <w:i/>
          <w:iCs/>
        </w:rPr>
      </w:pPr>
      <w:r w:rsidRPr="00B75AEE">
        <w:rPr>
          <w:i/>
          <w:iCs/>
        </w:rPr>
        <w:t>(Справочный документ: неофициальный документ INF.46, предложение 10)</w:t>
      </w:r>
    </w:p>
    <w:p w:rsidR="002516B3" w:rsidRPr="00B75AEE" w:rsidRDefault="002516B3" w:rsidP="002516B3">
      <w:pPr>
        <w:pStyle w:val="SingleTxtGR"/>
      </w:pPr>
      <w:r w:rsidRPr="00B75AEE">
        <w:t>6.8.2.3.1</w:t>
      </w:r>
      <w:r w:rsidRPr="00B75AEE">
        <w:tab/>
        <w:t>Снять квадратные скобки.</w:t>
      </w:r>
    </w:p>
    <w:p w:rsidR="002516B3" w:rsidRPr="00B75AEE" w:rsidRDefault="002516B3" w:rsidP="002516B3">
      <w:pPr>
        <w:pStyle w:val="SingleTxtGR"/>
        <w:rPr>
          <w:i/>
          <w:iCs/>
        </w:rPr>
      </w:pPr>
      <w:r w:rsidRPr="00B75AEE">
        <w:rPr>
          <w:i/>
          <w:iCs/>
        </w:rPr>
        <w:t>(Справочный документ: неофициальный документ INF.46, предложение 8)</w:t>
      </w:r>
    </w:p>
    <w:p w:rsidR="002516B3" w:rsidRPr="00B75AEE" w:rsidRDefault="002516B3" w:rsidP="002516B3">
      <w:pPr>
        <w:pStyle w:val="H1GR"/>
      </w:pPr>
      <w:r w:rsidRPr="00B75AEE">
        <w:tab/>
      </w:r>
      <w:r w:rsidRPr="00B75AEE">
        <w:tab/>
        <w:t>Документ ECE/TRANS/WP.15/AC.1/2017/26/Add.1 и приложение к нему приняты со следующими изменениями:</w:t>
      </w:r>
    </w:p>
    <w:p w:rsidR="002516B3" w:rsidRPr="00B75AEE" w:rsidRDefault="002516B3" w:rsidP="002516B3">
      <w:pPr>
        <w:pStyle w:val="SingleTxtGR"/>
      </w:pPr>
      <w:r w:rsidRPr="00B75AEE">
        <w:t>Везде в указанном документе, за исключением главы 7.1, опустить квадратные скобки.</w:t>
      </w:r>
    </w:p>
    <w:p w:rsidR="002516B3" w:rsidRPr="00B75AEE" w:rsidRDefault="002516B3" w:rsidP="002516B3">
      <w:pPr>
        <w:pStyle w:val="H23GR"/>
      </w:pPr>
      <w:r w:rsidRPr="00B75AEE">
        <w:tab/>
      </w:r>
      <w:r w:rsidRPr="00B75AEE">
        <w:tab/>
        <w:t>Глава 1.6</w:t>
      </w:r>
    </w:p>
    <w:p w:rsidR="002516B3" w:rsidRPr="00B75AEE" w:rsidRDefault="002516B3" w:rsidP="002516B3">
      <w:pPr>
        <w:pStyle w:val="SingleTxtGR"/>
      </w:pPr>
      <w:r w:rsidRPr="00B75AEE">
        <w:t>1.6.1.XX</w:t>
      </w:r>
      <w:r w:rsidRPr="00B75AEE">
        <w:tab/>
        <w:t>Пронумеровать как 1.6.1.46 и в конце после «до» заменить «[…]» на «31 декабря 2022 года». Последнее изменение не касается те</w:t>
      </w:r>
      <w:r>
        <w:t>к</w:t>
      </w:r>
      <w:r w:rsidRPr="00B75AEE">
        <w:t>ста на русском языке.</w:t>
      </w:r>
    </w:p>
    <w:p w:rsidR="002516B3" w:rsidRPr="00B75AEE" w:rsidRDefault="002516B3" w:rsidP="002516B3">
      <w:pPr>
        <w:pStyle w:val="H23GR"/>
      </w:pPr>
      <w:r w:rsidRPr="00B75AEE">
        <w:tab/>
      </w:r>
      <w:r w:rsidRPr="00B75AEE">
        <w:tab/>
        <w:t>Глава 2.1</w:t>
      </w:r>
    </w:p>
    <w:p w:rsidR="002516B3" w:rsidRPr="00B75AEE" w:rsidRDefault="002516B3" w:rsidP="002516B3">
      <w:pPr>
        <w:pStyle w:val="SingleTxtGR"/>
        <w:rPr>
          <w:iCs/>
        </w:rPr>
      </w:pPr>
      <w:r w:rsidRPr="00B75AEE">
        <w:t>2.1.4.3.1 a)</w:t>
      </w:r>
      <w:r w:rsidRPr="00B75AEE">
        <w:tab/>
        <w:t>Данное изменение не касается те</w:t>
      </w:r>
      <w:r>
        <w:t>к</w:t>
      </w:r>
      <w:r w:rsidRPr="00B75AEE">
        <w:t>ста на русском языке.</w:t>
      </w:r>
    </w:p>
    <w:p w:rsidR="002516B3" w:rsidRPr="00B75AEE" w:rsidRDefault="002516B3" w:rsidP="002516B3">
      <w:pPr>
        <w:pStyle w:val="SingleTxtGR"/>
      </w:pPr>
      <w:r w:rsidRPr="00B75AEE">
        <w:t>[2.1.5</w:t>
      </w:r>
      <w:r w:rsidRPr="00B75AEE">
        <w:tab/>
      </w:r>
      <w:r w:rsidRPr="00B75AEE">
        <w:tab/>
        <w:t>Обозначить ПРИМЕЧАНИЕ как ПРИМЕЧАНИЕ 1 и добавить новое ПРИМЕЧАНИЕ 2 следующего содержания:</w:t>
      </w:r>
    </w:p>
    <w:p w:rsidR="002516B3" w:rsidRPr="00B75AEE" w:rsidRDefault="002516B3" w:rsidP="002516B3">
      <w:pPr>
        <w:pStyle w:val="SingleTxtGR"/>
      </w:pPr>
      <w:r w:rsidRPr="00590F61">
        <w:rPr>
          <w:iCs/>
        </w:rPr>
        <w:t>«</w:t>
      </w:r>
      <w:r w:rsidRPr="00B75AEE">
        <w:rPr>
          <w:b/>
          <w:bCs/>
          <w:i/>
          <w:iCs/>
        </w:rPr>
        <w:t>ПРИМЕЧАНИЕ 2</w:t>
      </w:r>
      <w:r w:rsidRPr="00B75AEE">
        <w:rPr>
          <w:i/>
          <w:iCs/>
        </w:rPr>
        <w:t>: Термин</w:t>
      </w:r>
      <w:r>
        <w:rPr>
          <w:i/>
          <w:iCs/>
        </w:rPr>
        <w:t xml:space="preserve"> </w:t>
      </w:r>
      <w:r>
        <w:rPr>
          <w:iCs/>
        </w:rPr>
        <w:t>"</w:t>
      </w:r>
      <w:r>
        <w:rPr>
          <w:i/>
          <w:iCs/>
        </w:rPr>
        <w:t>сущ</w:t>
      </w:r>
      <w:r w:rsidRPr="00B75AEE">
        <w:rPr>
          <w:i/>
          <w:iCs/>
        </w:rPr>
        <w:t>ествующее надлежащее отгрузочное наименовани</w:t>
      </w:r>
      <w:r>
        <w:rPr>
          <w:i/>
          <w:iCs/>
        </w:rPr>
        <w:t>е</w:t>
      </w:r>
      <w:r>
        <w:rPr>
          <w:iCs/>
        </w:rPr>
        <w:t xml:space="preserve">" </w:t>
      </w:r>
      <w:r w:rsidRPr="009E1634">
        <w:rPr>
          <w:i/>
          <w:iCs/>
        </w:rPr>
        <w:t>в</w:t>
      </w:r>
      <w:r>
        <w:rPr>
          <w:iCs/>
        </w:rPr>
        <w:t xml:space="preserve"> </w:t>
      </w:r>
      <w:r w:rsidRPr="00B75AEE">
        <w:rPr>
          <w:i/>
          <w:iCs/>
        </w:rPr>
        <w:t>ПРИМЕЧАНИИ 1 выше не включает конкретные позиции</w:t>
      </w:r>
      <w:r>
        <w:rPr>
          <w:i/>
          <w:iCs/>
        </w:rPr>
        <w:t xml:space="preserve"> </w:t>
      </w:r>
      <w:r>
        <w:rPr>
          <w:iCs/>
        </w:rPr>
        <w:t>"</w:t>
      </w:r>
      <w:r>
        <w:rPr>
          <w:i/>
          <w:iCs/>
        </w:rPr>
        <w:t>н.у.к.</w:t>
      </w:r>
      <w:r>
        <w:rPr>
          <w:iCs/>
        </w:rPr>
        <w:t xml:space="preserve">" </w:t>
      </w:r>
      <w:r>
        <w:rPr>
          <w:i/>
          <w:iCs/>
        </w:rPr>
        <w:t xml:space="preserve">для </w:t>
      </w:r>
      <w:r w:rsidRPr="00B75AEE">
        <w:rPr>
          <w:i/>
          <w:iCs/>
        </w:rPr>
        <w:t>№ ООН 3537–3548.</w:t>
      </w:r>
      <w:r w:rsidRPr="00590F61">
        <w:rPr>
          <w:iCs/>
        </w:rPr>
        <w:t>»</w:t>
      </w:r>
      <w:r w:rsidRPr="00590F61">
        <w:t>.</w:t>
      </w:r>
      <w:r w:rsidRPr="00B75AEE">
        <w:t>]</w:t>
      </w:r>
    </w:p>
    <w:p w:rsidR="002516B3" w:rsidRPr="00B75AEE" w:rsidRDefault="002516B3" w:rsidP="002516B3">
      <w:pPr>
        <w:pStyle w:val="SingleTxtGR"/>
        <w:rPr>
          <w:i/>
        </w:rPr>
      </w:pPr>
      <w:r w:rsidRPr="00B75AEE">
        <w:rPr>
          <w:i/>
          <w:iCs/>
        </w:rPr>
        <w:t>(Справочный документ: неофициальный документ INF.47)</w:t>
      </w:r>
    </w:p>
    <w:p w:rsidR="002516B3" w:rsidRPr="00B75AEE" w:rsidRDefault="002516B3" w:rsidP="002516B3">
      <w:pPr>
        <w:pStyle w:val="SingleTxtGR"/>
        <w:rPr>
          <w:iCs/>
        </w:rPr>
      </w:pPr>
      <w:r w:rsidRPr="00B75AEE">
        <w:t>2.1.5.1</w:t>
      </w:r>
      <w:r w:rsidRPr="00B75AEE">
        <w:tab/>
        <w:t>Данное изменение не касается те</w:t>
      </w:r>
      <w:r>
        <w:t>к</w:t>
      </w:r>
      <w:r w:rsidRPr="00B75AEE">
        <w:t>ста на русском языке.</w:t>
      </w:r>
    </w:p>
    <w:p w:rsidR="002516B3" w:rsidRPr="00B75AEE" w:rsidRDefault="002516B3" w:rsidP="002516B3">
      <w:pPr>
        <w:pStyle w:val="SingleTxtGR"/>
        <w:rPr>
          <w:iCs/>
        </w:rPr>
      </w:pPr>
      <w:r w:rsidRPr="00B75AEE">
        <w:t>2.1.5.6</w:t>
      </w:r>
      <w:r w:rsidRPr="00B75AEE">
        <w:tab/>
        <w:t>Новый пункт 2.1.5.6 читать следующим образом:</w:t>
      </w:r>
    </w:p>
    <w:p w:rsidR="002516B3" w:rsidRPr="00B75AEE" w:rsidRDefault="002516B3" w:rsidP="002516B3">
      <w:pPr>
        <w:pStyle w:val="SingleTxtGR"/>
      </w:pPr>
      <w:r w:rsidRPr="00B75AEE">
        <w:t>«2.1.5.6</w:t>
      </w:r>
      <w:r w:rsidRPr="00B75AEE">
        <w:tab/>
        <w:t>Дополнительные виды опасности должны отражать основную опасность, представляемую прочими опасными грузами, содержащимися в изделии. В тех случаях, когда в изделии присутствует только один опасный груз, дополнительный(е) вид(ы) опасности должен (должны) соответствовать дополнительному(ым) виду(ам) опасности, на который(ые) указывает(ют) знак(и) дополнительной опасности, упомянутый(ые) в колонке 5 таблицы А главы 3.2. Если в изделии содержится несколько опасных грузов и они могут вступать в опасную реакцию друг с другом во время перевозки, каждый из указанных опасных грузов должен быть упакован по отдельности (см. пункт 4.1.1.6).».</w:t>
      </w:r>
    </w:p>
    <w:p w:rsidR="002516B3" w:rsidRPr="00B75AEE" w:rsidRDefault="002516B3" w:rsidP="002516B3">
      <w:pPr>
        <w:pStyle w:val="SingleTxtGR"/>
        <w:rPr>
          <w:i/>
          <w:iCs/>
        </w:rPr>
      </w:pPr>
      <w:r w:rsidRPr="00B75AEE">
        <w:rPr>
          <w:i/>
          <w:iCs/>
        </w:rPr>
        <w:lastRenderedPageBreak/>
        <w:t>(Справочный документ: вариант 2 в документе ECE/TRANS/WP.15/AC.1/</w:t>
      </w:r>
      <w:r>
        <w:rPr>
          <w:i/>
          <w:iCs/>
        </w:rPr>
        <w:t xml:space="preserve"> </w:t>
      </w:r>
      <w:r w:rsidRPr="00B75AEE">
        <w:rPr>
          <w:i/>
          <w:iCs/>
        </w:rPr>
        <w:t>201</w:t>
      </w:r>
      <w:r>
        <w:rPr>
          <w:i/>
          <w:iCs/>
        </w:rPr>
        <w:t>7</w:t>
      </w:r>
      <w:r w:rsidRPr="00B75AEE">
        <w:rPr>
          <w:i/>
          <w:iCs/>
        </w:rPr>
        <w:t>/26/Add.1 с поправками)</w:t>
      </w:r>
    </w:p>
    <w:p w:rsidR="002516B3" w:rsidRPr="00B75AEE" w:rsidRDefault="002516B3" w:rsidP="002516B3">
      <w:pPr>
        <w:pStyle w:val="H23GR"/>
      </w:pPr>
      <w:r w:rsidRPr="00B75AEE">
        <w:tab/>
      </w:r>
      <w:r w:rsidRPr="00B75AEE">
        <w:tab/>
        <w:t>Глава 2.2</w:t>
      </w:r>
    </w:p>
    <w:p w:rsidR="002516B3" w:rsidRPr="00B75AEE" w:rsidRDefault="002516B3" w:rsidP="002516B3">
      <w:pPr>
        <w:pStyle w:val="SingleTxtGR"/>
        <w:rPr>
          <w:iCs/>
        </w:rPr>
      </w:pPr>
      <w:r w:rsidRPr="00B75AEE">
        <w:t>2.2.1.1.1 c)</w:t>
      </w:r>
      <w:r w:rsidRPr="00B75AEE">
        <w:tab/>
        <w:t>Данное изменение не касается те</w:t>
      </w:r>
      <w:r>
        <w:t>к</w:t>
      </w:r>
      <w:r w:rsidRPr="00B75AEE">
        <w:t>ста на русском языке.</w:t>
      </w:r>
    </w:p>
    <w:p w:rsidR="002516B3" w:rsidRPr="00B75AEE" w:rsidRDefault="002516B3" w:rsidP="002516B3">
      <w:pPr>
        <w:pStyle w:val="SingleTxtGR"/>
        <w:rPr>
          <w:iCs/>
        </w:rPr>
      </w:pPr>
      <w:r w:rsidRPr="00B75AEE">
        <w:t>2.2.3.3</w:t>
      </w:r>
      <w:r w:rsidRPr="00B75AEE">
        <w:tab/>
        <w:t>Данное изменение не касается те</w:t>
      </w:r>
      <w:r>
        <w:t>к</w:t>
      </w:r>
      <w:r w:rsidRPr="00B75AEE">
        <w:t>ста на русском языке.</w:t>
      </w:r>
    </w:p>
    <w:p w:rsidR="002516B3" w:rsidRPr="00B75AEE" w:rsidRDefault="002516B3" w:rsidP="002516B3">
      <w:pPr>
        <w:pStyle w:val="SingleTxtGR"/>
      </w:pPr>
      <w:r w:rsidRPr="00B75AEE">
        <w:t>2.2.51.2.2</w:t>
      </w:r>
      <w:r w:rsidRPr="00B75AEE">
        <w:tab/>
        <w:t>Данную поправку читать следующим образом:</w:t>
      </w:r>
    </w:p>
    <w:p w:rsidR="002516B3" w:rsidRPr="00B75AEE" w:rsidRDefault="002516B3" w:rsidP="002516B3">
      <w:pPr>
        <w:pStyle w:val="SingleTxtGR"/>
      </w:pPr>
      <w:r w:rsidRPr="00B75AEE">
        <w:t>«2.2.51.2.2</w:t>
      </w:r>
      <w:r w:rsidRPr="00B75AEE">
        <w:tab/>
        <w:t>Заменить тринадцатый подпункт следующим текстом:</w:t>
      </w:r>
    </w:p>
    <w:p w:rsidR="002516B3" w:rsidRPr="00B75AEE" w:rsidRDefault="002516B3" w:rsidP="002516B3">
      <w:pPr>
        <w:pStyle w:val="SingleTxtGR"/>
      </w:pPr>
      <w:r>
        <w:t>"–</w:t>
      </w:r>
      <w:r w:rsidRPr="00B75AEE">
        <w:tab/>
        <w:t xml:space="preserve">удобрения на основе аммония нитрата с составом, соответствующим выходным блокам 4, 6, 8, 15, 31 или 33 схемы принятия решений, содержащейся в пункте 39.5.1 Руководства по испытаниям и критериям, часть III, раздел 39, кроме случаев, когда они были отнесены к подходящему номеру ООН в рамках класса 1; </w:t>
      </w:r>
    </w:p>
    <w:p w:rsidR="002516B3" w:rsidRPr="00B75AEE" w:rsidRDefault="002516B3" w:rsidP="002516B3">
      <w:pPr>
        <w:pStyle w:val="SingleTxtGR"/>
      </w:pPr>
      <w:r>
        <w:t>–</w:t>
      </w:r>
      <w:r w:rsidRPr="00B75AEE">
        <w:tab/>
        <w:t>удобрения на основе аммония нитрата с составом, соответствующим выходным блокам 20, 23 или 39 схемы принятия</w:t>
      </w:r>
      <w:r>
        <w:t xml:space="preserve"> решений, содержащейся в пункте </w:t>
      </w:r>
      <w:r w:rsidRPr="00B75AEE">
        <w:t>39.5.1 Руководства по испытаниям и критериям, часть III, раздел 39, кроме случаев, когда они были отнесены к подходя</w:t>
      </w:r>
      <w:r>
        <w:t>щему номеру ООН в рамках класса </w:t>
      </w:r>
      <w:r w:rsidRPr="00B75AEE">
        <w:t>1 или – при условии, что пригодность для перевозки была доказана и утверждена компетентным органом, – в рамк</w:t>
      </w:r>
      <w:r>
        <w:t>ах класса 5.1, за исключением № ООН </w:t>
      </w:r>
      <w:r w:rsidRPr="00B75AEE">
        <w:t>2067;".».</w:t>
      </w:r>
    </w:p>
    <w:p w:rsidR="002516B3" w:rsidRPr="00B75AEE" w:rsidRDefault="002516B3" w:rsidP="002516B3">
      <w:pPr>
        <w:pStyle w:val="SingleTxtGR"/>
        <w:rPr>
          <w:iCs/>
        </w:rPr>
      </w:pPr>
      <w:r w:rsidRPr="00B75AEE">
        <w:t>Поправка, содержащаяся в приложении, исключена.</w:t>
      </w:r>
    </w:p>
    <w:p w:rsidR="002516B3" w:rsidRPr="00B75AEE" w:rsidRDefault="002516B3" w:rsidP="002516B3">
      <w:pPr>
        <w:pStyle w:val="SingleTxtGR"/>
        <w:rPr>
          <w:i/>
          <w:iCs/>
        </w:rPr>
      </w:pPr>
      <w:r w:rsidRPr="00B75AEE">
        <w:rPr>
          <w:i/>
          <w:iCs/>
        </w:rPr>
        <w:t>(Справочный документ: ECE/TRANS/WP.15/AC.1/2017/35 с поправками, содержащимися в неофициальном документе INF.12)</w:t>
      </w:r>
    </w:p>
    <w:p w:rsidR="002516B3" w:rsidRPr="00B75AEE" w:rsidRDefault="002516B3" w:rsidP="002516B3">
      <w:pPr>
        <w:pStyle w:val="SingleTxtGR"/>
        <w:tabs>
          <w:tab w:val="clear" w:pos="2268"/>
          <w:tab w:val="left" w:pos="2552"/>
        </w:tabs>
        <w:rPr>
          <w:iCs/>
        </w:rPr>
      </w:pPr>
      <w:r w:rsidRPr="00B75AEE">
        <w:t>2.2.8.1.6.3.2</w:t>
      </w:r>
      <w:r w:rsidRPr="00B75AEE">
        <w:tab/>
        <w:t>Данное изменение не касается те</w:t>
      </w:r>
      <w:r>
        <w:t>к</w:t>
      </w:r>
      <w:r w:rsidRPr="00B75AEE">
        <w:t>ста на русском языке.</w:t>
      </w:r>
    </w:p>
    <w:p w:rsidR="002516B3" w:rsidRPr="00B75AEE" w:rsidRDefault="002516B3" w:rsidP="002516B3">
      <w:pPr>
        <w:pStyle w:val="SingleTxtGR"/>
        <w:tabs>
          <w:tab w:val="left" w:pos="7088"/>
        </w:tabs>
      </w:pPr>
      <w:r w:rsidRPr="00B75AEE">
        <w:t>Перед подразделом 2.2.8.2 заменить «[</w:t>
      </w:r>
      <w:r w:rsidRPr="00027B4C">
        <w:rPr>
          <w:i/>
        </w:rPr>
        <w:t>2.2.8.1.9 и примечание</w:t>
      </w:r>
      <w:r w:rsidRPr="00027B4C">
        <w:rPr>
          <w:i/>
        </w:rPr>
        <w:tab/>
        <w:t>Остаются без изменений.</w:t>
      </w:r>
      <w:r w:rsidRPr="00B75AEE">
        <w:t>]» на:</w:t>
      </w:r>
    </w:p>
    <w:p w:rsidR="002516B3" w:rsidRPr="00B75AEE" w:rsidRDefault="002516B3" w:rsidP="002516B3">
      <w:pPr>
        <w:pStyle w:val="SingleTxtGR"/>
      </w:pPr>
      <w:r w:rsidRPr="00B75AEE">
        <w:t>«2.2.8.1.9</w:t>
      </w:r>
      <w:r w:rsidRPr="00B75AEE">
        <w:tab/>
        <w:t>(</w:t>
      </w:r>
      <w:r w:rsidRPr="00B75AEE">
        <w:rPr>
          <w:i/>
          <w:iCs/>
        </w:rPr>
        <w:t>Исключен</w:t>
      </w:r>
      <w:r w:rsidRPr="00B75AEE">
        <w:t>)</w:t>
      </w:r>
    </w:p>
    <w:p w:rsidR="002516B3" w:rsidRPr="00B75AEE" w:rsidRDefault="002516B3" w:rsidP="002516B3">
      <w:pPr>
        <w:pStyle w:val="SingleTxtGR"/>
      </w:pPr>
      <w:r w:rsidRPr="00B75AEE">
        <w:rPr>
          <w:i/>
          <w:iCs/>
        </w:rPr>
        <w:t>Существующее примечание перед подразделом 2.2.8.2 остается без изменений.</w:t>
      </w:r>
      <w:r w:rsidRPr="00B75AEE">
        <w:t>».</w:t>
      </w:r>
    </w:p>
    <w:p w:rsidR="002516B3" w:rsidRPr="008C6C91" w:rsidRDefault="002516B3" w:rsidP="002516B3">
      <w:pPr>
        <w:pStyle w:val="SingleTxtGR"/>
      </w:pPr>
      <w:r w:rsidRPr="008C6C91">
        <w:t>2.2.8.2</w:t>
      </w:r>
      <w:r w:rsidRPr="008C6C91">
        <w:tab/>
        <w:t>Изменить следующим образом:</w:t>
      </w:r>
    </w:p>
    <w:p w:rsidR="002516B3" w:rsidRPr="00B75AEE" w:rsidRDefault="002516B3" w:rsidP="002516B3">
      <w:pPr>
        <w:pStyle w:val="SingleTxtGR"/>
        <w:rPr>
          <w:b/>
          <w:bCs/>
          <w:i/>
          <w:iCs/>
        </w:rPr>
      </w:pPr>
      <w:r w:rsidRPr="00B75AEE">
        <w:t>«</w:t>
      </w:r>
      <w:r w:rsidRPr="008C6C91">
        <w:rPr>
          <w:b/>
        </w:rPr>
        <w:t>2.2.8.2</w:t>
      </w:r>
      <w:r w:rsidRPr="008C6C91">
        <w:rPr>
          <w:b/>
        </w:rPr>
        <w:tab/>
      </w:r>
      <w:r w:rsidRPr="008C6C91">
        <w:rPr>
          <w:b/>
          <w:i/>
          <w:iCs/>
        </w:rPr>
        <w:t>Вещества, не допускаемые к перевозке</w:t>
      </w:r>
    </w:p>
    <w:p w:rsidR="002516B3" w:rsidRPr="00B75AEE" w:rsidRDefault="002516B3" w:rsidP="002516B3">
      <w:pPr>
        <w:pStyle w:val="SingleTxtGR"/>
        <w:rPr>
          <w:i/>
          <w:iCs/>
        </w:rPr>
      </w:pPr>
      <w:r w:rsidRPr="00B75AEE">
        <w:rPr>
          <w:i/>
          <w:iCs/>
        </w:rPr>
        <w:t>2.2.8.2.1</w:t>
      </w:r>
      <w:r w:rsidRPr="00B75AEE">
        <w:t xml:space="preserve"> </w:t>
      </w:r>
      <w:r w:rsidRPr="00B75AEE">
        <w:rPr>
          <w:i/>
          <w:iCs/>
        </w:rPr>
        <w:t>и 2.2.8.2.2</w:t>
      </w:r>
      <w:r w:rsidRPr="00B75AEE">
        <w:tab/>
      </w:r>
      <w:r w:rsidRPr="00B75AEE">
        <w:rPr>
          <w:i/>
          <w:iCs/>
        </w:rPr>
        <w:t>Остаются без изменений.</w:t>
      </w:r>
    </w:p>
    <w:p w:rsidR="002516B3" w:rsidRPr="00B75AEE" w:rsidRDefault="002516B3" w:rsidP="002516B3">
      <w:pPr>
        <w:pStyle w:val="SingleTxtGR"/>
      </w:pPr>
      <w:r w:rsidRPr="00B75AEE">
        <w:rPr>
          <w:i/>
          <w:iCs/>
        </w:rPr>
        <w:t>2.2.8.3</w:t>
      </w:r>
      <w:r w:rsidRPr="00B75AEE">
        <w:tab/>
      </w:r>
      <w:r w:rsidRPr="00B75AEE">
        <w:rPr>
          <w:i/>
          <w:iCs/>
        </w:rPr>
        <w:t>Существующий текст со следующей поправкой: В Перечне сводных позиций в графу</w:t>
      </w:r>
      <w:r>
        <w:rPr>
          <w:i/>
          <w:iCs/>
        </w:rPr>
        <w:t xml:space="preserve"> </w:t>
      </w:r>
      <w:r>
        <w:rPr>
          <w:iCs/>
        </w:rPr>
        <w:t>"</w:t>
      </w:r>
      <w:r>
        <w:rPr>
          <w:i/>
          <w:iCs/>
        </w:rPr>
        <w:t>Из</w:t>
      </w:r>
      <w:r w:rsidRPr="00B75AEE">
        <w:rPr>
          <w:i/>
          <w:iCs/>
        </w:rPr>
        <w:t>делия C1</w:t>
      </w:r>
      <w:r>
        <w:rPr>
          <w:i/>
          <w:iCs/>
        </w:rPr>
        <w:t>1</w:t>
      </w:r>
      <w:r>
        <w:rPr>
          <w:iCs/>
        </w:rPr>
        <w:t xml:space="preserve">" </w:t>
      </w:r>
      <w:r w:rsidRPr="00B75AEE">
        <w:rPr>
          <w:i/>
          <w:iCs/>
        </w:rPr>
        <w:t>добавит</w:t>
      </w:r>
      <w:r>
        <w:rPr>
          <w:i/>
          <w:iCs/>
        </w:rPr>
        <w:t xml:space="preserve">ь </w:t>
      </w:r>
      <w:r>
        <w:rPr>
          <w:iCs/>
        </w:rPr>
        <w:t>"</w:t>
      </w:r>
      <w:r w:rsidRPr="00B75AEE">
        <w:rPr>
          <w:i/>
          <w:iCs/>
        </w:rPr>
        <w:t>3547 ИЗДЕЛИЯ, СОДЕРЖАЩИЕ КОРРОЗИОННОЕ ВЕЩЕСТВО, Н.У.К</w:t>
      </w:r>
      <w:r>
        <w:rPr>
          <w:i/>
          <w:iCs/>
        </w:rPr>
        <w:t>.</w:t>
      </w:r>
      <w:r>
        <w:rPr>
          <w:iCs/>
        </w:rPr>
        <w:t>"</w:t>
      </w:r>
      <w:r w:rsidRPr="009E1634">
        <w:rPr>
          <w:iCs/>
        </w:rPr>
        <w:t>.»</w:t>
      </w:r>
      <w:r w:rsidRPr="00B75AEE">
        <w:rPr>
          <w:i/>
          <w:iCs/>
        </w:rPr>
        <w:t>.</w:t>
      </w:r>
    </w:p>
    <w:p w:rsidR="002516B3" w:rsidRPr="00B75AEE" w:rsidRDefault="002516B3" w:rsidP="002516B3">
      <w:pPr>
        <w:pStyle w:val="H23GR"/>
      </w:pPr>
      <w:r w:rsidRPr="00B75AEE">
        <w:tab/>
      </w:r>
      <w:r w:rsidRPr="00B75AEE">
        <w:tab/>
        <w:t>Глава 3.2</w:t>
      </w:r>
    </w:p>
    <w:p w:rsidR="002516B3" w:rsidRPr="00B75AEE" w:rsidRDefault="002516B3" w:rsidP="002516B3">
      <w:pPr>
        <w:pStyle w:val="SingleTxtGR"/>
        <w:tabs>
          <w:tab w:val="clear" w:pos="1701"/>
          <w:tab w:val="left" w:pos="1843"/>
        </w:tabs>
      </w:pPr>
      <w:r w:rsidRPr="00B75AEE">
        <w:t>3.2.1</w:t>
      </w:r>
      <w:r w:rsidRPr="00B75AEE">
        <w:tab/>
        <w:t>Данное изменение не касается те</w:t>
      </w:r>
      <w:r>
        <w:t>к</w:t>
      </w:r>
      <w:r w:rsidRPr="00B75AEE">
        <w:t>ста на русском языке.</w:t>
      </w:r>
    </w:p>
    <w:p w:rsidR="002516B3" w:rsidRPr="00B75AEE" w:rsidRDefault="002516B3" w:rsidP="002516B3">
      <w:pPr>
        <w:pStyle w:val="SingleTxtGR"/>
        <w:tabs>
          <w:tab w:val="clear" w:pos="1701"/>
          <w:tab w:val="left" w:pos="1843"/>
        </w:tabs>
      </w:pPr>
      <w:r>
        <w:t>3.2.2</w:t>
      </w:r>
      <w:r>
        <w:tab/>
      </w:r>
      <w:r w:rsidRPr="00B75AEE">
        <w:t>В таблице заменить «2.1», «2.2» и «2.3» на «2».</w:t>
      </w:r>
    </w:p>
    <w:p w:rsidR="002516B3" w:rsidRPr="00B75AEE" w:rsidRDefault="002516B3" w:rsidP="002516B3">
      <w:pPr>
        <w:pStyle w:val="H23GR"/>
      </w:pPr>
      <w:r w:rsidRPr="00B75AEE">
        <w:tab/>
      </w:r>
      <w:r w:rsidRPr="00B75AEE">
        <w:tab/>
        <w:t>Глава 3.3</w:t>
      </w:r>
    </w:p>
    <w:p w:rsidR="002516B3" w:rsidRPr="00B75AEE" w:rsidRDefault="002516B3" w:rsidP="002516B3">
      <w:pPr>
        <w:pStyle w:val="SingleTxtGR"/>
      </w:pPr>
      <w:r w:rsidRPr="00B75AEE">
        <w:t>Поправку к специальному положению 188 c) читать следующим образом:</w:t>
      </w:r>
    </w:p>
    <w:p w:rsidR="002516B3" w:rsidRPr="00B75AEE" w:rsidRDefault="002516B3" w:rsidP="002516B3">
      <w:pPr>
        <w:pStyle w:val="SingleTxtGR"/>
      </w:pPr>
      <w:r w:rsidRPr="00B75AEE">
        <w:t>«Специальное положение 188 c)</w:t>
      </w:r>
      <w:r w:rsidRPr="00B75AEE">
        <w:tab/>
        <w:t>Заме</w:t>
      </w:r>
      <w:r>
        <w:t>нить "подпунктов а) и е) пункта </w:t>
      </w:r>
      <w:r w:rsidRPr="00B75AEE">
        <w:t>2.2.9.1.7" на "подпунктов 2.2.9.1.7 a), e), f), если применимо, и g)".».</w:t>
      </w:r>
    </w:p>
    <w:p w:rsidR="002516B3" w:rsidRPr="00B75AEE" w:rsidRDefault="002516B3" w:rsidP="002516B3">
      <w:pPr>
        <w:pStyle w:val="SingleTxtGR"/>
      </w:pPr>
      <w:r w:rsidRPr="00B75AEE">
        <w:t>Специальное положение 301</w:t>
      </w:r>
      <w:r w:rsidRPr="00B75AEE">
        <w:tab/>
        <w:t>Первое изменение не касается текста на русском языке.</w:t>
      </w:r>
    </w:p>
    <w:p w:rsidR="002516B3" w:rsidRPr="00B75AEE" w:rsidRDefault="002516B3" w:rsidP="002516B3">
      <w:pPr>
        <w:pStyle w:val="SingleTxtGR"/>
        <w:rPr>
          <w:iCs/>
        </w:rPr>
      </w:pPr>
      <w:r w:rsidRPr="00B75AEE">
        <w:t>Специальное положение 301</w:t>
      </w:r>
      <w:r w:rsidRPr="00B75AEE">
        <w:tab/>
        <w:t>Исключить последнее предложение.</w:t>
      </w:r>
    </w:p>
    <w:p w:rsidR="002516B3" w:rsidRPr="00B75AEE" w:rsidRDefault="002516B3" w:rsidP="002516B3">
      <w:pPr>
        <w:pStyle w:val="SingleTxtGR"/>
      </w:pPr>
      <w:r w:rsidRPr="00B75AEE">
        <w:lastRenderedPageBreak/>
        <w:t>[Специальное положение 301</w:t>
      </w:r>
      <w:r w:rsidRPr="00B75AEE">
        <w:tab/>
        <w:t>В конце этого специального положения включить новое примечание следующего содержания:</w:t>
      </w:r>
    </w:p>
    <w:p w:rsidR="002516B3" w:rsidRPr="00B75AEE" w:rsidRDefault="002516B3" w:rsidP="002516B3">
      <w:pPr>
        <w:pStyle w:val="SingleTxtGR"/>
      </w:pPr>
      <w:r w:rsidRPr="00B75AEE">
        <w:t>«</w:t>
      </w:r>
      <w:r w:rsidRPr="00B75AEE">
        <w:rPr>
          <w:i/>
          <w:iCs/>
        </w:rPr>
        <w:t>Примечание: В настоящем специальном положении слова</w:t>
      </w:r>
      <w:r>
        <w:rPr>
          <w:i/>
          <w:iCs/>
        </w:rPr>
        <w:t xml:space="preserve"> </w:t>
      </w:r>
      <w:r w:rsidRPr="00B75AEE">
        <w:t>"</w:t>
      </w:r>
      <w:r>
        <w:rPr>
          <w:i/>
          <w:iCs/>
        </w:rPr>
        <w:t>для</w:t>
      </w:r>
      <w:r w:rsidRPr="00B75AEE">
        <w:rPr>
          <w:i/>
          <w:iCs/>
        </w:rPr>
        <w:t xml:space="preserve"> которых надлежащее отгрузочное наименование уже имеет</w:t>
      </w:r>
      <w:r>
        <w:rPr>
          <w:i/>
          <w:iCs/>
        </w:rPr>
        <w:t>ся</w:t>
      </w:r>
      <w:r w:rsidRPr="00B75AEE">
        <w:t>"</w:t>
      </w:r>
      <w:r>
        <w:t xml:space="preserve"> </w:t>
      </w:r>
      <w:r>
        <w:rPr>
          <w:i/>
        </w:rPr>
        <w:t xml:space="preserve">не </w:t>
      </w:r>
      <w:r w:rsidRPr="00B75AEE">
        <w:rPr>
          <w:i/>
          <w:iCs/>
        </w:rPr>
        <w:t>включают конкретные позиции</w:t>
      </w:r>
      <w:r>
        <w:rPr>
          <w:i/>
          <w:iCs/>
        </w:rPr>
        <w:t xml:space="preserve"> </w:t>
      </w:r>
      <w:r w:rsidRPr="00B75AEE">
        <w:t>"</w:t>
      </w:r>
      <w:r>
        <w:rPr>
          <w:i/>
          <w:iCs/>
        </w:rPr>
        <w:t>н.у.к.</w:t>
      </w:r>
      <w:r w:rsidRPr="00B75AEE">
        <w:t>"</w:t>
      </w:r>
      <w:r>
        <w:t xml:space="preserve"> </w:t>
      </w:r>
      <w:r>
        <w:rPr>
          <w:i/>
          <w:iCs/>
        </w:rPr>
        <w:t>для</w:t>
      </w:r>
      <w:r w:rsidRPr="00B75AEE">
        <w:rPr>
          <w:i/>
          <w:iCs/>
        </w:rPr>
        <w:t xml:space="preserve"> № ООН 3537–3548.</w:t>
      </w:r>
      <w:r w:rsidRPr="003D69BE">
        <w:rPr>
          <w:iCs/>
        </w:rPr>
        <w:t>»</w:t>
      </w:r>
      <w:r w:rsidRPr="003D69BE">
        <w:t>.]</w:t>
      </w:r>
    </w:p>
    <w:p w:rsidR="002516B3" w:rsidRPr="00B75AEE" w:rsidRDefault="002516B3" w:rsidP="002516B3">
      <w:pPr>
        <w:pStyle w:val="SingleTxtGR"/>
        <w:rPr>
          <w:i/>
        </w:rPr>
      </w:pPr>
      <w:r w:rsidRPr="00B75AEE">
        <w:rPr>
          <w:i/>
          <w:iCs/>
        </w:rPr>
        <w:t>(Справочный документ: неофициальный документ INF.47)</w:t>
      </w:r>
    </w:p>
    <w:p w:rsidR="002516B3" w:rsidRPr="00B75AEE" w:rsidRDefault="002516B3" w:rsidP="002516B3">
      <w:pPr>
        <w:pStyle w:val="SingleTxtGR"/>
      </w:pPr>
      <w:r w:rsidRPr="00B75AEE">
        <w:t>Специальное положение 307</w:t>
      </w:r>
      <w:r w:rsidRPr="00B75AEE">
        <w:tab/>
        <w:t>В конце второго предложения после «раздел 39» добавить «с учетом ограничений, предусмотренных в пункте 2.2.51.2.2, тринадцатый подпункт.</w:t>
      </w:r>
      <w:r w:rsidRPr="003D69BE">
        <w:t>».</w:t>
      </w:r>
    </w:p>
    <w:p w:rsidR="002516B3" w:rsidRPr="00B75AEE" w:rsidRDefault="002516B3" w:rsidP="002516B3">
      <w:pPr>
        <w:pStyle w:val="SingleTxtGR"/>
        <w:rPr>
          <w:i/>
        </w:rPr>
      </w:pPr>
      <w:r w:rsidRPr="00B75AEE">
        <w:rPr>
          <w:i/>
          <w:iCs/>
        </w:rPr>
        <w:t>(Сопутствующая поправка)</w:t>
      </w:r>
    </w:p>
    <w:p w:rsidR="002516B3" w:rsidRPr="00B75AEE" w:rsidRDefault="002516B3" w:rsidP="002516B3">
      <w:pPr>
        <w:pStyle w:val="SingleTxtGR"/>
      </w:pPr>
      <w:r w:rsidRPr="00B75AEE">
        <w:t>Специальное положение 376</w:t>
      </w:r>
      <w:r w:rsidRPr="00B75AEE">
        <w:tab/>
        <w:t>В конце второго абзаца, заканчивающегося словами «…Техническим инструкциям ИКАО.», добавить предложение следующего содержания: «В обоих случаях элементы и батареи относятся к транспортной категории 0.». Вторая поправка не касается текста на русском языке.</w:t>
      </w:r>
    </w:p>
    <w:p w:rsidR="002516B3" w:rsidRPr="00B75AEE" w:rsidRDefault="002516B3" w:rsidP="002516B3">
      <w:pPr>
        <w:pStyle w:val="SingleTxtGR"/>
        <w:rPr>
          <w:iCs/>
        </w:rPr>
      </w:pPr>
      <w:r w:rsidRPr="00B75AEE">
        <w:rPr>
          <w:i/>
          <w:iCs/>
        </w:rPr>
        <w:t>(Справочный документ: неофициальный документ INF.16)</w:t>
      </w:r>
    </w:p>
    <w:p w:rsidR="002516B3" w:rsidRPr="00B75AEE" w:rsidRDefault="002516B3" w:rsidP="002516B3">
      <w:pPr>
        <w:pStyle w:val="SingleTxtGR"/>
        <w:rPr>
          <w:iCs/>
        </w:rPr>
      </w:pPr>
      <w:r w:rsidRPr="00B75AEE">
        <w:t>Специальное положение 387</w:t>
      </w:r>
      <w:r w:rsidRPr="00B75AEE">
        <w:tab/>
        <w:t>Данное изменение не касается те</w:t>
      </w:r>
      <w:r>
        <w:t>к</w:t>
      </w:r>
      <w:r w:rsidRPr="00B75AEE">
        <w:t>ста на русском языке.</w:t>
      </w:r>
    </w:p>
    <w:p w:rsidR="002516B3" w:rsidRPr="00B75AEE" w:rsidRDefault="002516B3" w:rsidP="002516B3">
      <w:pPr>
        <w:pStyle w:val="SingleTxtGR"/>
        <w:rPr>
          <w:iCs/>
        </w:rPr>
      </w:pPr>
      <w:r w:rsidRPr="00B75AEE">
        <w:t>Специальное положение 388</w:t>
      </w:r>
      <w:r w:rsidRPr="00B75AEE">
        <w:tab/>
        <w:t>Данное изменение не касается те</w:t>
      </w:r>
      <w:r>
        <w:t>к</w:t>
      </w:r>
      <w:r w:rsidRPr="00B75AEE">
        <w:t>ста на русском языке.</w:t>
      </w:r>
    </w:p>
    <w:p w:rsidR="002516B3" w:rsidRPr="00B75AEE" w:rsidRDefault="002516B3" w:rsidP="002516B3">
      <w:pPr>
        <w:pStyle w:val="SingleTxtGR"/>
      </w:pPr>
      <w:r w:rsidRPr="00B75AEE">
        <w:t>Специальное положение 389</w:t>
      </w:r>
      <w:r w:rsidRPr="00B75AEE">
        <w:tab/>
        <w:t>Изменить первый абзац следующим образом:</w:t>
      </w:r>
    </w:p>
    <w:p w:rsidR="002516B3" w:rsidRPr="00B75AEE" w:rsidRDefault="002516B3" w:rsidP="002516B3">
      <w:pPr>
        <w:pStyle w:val="SingleTxtGR"/>
      </w:pPr>
      <w:r w:rsidRPr="00B75AEE">
        <w:t>«Данная позиция применяется только в отношении грузовых транспортных единиц, в которых установлены литий-ионные батареи или литий-металлические батареи и которые предназначены только для обеспечения электроэнергией внешних потребителей. Литиевые батареи должны отвечать положениям пункта 2.2.9.1.7 a)–g) и должны быть снабжены необходимыми системами для предотвращения избыточного заряда и разряда между батареями.».</w:t>
      </w:r>
    </w:p>
    <w:p w:rsidR="002516B3" w:rsidRPr="00B75AEE" w:rsidRDefault="002516B3" w:rsidP="002516B3">
      <w:pPr>
        <w:pStyle w:val="SingleTxtGR"/>
        <w:rPr>
          <w:i/>
          <w:iCs/>
        </w:rPr>
      </w:pPr>
      <w:r w:rsidRPr="00B75AEE">
        <w:rPr>
          <w:i/>
          <w:iCs/>
        </w:rPr>
        <w:t>(Справочный документ: неофициальный документ INF.48)</w:t>
      </w:r>
    </w:p>
    <w:p w:rsidR="002516B3" w:rsidRPr="00B75AEE" w:rsidRDefault="002516B3" w:rsidP="002516B3">
      <w:pPr>
        <w:pStyle w:val="SingleTxtGR"/>
      </w:pPr>
      <w:r w:rsidRPr="00B75AEE">
        <w:t>Специальное положение 389</w:t>
      </w:r>
      <w:r w:rsidRPr="00B75AEE">
        <w:tab/>
        <w:t>Изменение во втором абзаце не касается текста на русском языке.</w:t>
      </w:r>
    </w:p>
    <w:p w:rsidR="002516B3" w:rsidRPr="00B75AEE" w:rsidRDefault="002516B3" w:rsidP="002516B3">
      <w:pPr>
        <w:pStyle w:val="SingleTxtGR"/>
      </w:pPr>
      <w:r w:rsidRPr="00B75AEE">
        <w:t xml:space="preserve">Специальное положение 392 </w:t>
      </w:r>
      <w:r w:rsidRPr="00B75AEE">
        <w:tab/>
        <w:t>Изменение в первом предложении не касается текста на русском языке.</w:t>
      </w:r>
    </w:p>
    <w:p w:rsidR="002516B3" w:rsidRPr="00B75AEE" w:rsidRDefault="002516B3" w:rsidP="002516B3">
      <w:pPr>
        <w:pStyle w:val="SingleTxtGR"/>
        <w:tabs>
          <w:tab w:val="clear" w:pos="3969"/>
          <w:tab w:val="left" w:pos="4111"/>
        </w:tabs>
      </w:pPr>
      <w:r w:rsidRPr="00B75AEE">
        <w:t>Специальное положение 392 f)</w:t>
      </w:r>
      <w:r w:rsidRPr="00B75AEE">
        <w:tab/>
        <w:t xml:space="preserve">Исключить «f) </w:t>
      </w:r>
      <w:r w:rsidRPr="00B75AEE">
        <w:rPr>
          <w:i/>
          <w:iCs/>
        </w:rPr>
        <w:t>(Зарезервирован)</w:t>
      </w:r>
      <w:r w:rsidRPr="00B75AEE">
        <w:t>».</w:t>
      </w:r>
    </w:p>
    <w:p w:rsidR="002516B3" w:rsidRPr="00B75AEE" w:rsidRDefault="002516B3" w:rsidP="002516B3">
      <w:pPr>
        <w:pStyle w:val="SingleTxtGR"/>
      </w:pPr>
      <w:r w:rsidRPr="00B75AEE">
        <w:t>Специальное положение 392, таблица, позиция для стандарта ISO 11439:2013: данное изменение не касается текста на русском языке.</w:t>
      </w:r>
    </w:p>
    <w:p w:rsidR="002516B3" w:rsidRPr="00B75AEE" w:rsidRDefault="002516B3" w:rsidP="002516B3">
      <w:pPr>
        <w:pStyle w:val="SingleTxtGR"/>
      </w:pPr>
      <w:r w:rsidRPr="00B75AEE">
        <w:t>Специальное положение 392,</w:t>
      </w:r>
      <w:r>
        <w:t xml:space="preserve"> таблица, позиция для стандарта ISO/TS </w:t>
      </w:r>
      <w:r w:rsidRPr="00B75AEE">
        <w:t>15869:</w:t>
      </w:r>
      <w:r>
        <w:t xml:space="preserve"> </w:t>
      </w:r>
      <w:r w:rsidRPr="00B75AEE">
        <w:t>2009: данное изменение не касается текста на русском языке.</w:t>
      </w:r>
    </w:p>
    <w:p w:rsidR="002516B3" w:rsidRPr="00B75AEE" w:rsidRDefault="002516B3" w:rsidP="002516B3">
      <w:pPr>
        <w:pStyle w:val="SingleTxtGR"/>
      </w:pPr>
      <w:r w:rsidRPr="00B75AEE">
        <w:t>Специальное положение 660</w:t>
      </w:r>
      <w:r w:rsidRPr="00B75AEE">
        <w:tab/>
        <w:t>Исключить данную поправку.</w:t>
      </w:r>
    </w:p>
    <w:p w:rsidR="002516B3" w:rsidRPr="00B75AEE" w:rsidRDefault="002516B3" w:rsidP="002516B3">
      <w:pPr>
        <w:pStyle w:val="SingleTxtGR"/>
      </w:pPr>
      <w:r w:rsidRPr="00B75AEE">
        <w:t>Специальное положение 666</w:t>
      </w:r>
      <w:r w:rsidRPr="00B75AEE">
        <w:tab/>
        <w:t>Исключить данную поправку.</w:t>
      </w:r>
    </w:p>
    <w:p w:rsidR="002516B3" w:rsidRPr="00B75AEE" w:rsidRDefault="002516B3" w:rsidP="002516B3">
      <w:pPr>
        <w:pStyle w:val="SingleTxtGR"/>
      </w:pPr>
      <w:r w:rsidRPr="00B75AEE">
        <w:t>Специальное положение 671</w:t>
      </w:r>
      <w:r w:rsidRPr="00B75AEE">
        <w:tab/>
        <w:t>Изменить следующим образом:</w:t>
      </w:r>
    </w:p>
    <w:p w:rsidR="002516B3" w:rsidRPr="00B75AEE" w:rsidRDefault="002516B3" w:rsidP="002516B3">
      <w:pPr>
        <w:pStyle w:val="SingleTxtGR"/>
      </w:pPr>
      <w:r w:rsidRPr="00B75AEE">
        <w:t>«671</w:t>
      </w:r>
      <w:r w:rsidRPr="00B75AEE">
        <w:tab/>
        <w:t>Для целей общего максимально допустимого количества на вагон или большой контейнер/изъятия, связанного с количеством, перевозимым в одной транспортной единице (см. подраздел 1.1.3.6), транспортная категория определяется в зависимости от группы упаковки (см. третий абзац специального положения 251):</w:t>
      </w:r>
    </w:p>
    <w:p w:rsidR="002516B3" w:rsidRPr="00B75AEE" w:rsidRDefault="002516B3" w:rsidP="002516B3">
      <w:pPr>
        <w:pStyle w:val="SingleTxtGR"/>
      </w:pPr>
      <w:r>
        <w:t>–</w:t>
      </w:r>
      <w:r w:rsidRPr="00B75AEE">
        <w:t xml:space="preserve"> </w:t>
      </w:r>
      <w:r w:rsidRPr="00B75AEE">
        <w:tab/>
        <w:t>транспортная категория 3 для комплекто</w:t>
      </w:r>
      <w:r>
        <w:t>в, отнесенных к группе упаковки </w:t>
      </w:r>
      <w:r w:rsidRPr="00B75AEE">
        <w:t>III;</w:t>
      </w:r>
    </w:p>
    <w:p w:rsidR="002516B3" w:rsidRPr="00B75AEE" w:rsidRDefault="002516B3" w:rsidP="002516B3">
      <w:pPr>
        <w:pStyle w:val="SingleTxtGR"/>
      </w:pPr>
      <w:r>
        <w:t>–</w:t>
      </w:r>
      <w:r w:rsidRPr="00B75AEE">
        <w:tab/>
        <w:t>транспортная категория 2 для комплекто</w:t>
      </w:r>
      <w:r>
        <w:t>в, отнесенных к группе упаковки </w:t>
      </w:r>
      <w:r w:rsidRPr="00B75AEE">
        <w:t>II;</w:t>
      </w:r>
    </w:p>
    <w:p w:rsidR="002516B3" w:rsidRPr="00B75AEE" w:rsidRDefault="002516B3" w:rsidP="002516B3">
      <w:pPr>
        <w:pStyle w:val="SingleTxtGR"/>
      </w:pPr>
      <w:r>
        <w:lastRenderedPageBreak/>
        <w:t>–</w:t>
      </w:r>
      <w:r w:rsidRPr="00B75AEE">
        <w:tab/>
        <w:t>транспортная категория 1 для комплекто</w:t>
      </w:r>
      <w:r>
        <w:t>в, отнесенных к группе упаковки </w:t>
      </w:r>
      <w:r w:rsidRPr="00B75AEE">
        <w:t>I.».</w:t>
      </w:r>
    </w:p>
    <w:p w:rsidR="002516B3" w:rsidRPr="00B75AEE" w:rsidRDefault="002516B3" w:rsidP="002516B3">
      <w:pPr>
        <w:pStyle w:val="SingleTxtGR"/>
        <w:rPr>
          <w:i/>
          <w:iCs/>
        </w:rPr>
      </w:pPr>
      <w:r w:rsidRPr="00B75AEE">
        <w:rPr>
          <w:i/>
          <w:iCs/>
        </w:rPr>
        <w:t>(Справочный документ: неофициальный документ INF.50)</w:t>
      </w:r>
    </w:p>
    <w:p w:rsidR="002516B3" w:rsidRPr="00B75AEE" w:rsidRDefault="002516B3" w:rsidP="002516B3">
      <w:pPr>
        <w:pStyle w:val="H23GR"/>
      </w:pPr>
      <w:r w:rsidRPr="00B75AEE">
        <w:tab/>
      </w:r>
      <w:r w:rsidRPr="00B75AEE">
        <w:tab/>
        <w:t>Глава 4.1</w:t>
      </w:r>
    </w:p>
    <w:p w:rsidR="002516B3" w:rsidRPr="00B75AEE" w:rsidRDefault="002516B3" w:rsidP="002516B3">
      <w:pPr>
        <w:pStyle w:val="SingleTxtGR"/>
      </w:pPr>
      <w:r w:rsidRPr="00B75AEE">
        <w:t>4.1.4.1, P520</w:t>
      </w:r>
      <w:r w:rsidRPr="00B75AEE">
        <w:tab/>
        <w:t>Данное изменение не касается те</w:t>
      </w:r>
      <w:r>
        <w:t>к</w:t>
      </w:r>
      <w:r w:rsidRPr="00B75AEE">
        <w:t>ста на русском языке.</w:t>
      </w:r>
    </w:p>
    <w:p w:rsidR="002516B3" w:rsidRPr="00B75AEE" w:rsidRDefault="002516B3" w:rsidP="002516B3">
      <w:pPr>
        <w:pStyle w:val="SingleTxtGR"/>
      </w:pPr>
      <w:r w:rsidRPr="00B75AEE">
        <w:t>4.1.4.1, P907</w:t>
      </w:r>
      <w:r w:rsidRPr="00B75AEE">
        <w:tab/>
        <w:t>Данное изменение не касается те</w:t>
      </w:r>
      <w:r>
        <w:t>к</w:t>
      </w:r>
      <w:r w:rsidRPr="00B75AEE">
        <w:t>ста на русском языке.</w:t>
      </w:r>
    </w:p>
    <w:p w:rsidR="002516B3" w:rsidRPr="00B75AEE" w:rsidRDefault="002516B3" w:rsidP="002516B3">
      <w:pPr>
        <w:pStyle w:val="SingleTxtGR"/>
      </w:pPr>
      <w:r w:rsidRPr="00B75AEE">
        <w:t>4.1.4.3, LP03</w:t>
      </w:r>
      <w:r w:rsidRPr="00B75AEE">
        <w:tab/>
        <w:t>Данное изменение не касается те</w:t>
      </w:r>
      <w:r>
        <w:t>к</w:t>
      </w:r>
      <w:r w:rsidRPr="00B75AEE">
        <w:t>ста на русском языке.</w:t>
      </w:r>
    </w:p>
    <w:p w:rsidR="002516B3" w:rsidRPr="00B75AEE" w:rsidRDefault="002516B3" w:rsidP="002516B3">
      <w:pPr>
        <w:pStyle w:val="SingleTxtGR"/>
      </w:pPr>
      <w:r w:rsidRPr="00B75AEE">
        <w:t>4.1.4.3, LP905</w:t>
      </w:r>
      <w:r w:rsidRPr="00B75AEE">
        <w:tab/>
        <w:t>Данное изменение не касается те</w:t>
      </w:r>
      <w:r>
        <w:t>к</w:t>
      </w:r>
      <w:r w:rsidRPr="00B75AEE">
        <w:t>ста на русском языке.</w:t>
      </w:r>
    </w:p>
    <w:p w:rsidR="002516B3" w:rsidRPr="00B75AEE" w:rsidRDefault="002516B3" w:rsidP="002516B3">
      <w:pPr>
        <w:pStyle w:val="SingleTxtGR"/>
      </w:pPr>
      <w:r w:rsidRPr="00B75AEE">
        <w:t>4.1.4.3, LP906</w:t>
      </w:r>
      <w:r w:rsidRPr="00B75AEE">
        <w:tab/>
        <w:t>Данное изменение не касается те</w:t>
      </w:r>
      <w:r>
        <w:t>к</w:t>
      </w:r>
      <w:r w:rsidRPr="00B75AEE">
        <w:t>ста на русском языке.</w:t>
      </w:r>
    </w:p>
    <w:p w:rsidR="002516B3" w:rsidRPr="00B75AEE" w:rsidRDefault="002516B3" w:rsidP="002516B3">
      <w:pPr>
        <w:pStyle w:val="H23GR"/>
      </w:pPr>
      <w:r w:rsidRPr="00B75AEE">
        <w:tab/>
      </w:r>
      <w:r w:rsidRPr="00B75AEE">
        <w:tab/>
      </w:r>
      <w:r w:rsidRPr="00B75AEE">
        <w:rPr>
          <w:bCs/>
        </w:rPr>
        <w:t>Глава 5.2</w:t>
      </w:r>
    </w:p>
    <w:p w:rsidR="002516B3" w:rsidRPr="00B75AEE" w:rsidRDefault="002516B3" w:rsidP="002516B3">
      <w:pPr>
        <w:pStyle w:val="SingleTxtGR"/>
        <w:tabs>
          <w:tab w:val="clear" w:pos="3402"/>
          <w:tab w:val="left" w:pos="3119"/>
        </w:tabs>
        <w:rPr>
          <w:bCs/>
        </w:rPr>
      </w:pPr>
      <w:r w:rsidRPr="00B75AEE">
        <w:t>5.2.1, примечание 2</w:t>
      </w:r>
      <w:r w:rsidRPr="00B75AEE">
        <w:tab/>
        <w:t>Данное изменение не касается те</w:t>
      </w:r>
      <w:r>
        <w:t>к</w:t>
      </w:r>
      <w:r w:rsidRPr="00B75AEE">
        <w:t>ста на русском языке.</w:t>
      </w:r>
    </w:p>
    <w:p w:rsidR="002516B3" w:rsidRPr="00B75AEE" w:rsidRDefault="002516B3" w:rsidP="002516B3">
      <w:pPr>
        <w:pStyle w:val="SingleTxtGR"/>
        <w:tabs>
          <w:tab w:val="clear" w:pos="2835"/>
          <w:tab w:val="clear" w:pos="3402"/>
          <w:tab w:val="left" w:pos="2552"/>
          <w:tab w:val="left" w:pos="3119"/>
        </w:tabs>
      </w:pPr>
      <w:r w:rsidRPr="00B75AEE">
        <w:t>5.2.2.1.12.1</w:t>
      </w:r>
      <w:r w:rsidRPr="00B75AEE">
        <w:tab/>
      </w:r>
      <w:r w:rsidRPr="00B75AEE">
        <w:tab/>
      </w:r>
      <w:r>
        <w:tab/>
      </w:r>
      <w:r w:rsidRPr="00B75AEE">
        <w:t>Изменить следующим образом:</w:t>
      </w:r>
    </w:p>
    <w:p w:rsidR="002516B3" w:rsidRPr="00B75AEE" w:rsidRDefault="002516B3" w:rsidP="002516B3">
      <w:pPr>
        <w:pStyle w:val="SingleTxtGR"/>
        <w:tabs>
          <w:tab w:val="clear" w:pos="2835"/>
          <w:tab w:val="clear" w:pos="3402"/>
          <w:tab w:val="left" w:pos="2552"/>
          <w:tab w:val="left" w:pos="3119"/>
        </w:tabs>
      </w:pPr>
      <w:r w:rsidRPr="00B75AEE">
        <w:t>«5.2.2.1.12.1</w:t>
      </w:r>
      <w:r w:rsidRPr="00B75AEE">
        <w:tab/>
      </w:r>
      <w:r w:rsidRPr="00B75AEE">
        <w:tab/>
      </w:r>
      <w:r>
        <w:tab/>
      </w:r>
      <w:r w:rsidRPr="00B75AEE">
        <w:t>На упаковки, содержащие изделия, или изделия, перевозимые в неупакованном виде, должны наноситься знаки опасности в соответствии с подразделом 5.2.2.1, отражающие виды опасности, определенные согласно разделу 2.1.5, за тем исключением, что для изделий, содержащих, кроме того, литиевые батареи, нанесение маркировочного знака литиевых батарей или знака опасности образца № 9А не требуется.».</w:t>
      </w:r>
    </w:p>
    <w:p w:rsidR="002516B3" w:rsidRPr="00B75AEE" w:rsidRDefault="002516B3" w:rsidP="002516B3">
      <w:pPr>
        <w:pStyle w:val="SingleTxtGR"/>
        <w:rPr>
          <w:i/>
          <w:iCs/>
        </w:rPr>
      </w:pPr>
      <w:r w:rsidRPr="00B75AEE">
        <w:rPr>
          <w:i/>
          <w:iCs/>
        </w:rPr>
        <w:t>(Справочный документ: ECE/TRANS/WP.15/AC.1/2017/39 с поправками)</w:t>
      </w:r>
    </w:p>
    <w:p w:rsidR="002516B3" w:rsidRPr="00B75AEE" w:rsidRDefault="002516B3" w:rsidP="002516B3">
      <w:pPr>
        <w:pStyle w:val="SingleTxtGR"/>
      </w:pPr>
      <w:r w:rsidRPr="00B75AEE">
        <w:t>5.2.2.2.2</w:t>
      </w:r>
      <w:r w:rsidRPr="00B75AEE">
        <w:tab/>
        <w:t>В таблице, в подзаголовках, читать «Опасность класса 1», «Опасность класса 2», «Опасность класса 3», «Опасность класса 4.1», «Опасность класса 4.2», «Опасность класса 4.3», «Опасность класса 5.1», «Опасность класса 5.2», «Опасность класса 6.1», «Опасность класса 6.2», «Опасность класса 7», «Опасность класса 8» и «Опасность класса 9». Для класса 7 во второй колонке заменить «Категория I», «Категория II» и «Категория III» на «Категория I</w:t>
      </w:r>
      <w:r>
        <w:t> </w:t>
      </w:r>
      <w:r w:rsidRPr="00B75AEE">
        <w:t>–</w:t>
      </w:r>
      <w:r>
        <w:t xml:space="preserve"> </w:t>
      </w:r>
      <w:r w:rsidRPr="00B75AEE">
        <w:t>БЕЛАЯ», «Категория II</w:t>
      </w:r>
      <w:r>
        <w:t xml:space="preserve"> </w:t>
      </w:r>
      <w:r w:rsidRPr="00B75AEE">
        <w:t>–</w:t>
      </w:r>
      <w:r>
        <w:t xml:space="preserve"> </w:t>
      </w:r>
      <w:r w:rsidRPr="00B75AEE">
        <w:t>ЖЕЛТАЯ» и «Категория III</w:t>
      </w:r>
      <w:r>
        <w:t xml:space="preserve"> </w:t>
      </w:r>
      <w:r w:rsidRPr="00B75AEE">
        <w:t>–</w:t>
      </w:r>
      <w:r>
        <w:t xml:space="preserve"> </w:t>
      </w:r>
      <w:r w:rsidRPr="00B75AEE">
        <w:t>ЖЕЛТАЯ» соответственно.</w:t>
      </w:r>
    </w:p>
    <w:p w:rsidR="002516B3" w:rsidRPr="00B75AEE" w:rsidRDefault="002516B3" w:rsidP="002516B3">
      <w:pPr>
        <w:pStyle w:val="H23GR"/>
      </w:pPr>
      <w:r w:rsidRPr="00B75AEE">
        <w:tab/>
      </w:r>
      <w:r w:rsidRPr="00B75AEE">
        <w:tab/>
        <w:t>Глава 5.3</w:t>
      </w:r>
    </w:p>
    <w:p w:rsidR="002516B3" w:rsidRPr="00B75AEE" w:rsidRDefault="002516B3" w:rsidP="002516B3">
      <w:pPr>
        <w:pStyle w:val="SingleTxtGR"/>
      </w:pPr>
      <w:r w:rsidRPr="00B75AEE">
        <w:t>Примечание 2</w:t>
      </w:r>
      <w:r w:rsidRPr="00B75AEE">
        <w:tab/>
        <w:t>Данное изменение не касается те</w:t>
      </w:r>
      <w:r>
        <w:t>к</w:t>
      </w:r>
      <w:r w:rsidRPr="00B75AEE">
        <w:t>ста на русском языке.</w:t>
      </w:r>
    </w:p>
    <w:p w:rsidR="002516B3" w:rsidRPr="00B75AEE" w:rsidRDefault="002516B3" w:rsidP="002516B3">
      <w:pPr>
        <w:pStyle w:val="H23GR"/>
      </w:pPr>
      <w:r w:rsidRPr="00B75AEE">
        <w:tab/>
      </w:r>
      <w:r w:rsidRPr="00B75AEE">
        <w:tab/>
        <w:t>Глава 7.1</w:t>
      </w:r>
    </w:p>
    <w:p w:rsidR="002516B3" w:rsidRPr="00B75AEE" w:rsidRDefault="002516B3" w:rsidP="002516B3">
      <w:pPr>
        <w:pStyle w:val="SingleTxtGR"/>
      </w:pPr>
      <w:r w:rsidRPr="00B75AEE">
        <w:t>7.1.7.3.2 b) i)</w:t>
      </w:r>
      <w:r w:rsidRPr="00B75AEE">
        <w:tab/>
        <w:t>Данное изменение не касается те</w:t>
      </w:r>
      <w:r>
        <w:t>к</w:t>
      </w:r>
      <w:r w:rsidRPr="00B75AEE">
        <w:t>ста на русском языке.</w:t>
      </w:r>
    </w:p>
    <w:p w:rsidR="002516B3" w:rsidRPr="00B75AEE" w:rsidRDefault="002516B3" w:rsidP="002516B3">
      <w:pPr>
        <w:pStyle w:val="SingleTxtGR"/>
      </w:pPr>
      <w:r w:rsidRPr="00B75AEE">
        <w:t>7.1.7.3.5</w:t>
      </w:r>
      <w:r w:rsidRPr="00B75AEE">
        <w:tab/>
        <w:t>В таблице, в последней строке, во второй колонке, заменить «&lt;50 °C» на «≤45 °C».</w:t>
      </w:r>
    </w:p>
    <w:p w:rsidR="002516B3" w:rsidRPr="00B75AEE" w:rsidRDefault="002516B3" w:rsidP="002516B3">
      <w:pPr>
        <w:pStyle w:val="SingleTxtGR"/>
      </w:pPr>
      <w:r w:rsidRPr="00B75AEE">
        <w:t>7.1.7.4.8</w:t>
      </w:r>
      <w:r w:rsidRPr="00B75AEE">
        <w:tab/>
        <w:t>Данное изменение не касается те</w:t>
      </w:r>
      <w:r>
        <w:t>к</w:t>
      </w:r>
      <w:r w:rsidRPr="00B75AEE">
        <w:t>ста на русском языке.</w:t>
      </w:r>
    </w:p>
    <w:p w:rsidR="002516B3" w:rsidRPr="00B75AEE" w:rsidRDefault="002516B3" w:rsidP="002516B3">
      <w:pPr>
        <w:pStyle w:val="H23GR"/>
      </w:pPr>
      <w:r w:rsidRPr="00B75AEE">
        <w:tab/>
      </w:r>
      <w:r w:rsidRPr="00B75AEE">
        <w:tab/>
        <w:t>Глава 7.2</w:t>
      </w:r>
    </w:p>
    <w:p w:rsidR="002516B3" w:rsidRPr="00B75AEE" w:rsidRDefault="002516B3" w:rsidP="002516B3">
      <w:pPr>
        <w:pStyle w:val="SingleTxtGR"/>
        <w:rPr>
          <w:iCs/>
        </w:rPr>
      </w:pPr>
      <w:r w:rsidRPr="00B75AEE">
        <w:t>7.2.4, V8</w:t>
      </w:r>
      <w:r w:rsidRPr="00B75AEE">
        <w:tab/>
        <w:t>Во втором предложении примечания заменить «последнем» на «этом». Изменение в первом предложении не касается текста на русском языке.</w:t>
      </w:r>
    </w:p>
    <w:p w:rsidR="002516B3" w:rsidRPr="00B75AEE" w:rsidRDefault="002516B3" w:rsidP="002516B3">
      <w:pPr>
        <w:pStyle w:val="H23GR"/>
      </w:pPr>
      <w:r w:rsidRPr="00B75AEE">
        <w:tab/>
      </w:r>
      <w:r w:rsidRPr="00B75AEE">
        <w:tab/>
        <w:t>Глава 8.5</w:t>
      </w:r>
    </w:p>
    <w:p w:rsidR="002516B3" w:rsidRPr="00B75AEE" w:rsidRDefault="002516B3" w:rsidP="002516B3">
      <w:pPr>
        <w:pStyle w:val="SingleTxtGR"/>
        <w:rPr>
          <w:iCs/>
        </w:rPr>
      </w:pPr>
      <w:r w:rsidRPr="00B75AEE">
        <w:t>S4</w:t>
      </w:r>
      <w:r w:rsidRPr="00B75AEE">
        <w:tab/>
        <w:t>Во втором предложении примечания заменить «последнем» на «этом». Изменение в первом предложении не касается текста на русском языке.</w:t>
      </w:r>
    </w:p>
    <w:p w:rsidR="002516B3" w:rsidRPr="00B75AEE" w:rsidRDefault="002516B3" w:rsidP="002516B3">
      <w:pPr>
        <w:pStyle w:val="H23GR"/>
      </w:pPr>
      <w:r w:rsidRPr="00B75AEE">
        <w:tab/>
      </w:r>
      <w:r w:rsidRPr="00B75AEE">
        <w:tab/>
        <w:t>Приложение</w:t>
      </w:r>
    </w:p>
    <w:p w:rsidR="002516B3" w:rsidRPr="00B75AEE" w:rsidRDefault="002516B3" w:rsidP="002516B3">
      <w:pPr>
        <w:pStyle w:val="SingleTxtGR"/>
      </w:pPr>
      <w:r w:rsidRPr="00B75AEE">
        <w:t>Поправку к пункту 2.2.51.1.3 следует читать:</w:t>
      </w:r>
    </w:p>
    <w:p w:rsidR="002516B3" w:rsidRPr="00B75AEE" w:rsidRDefault="002516B3" w:rsidP="002516B3">
      <w:pPr>
        <w:pStyle w:val="SingleTxtGR"/>
      </w:pPr>
      <w:r w:rsidRPr="00B75AEE">
        <w:lastRenderedPageBreak/>
        <w:t>«2.2.51.1.3</w:t>
      </w:r>
      <w:r w:rsidRPr="00B75AEE">
        <w:tab/>
        <w:t>В конце второго предложения добавить "или, для твердых удобрений на основе аммония нитрата, раздел 39 с учетом ограничений, предусмотренных в пункте 2.2.51.2.2, тринадцатый подпункт".».</w:t>
      </w:r>
    </w:p>
    <w:p w:rsidR="002516B3" w:rsidRPr="00B75AEE" w:rsidRDefault="002516B3" w:rsidP="002516B3">
      <w:pPr>
        <w:pStyle w:val="SingleTxtGR"/>
      </w:pPr>
      <w:r w:rsidRPr="00B75AEE">
        <w:t>Поправку к пункту 2.1.3.7 следует читать:</w:t>
      </w:r>
    </w:p>
    <w:p w:rsidR="002516B3" w:rsidRPr="00B75AEE" w:rsidRDefault="002516B3" w:rsidP="002516B3">
      <w:pPr>
        <w:pStyle w:val="SingleTxtGR"/>
      </w:pPr>
      <w:r w:rsidRPr="00B75AEE">
        <w:t>«2.1.3.7</w:t>
      </w:r>
      <w:r w:rsidRPr="00B75AEE">
        <w:tab/>
        <w:t>В конце добавить: "В отношении твердых удобрений на основе аммония нитрата см. также пункт 2.2.51.2.2, тринадцатый и четырнадцатый подпункты, и Руководство по испытаниям и критериям, часть III, раздел 39".».</w:t>
      </w:r>
    </w:p>
    <w:p w:rsidR="002516B3" w:rsidRPr="00B75AEE" w:rsidRDefault="002516B3" w:rsidP="002516B3">
      <w:pPr>
        <w:pStyle w:val="SingleTxtGR"/>
        <w:spacing w:before="240" w:after="0"/>
        <w:jc w:val="center"/>
        <w:rPr>
          <w:u w:val="single"/>
        </w:rPr>
      </w:pPr>
      <w:r>
        <w:rPr>
          <w:u w:val="single"/>
        </w:rPr>
        <w:tab/>
      </w:r>
      <w:r>
        <w:rPr>
          <w:u w:val="single"/>
        </w:rPr>
        <w:tab/>
      </w:r>
      <w:r>
        <w:rPr>
          <w:u w:val="single"/>
        </w:rPr>
        <w:tab/>
      </w:r>
    </w:p>
    <w:p w:rsidR="002516B3" w:rsidRPr="00B75AEE" w:rsidRDefault="002516B3" w:rsidP="002516B3">
      <w:pPr>
        <w:pStyle w:val="SingleTxtGR"/>
      </w:pPr>
    </w:p>
    <w:p w:rsidR="00E12C5F" w:rsidRPr="008D53B6" w:rsidRDefault="00E12C5F" w:rsidP="002E5067"/>
    <w:sectPr w:rsidR="00E12C5F" w:rsidRPr="008D53B6" w:rsidSect="002516B3">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6B3" w:rsidRPr="00A312BC" w:rsidRDefault="002516B3" w:rsidP="00A312BC"/>
  </w:endnote>
  <w:endnote w:type="continuationSeparator" w:id="0">
    <w:p w:rsidR="002516B3" w:rsidRPr="00A312BC" w:rsidRDefault="002516B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6B3" w:rsidRPr="002516B3" w:rsidRDefault="002516B3">
    <w:pPr>
      <w:pStyle w:val="Footer"/>
    </w:pPr>
    <w:r w:rsidRPr="002516B3">
      <w:rPr>
        <w:b/>
        <w:sz w:val="18"/>
      </w:rPr>
      <w:fldChar w:fldCharType="begin"/>
    </w:r>
    <w:r w:rsidRPr="002516B3">
      <w:rPr>
        <w:b/>
        <w:sz w:val="18"/>
      </w:rPr>
      <w:instrText xml:space="preserve"> PAGE  \* MERGEFORMAT </w:instrText>
    </w:r>
    <w:r w:rsidRPr="002516B3">
      <w:rPr>
        <w:b/>
        <w:sz w:val="18"/>
      </w:rPr>
      <w:fldChar w:fldCharType="separate"/>
    </w:r>
    <w:r w:rsidR="00B40287">
      <w:rPr>
        <w:b/>
        <w:noProof/>
        <w:sz w:val="18"/>
      </w:rPr>
      <w:t>2</w:t>
    </w:r>
    <w:r w:rsidRPr="002516B3">
      <w:rPr>
        <w:b/>
        <w:sz w:val="18"/>
      </w:rPr>
      <w:fldChar w:fldCharType="end"/>
    </w:r>
    <w:r>
      <w:rPr>
        <w:b/>
        <w:sz w:val="18"/>
      </w:rPr>
      <w:tab/>
    </w:r>
    <w:r>
      <w:t>GE.17-18594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6B3" w:rsidRPr="002516B3" w:rsidRDefault="002516B3" w:rsidP="002516B3">
    <w:pPr>
      <w:pStyle w:val="Footer"/>
      <w:tabs>
        <w:tab w:val="clear" w:pos="9639"/>
        <w:tab w:val="right" w:pos="9638"/>
      </w:tabs>
      <w:rPr>
        <w:b/>
        <w:sz w:val="18"/>
      </w:rPr>
    </w:pPr>
    <w:r>
      <w:t>GE.17-18594</w:t>
    </w:r>
    <w:r>
      <w:tab/>
    </w:r>
    <w:r w:rsidRPr="002516B3">
      <w:rPr>
        <w:b/>
        <w:sz w:val="18"/>
      </w:rPr>
      <w:fldChar w:fldCharType="begin"/>
    </w:r>
    <w:r w:rsidRPr="002516B3">
      <w:rPr>
        <w:b/>
        <w:sz w:val="18"/>
      </w:rPr>
      <w:instrText xml:space="preserve"> PAGE  \* MERGEFORMAT </w:instrText>
    </w:r>
    <w:r w:rsidRPr="002516B3">
      <w:rPr>
        <w:b/>
        <w:sz w:val="18"/>
      </w:rPr>
      <w:fldChar w:fldCharType="separate"/>
    </w:r>
    <w:r w:rsidR="00B40287">
      <w:rPr>
        <w:b/>
        <w:noProof/>
        <w:sz w:val="18"/>
      </w:rPr>
      <w:t>19</w:t>
    </w:r>
    <w:r w:rsidRPr="002516B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6B3" w:rsidRPr="002516B3" w:rsidRDefault="002516B3" w:rsidP="002516B3">
    <w:pPr>
      <w:spacing w:before="120" w:line="240" w:lineRule="auto"/>
    </w:pPr>
    <w:r>
      <w:t>GE.</w:t>
    </w:r>
    <w:r>
      <w:rPr>
        <w:b/>
        <w:noProof/>
        <w:lang w:val="en-US" w:eastAsia="en-US"/>
      </w:rPr>
      <w:drawing>
        <wp:anchor distT="0" distB="0" distL="114300" distR="114300" simplePos="0" relativeHeight="251658240" behindDoc="0" locked="0" layoutInCell="1" allowOverlap="1" wp14:anchorId="537D1ABC" wp14:editId="01777D4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17-18594  (R)</w:t>
    </w:r>
    <w:r>
      <w:rPr>
        <w:lang w:val="en-US"/>
      </w:rPr>
      <w:t xml:space="preserve">  141117  161117</w:t>
    </w:r>
    <w:r>
      <w:br/>
    </w:r>
    <w:r w:rsidRPr="002516B3">
      <w:rPr>
        <w:rFonts w:ascii="C39T30Lfz" w:hAnsi="C39T30Lfz"/>
        <w:spacing w:val="0"/>
        <w:w w:val="100"/>
        <w:sz w:val="56"/>
      </w:rPr>
      <w:t></w:t>
    </w:r>
    <w:r w:rsidRPr="002516B3">
      <w:rPr>
        <w:rFonts w:ascii="C39T30Lfz" w:hAnsi="C39T30Lfz"/>
        <w:spacing w:val="0"/>
        <w:w w:val="100"/>
        <w:sz w:val="56"/>
      </w:rPr>
      <w:t></w:t>
    </w:r>
    <w:r w:rsidRPr="002516B3">
      <w:rPr>
        <w:rFonts w:ascii="C39T30Lfz" w:hAnsi="C39T30Lfz"/>
        <w:spacing w:val="0"/>
        <w:w w:val="100"/>
        <w:sz w:val="56"/>
      </w:rPr>
      <w:t></w:t>
    </w:r>
    <w:r w:rsidRPr="002516B3">
      <w:rPr>
        <w:rFonts w:ascii="C39T30Lfz" w:hAnsi="C39T30Lfz"/>
        <w:spacing w:val="0"/>
        <w:w w:val="100"/>
        <w:sz w:val="56"/>
      </w:rPr>
      <w:t></w:t>
    </w:r>
    <w:r w:rsidRPr="002516B3">
      <w:rPr>
        <w:rFonts w:ascii="C39T30Lfz" w:hAnsi="C39T30Lfz"/>
        <w:spacing w:val="0"/>
        <w:w w:val="100"/>
        <w:sz w:val="56"/>
      </w:rPr>
      <w:t></w:t>
    </w:r>
    <w:r w:rsidRPr="002516B3">
      <w:rPr>
        <w:rFonts w:ascii="C39T30Lfz" w:hAnsi="C39T30Lfz"/>
        <w:spacing w:val="0"/>
        <w:w w:val="100"/>
        <w:sz w:val="56"/>
      </w:rPr>
      <w:t></w:t>
    </w:r>
    <w:r w:rsidRPr="002516B3">
      <w:rPr>
        <w:rFonts w:ascii="C39T30Lfz" w:hAnsi="C39T30Lfz"/>
        <w:spacing w:val="0"/>
        <w:w w:val="100"/>
        <w:sz w:val="56"/>
      </w:rPr>
      <w:t></w:t>
    </w:r>
    <w:r w:rsidRPr="002516B3">
      <w:rPr>
        <w:rFonts w:ascii="C39T30Lfz" w:hAnsi="C39T30Lfz"/>
        <w:spacing w:val="0"/>
        <w:w w:val="100"/>
        <w:sz w:val="56"/>
      </w:rPr>
      <w:t></w:t>
    </w:r>
    <w:r w:rsidRPr="002516B3">
      <w:rPr>
        <w:rFonts w:ascii="C39T30Lfz" w:hAnsi="C39T30Lfz"/>
        <w:spacing w:val="0"/>
        <w:w w:val="100"/>
        <w:sz w:val="56"/>
      </w:rPr>
      <w:t></w:t>
    </w:r>
    <w:r>
      <w:rPr>
        <w:noProof/>
        <w:w w:val="100"/>
        <w:lang w:val="en-US" w:eastAsia="en-US"/>
      </w:rPr>
      <w:drawing>
        <wp:anchor distT="0" distB="0" distL="114300" distR="114300" simplePos="0" relativeHeight="251659264" behindDoc="0" locked="0" layoutInCell="1" allowOverlap="1" wp14:anchorId="73CA8520" wp14:editId="3B620A81">
          <wp:simplePos x="0" y="0"/>
          <wp:positionH relativeFrom="margin">
            <wp:posOffset>5489575</wp:posOffset>
          </wp:positionH>
          <wp:positionV relativeFrom="margin">
            <wp:posOffset>8855710</wp:posOffset>
          </wp:positionV>
          <wp:extent cx="637564" cy="637564"/>
          <wp:effectExtent l="0" t="0" r="0" b="0"/>
          <wp:wrapNone/>
          <wp:docPr id="1" name="Рисунок 1" descr="https://undocs.org/m2/QRCode.ashx?DS=ECE/TRANS/WP.15/AC.1/148/Ad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148/Ad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564" cy="63756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6B3" w:rsidRPr="001075E9" w:rsidRDefault="002516B3" w:rsidP="001075E9">
      <w:pPr>
        <w:tabs>
          <w:tab w:val="right" w:pos="2155"/>
        </w:tabs>
        <w:spacing w:after="80" w:line="240" w:lineRule="auto"/>
        <w:ind w:left="680"/>
        <w:rPr>
          <w:u w:val="single"/>
        </w:rPr>
      </w:pPr>
      <w:r>
        <w:rPr>
          <w:u w:val="single"/>
        </w:rPr>
        <w:tab/>
      </w:r>
    </w:p>
  </w:footnote>
  <w:footnote w:type="continuationSeparator" w:id="0">
    <w:p w:rsidR="002516B3" w:rsidRDefault="002516B3" w:rsidP="00407B78">
      <w:pPr>
        <w:tabs>
          <w:tab w:val="right" w:pos="2155"/>
        </w:tabs>
        <w:spacing w:after="80"/>
        <w:ind w:left="680"/>
        <w:rPr>
          <w:u w:val="single"/>
        </w:rPr>
      </w:pPr>
      <w:r>
        <w:rPr>
          <w:u w:val="single"/>
        </w:rPr>
        <w:tab/>
      </w:r>
    </w:p>
  </w:footnote>
  <w:footnote w:id="1">
    <w:p w:rsidR="002516B3" w:rsidRPr="00DD5F7F" w:rsidRDefault="002516B3" w:rsidP="002516B3">
      <w:pPr>
        <w:pStyle w:val="FootnoteText"/>
        <w:rPr>
          <w:sz w:val="20"/>
          <w:lang w:val="ru-RU"/>
        </w:rPr>
      </w:pPr>
      <w:r>
        <w:tab/>
      </w:r>
      <w:r w:rsidRPr="00B75AEE">
        <w:rPr>
          <w:rStyle w:val="FootnoteReference"/>
          <w:sz w:val="20"/>
          <w:vertAlign w:val="baseline"/>
          <w:lang w:val="ru-RU"/>
        </w:rPr>
        <w:t>*</w:t>
      </w:r>
      <w:r w:rsidRPr="00B75AEE">
        <w:rPr>
          <w:rStyle w:val="FootnoteReference"/>
          <w:vertAlign w:val="baseline"/>
          <w:lang w:val="ru-RU"/>
        </w:rPr>
        <w:tab/>
      </w:r>
      <w:r>
        <w:rPr>
          <w:lang w:val="ru-RU"/>
        </w:rPr>
        <w:t>Распространено Межправительственной организацией по международным железнодорожным перевозкам (ОТИФ) под условным обозначением OTIF/RID/RC/2017-B. Если не указано иное, то другие документы, упоминаемые в настоящем докладе под условным обозначением ECE/TRANS/WP.15/AC.1/, после которого указаны год и порядковый номер, были распространены ОТИФ под условным обозначением OTIF/RID/RC/, после которого указаны год и тот же порядковый номер.</w:t>
      </w:r>
    </w:p>
  </w:footnote>
  <w:footnote w:id="2">
    <w:p w:rsidR="002516B3" w:rsidRPr="00B75AEE" w:rsidRDefault="002516B3" w:rsidP="002516B3">
      <w:pPr>
        <w:pStyle w:val="FootnoteText"/>
        <w:rPr>
          <w:sz w:val="20"/>
          <w:lang w:val="ru-RU"/>
        </w:rPr>
      </w:pPr>
      <w:r w:rsidRPr="00DD5F7F">
        <w:rPr>
          <w:lang w:val="ru-RU"/>
        </w:rPr>
        <w:tab/>
      </w:r>
      <w:r w:rsidRPr="00B75AEE">
        <w:rPr>
          <w:rStyle w:val="FootnoteReference"/>
          <w:sz w:val="20"/>
          <w:vertAlign w:val="baseline"/>
          <w:lang w:val="ru-RU"/>
        </w:rPr>
        <w:t>**</w:t>
      </w:r>
      <w:r w:rsidRPr="00B75AEE">
        <w:rPr>
          <w:rStyle w:val="FootnoteReference"/>
          <w:vertAlign w:val="baseline"/>
          <w:lang w:val="ru-RU"/>
        </w:rPr>
        <w:tab/>
      </w:r>
      <w:r>
        <w:rPr>
          <w:lang w:val="ru-RU"/>
        </w:rPr>
        <w:t>Распространено Межправительственной организацией по международным железнодорожным перевозкам (ОТИФ) под условным обозначением OTIF/RID/RC/2017-B/Add.1.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6B3" w:rsidRPr="002516B3" w:rsidRDefault="004477F6">
    <w:pPr>
      <w:pStyle w:val="Header"/>
    </w:pPr>
    <w:fldSimple w:instr=" TITLE  \* MERGEFORMAT ">
      <w:r>
        <w:t>ECE/TRANS/WP.15/AC.1/148/Add.1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6B3" w:rsidRPr="002516B3" w:rsidRDefault="004477F6" w:rsidP="002516B3">
    <w:pPr>
      <w:pStyle w:val="Header"/>
      <w:jc w:val="right"/>
    </w:pPr>
    <w:fldSimple w:instr=" TITLE  \* MERGEFORMAT ">
      <w:r>
        <w:t>ECE/TRANS/WP.15/AC.1/148/Add.1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E6A"/>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16B3"/>
    <w:rsid w:val="00254E4A"/>
    <w:rsid w:val="00255343"/>
    <w:rsid w:val="0027151D"/>
    <w:rsid w:val="002A2EFC"/>
    <w:rsid w:val="002B0106"/>
    <w:rsid w:val="002B74B1"/>
    <w:rsid w:val="002C0E18"/>
    <w:rsid w:val="002D5AAC"/>
    <w:rsid w:val="002E5067"/>
    <w:rsid w:val="002F405F"/>
    <w:rsid w:val="002F7EEC"/>
    <w:rsid w:val="00301299"/>
    <w:rsid w:val="0030195A"/>
    <w:rsid w:val="00301E6A"/>
    <w:rsid w:val="00305C08"/>
    <w:rsid w:val="00307FB6"/>
    <w:rsid w:val="00317339"/>
    <w:rsid w:val="00322004"/>
    <w:rsid w:val="003402C2"/>
    <w:rsid w:val="00381C24"/>
    <w:rsid w:val="00387CD4"/>
    <w:rsid w:val="003958D0"/>
    <w:rsid w:val="003A0D43"/>
    <w:rsid w:val="003A48CE"/>
    <w:rsid w:val="003B00E5"/>
    <w:rsid w:val="00407B78"/>
    <w:rsid w:val="00424203"/>
    <w:rsid w:val="004477F6"/>
    <w:rsid w:val="0045076A"/>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2BBB"/>
    <w:rsid w:val="0086445C"/>
    <w:rsid w:val="00894693"/>
    <w:rsid w:val="008A08D7"/>
    <w:rsid w:val="008A37C8"/>
    <w:rsid w:val="008B6909"/>
    <w:rsid w:val="008D53B6"/>
    <w:rsid w:val="008F7609"/>
    <w:rsid w:val="00906890"/>
    <w:rsid w:val="00911BE4"/>
    <w:rsid w:val="00951972"/>
    <w:rsid w:val="009608F3"/>
    <w:rsid w:val="009A24AC"/>
    <w:rsid w:val="009C6FE6"/>
    <w:rsid w:val="009D7E7D"/>
    <w:rsid w:val="00A14DA8"/>
    <w:rsid w:val="00A312BC"/>
    <w:rsid w:val="00A84021"/>
    <w:rsid w:val="00A84D35"/>
    <w:rsid w:val="00A917B3"/>
    <w:rsid w:val="00AB4B51"/>
    <w:rsid w:val="00B10CC7"/>
    <w:rsid w:val="00B36DF7"/>
    <w:rsid w:val="00B40287"/>
    <w:rsid w:val="00B539E7"/>
    <w:rsid w:val="00B62458"/>
    <w:rsid w:val="00BC18B2"/>
    <w:rsid w:val="00BD33EE"/>
    <w:rsid w:val="00BE1CC7"/>
    <w:rsid w:val="00C106D6"/>
    <w:rsid w:val="00C119AE"/>
    <w:rsid w:val="00C60F0C"/>
    <w:rsid w:val="00C805C9"/>
    <w:rsid w:val="00C92939"/>
    <w:rsid w:val="00CA1679"/>
    <w:rsid w:val="00CB151C"/>
    <w:rsid w:val="00CE5A1A"/>
    <w:rsid w:val="00CF55F6"/>
    <w:rsid w:val="00D33D63"/>
    <w:rsid w:val="00D5253A"/>
    <w:rsid w:val="00D90028"/>
    <w:rsid w:val="00D90138"/>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23ED70F-3071-45EC-A3CF-AE24D301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semiHidden/>
    <w:rsid w:val="009C6FE6"/>
    <w:pPr>
      <w:keepNext/>
      <w:outlineLvl w:val="1"/>
    </w:pPr>
    <w:rPr>
      <w:rFonts w:cs="Arial"/>
      <w:bCs/>
      <w:iCs/>
      <w:szCs w:val="28"/>
    </w:rPr>
  </w:style>
  <w:style w:type="paragraph" w:styleId="Heading3">
    <w:name w:val="heading 3"/>
    <w:basedOn w:val="Normal"/>
    <w:next w:val="Normal"/>
    <w:link w:val="Heading3Char"/>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rsid w:val="009C6FE6"/>
    <w:pPr>
      <w:keepNext/>
      <w:spacing w:before="240" w:after="60"/>
      <w:outlineLvl w:val="3"/>
    </w:pPr>
    <w:rPr>
      <w:b/>
      <w:bCs/>
      <w:sz w:val="28"/>
      <w:szCs w:val="28"/>
    </w:rPr>
  </w:style>
  <w:style w:type="paragraph" w:styleId="Heading5">
    <w:name w:val="heading 5"/>
    <w:basedOn w:val="Normal"/>
    <w:next w:val="Normal"/>
    <w:link w:val="Heading5Char"/>
    <w:semiHidden/>
    <w:rsid w:val="009C6FE6"/>
    <w:pPr>
      <w:spacing w:before="240" w:after="60"/>
      <w:outlineLvl w:val="4"/>
    </w:pPr>
    <w:rPr>
      <w:b/>
      <w:bCs/>
      <w:i/>
      <w:iCs/>
      <w:sz w:val="26"/>
      <w:szCs w:val="26"/>
    </w:rPr>
  </w:style>
  <w:style w:type="paragraph" w:styleId="Heading6">
    <w:name w:val="heading 6"/>
    <w:basedOn w:val="Normal"/>
    <w:next w:val="Normal"/>
    <w:link w:val="Heading6Char"/>
    <w:semiHidden/>
    <w:rsid w:val="009C6FE6"/>
    <w:pPr>
      <w:spacing w:before="240" w:after="60"/>
      <w:outlineLvl w:val="5"/>
    </w:pPr>
    <w:rPr>
      <w:b/>
      <w:bCs/>
      <w:sz w:val="22"/>
    </w:rPr>
  </w:style>
  <w:style w:type="paragraph" w:styleId="Heading7">
    <w:name w:val="heading 7"/>
    <w:basedOn w:val="Normal"/>
    <w:next w:val="Normal"/>
    <w:link w:val="Heading7Char"/>
    <w:semiHidden/>
    <w:rsid w:val="009C6FE6"/>
    <w:pPr>
      <w:spacing w:before="240" w:after="60"/>
      <w:outlineLvl w:val="6"/>
    </w:pPr>
    <w:rPr>
      <w:sz w:val="24"/>
      <w:szCs w:val="24"/>
    </w:rPr>
  </w:style>
  <w:style w:type="paragraph" w:styleId="Heading8">
    <w:name w:val="heading 8"/>
    <w:basedOn w:val="Normal"/>
    <w:next w:val="Normal"/>
    <w:link w:val="Heading8Char"/>
    <w:semiHidden/>
    <w:rsid w:val="009C6FE6"/>
    <w:pPr>
      <w:spacing w:before="240" w:after="60"/>
      <w:outlineLvl w:val="7"/>
    </w:pPr>
    <w:rPr>
      <w:i/>
      <w:iCs/>
      <w:sz w:val="24"/>
      <w:szCs w:val="24"/>
    </w:rPr>
  </w:style>
  <w:style w:type="paragraph" w:styleId="Heading9">
    <w:name w:val="heading 9"/>
    <w:basedOn w:val="Normal"/>
    <w:next w:val="Normal"/>
    <w:link w:val="Heading9Char"/>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9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character" w:customStyle="1" w:styleId="Heading2Char">
    <w:name w:val="Heading 2 Char"/>
    <w:basedOn w:val="DefaultParagraphFont"/>
    <w:link w:val="Heading2"/>
    <w:semiHidden/>
    <w:rsid w:val="002516B3"/>
    <w:rPr>
      <w:rFonts w:eastAsiaTheme="minorEastAsia" w:cs="Arial"/>
      <w:bCs/>
      <w:iCs/>
      <w:spacing w:val="4"/>
      <w:w w:val="103"/>
      <w:kern w:val="14"/>
      <w:szCs w:val="28"/>
      <w:lang w:val="ru-RU" w:eastAsia="zh-CN"/>
    </w:rPr>
  </w:style>
  <w:style w:type="character" w:customStyle="1" w:styleId="Heading3Char">
    <w:name w:val="Heading 3 Char"/>
    <w:basedOn w:val="DefaultParagraphFont"/>
    <w:link w:val="Heading3"/>
    <w:semiHidden/>
    <w:rsid w:val="002516B3"/>
    <w:rPr>
      <w:rFonts w:ascii="Arial" w:eastAsiaTheme="minorEastAsia" w:hAnsi="Arial" w:cs="Arial"/>
      <w:b/>
      <w:bCs/>
      <w:spacing w:val="4"/>
      <w:w w:val="103"/>
      <w:kern w:val="14"/>
      <w:sz w:val="26"/>
      <w:szCs w:val="26"/>
      <w:lang w:val="ru-RU" w:eastAsia="zh-CN"/>
    </w:rPr>
  </w:style>
  <w:style w:type="character" w:customStyle="1" w:styleId="Heading4Char">
    <w:name w:val="Heading 4 Char"/>
    <w:basedOn w:val="DefaultParagraphFont"/>
    <w:link w:val="Heading4"/>
    <w:semiHidden/>
    <w:rsid w:val="002516B3"/>
    <w:rPr>
      <w:rFonts w:eastAsiaTheme="minorEastAsia" w:cstheme="minorBidi"/>
      <w:b/>
      <w:bCs/>
      <w:spacing w:val="4"/>
      <w:w w:val="103"/>
      <w:kern w:val="14"/>
      <w:sz w:val="28"/>
      <w:szCs w:val="28"/>
      <w:lang w:val="ru-RU" w:eastAsia="zh-CN"/>
    </w:rPr>
  </w:style>
  <w:style w:type="character" w:customStyle="1" w:styleId="Heading5Char">
    <w:name w:val="Heading 5 Char"/>
    <w:basedOn w:val="DefaultParagraphFont"/>
    <w:link w:val="Heading5"/>
    <w:semiHidden/>
    <w:rsid w:val="002516B3"/>
    <w:rPr>
      <w:rFonts w:eastAsiaTheme="minorEastAsia" w:cstheme="minorBidi"/>
      <w:b/>
      <w:bCs/>
      <w:i/>
      <w:iCs/>
      <w:spacing w:val="4"/>
      <w:w w:val="103"/>
      <w:kern w:val="14"/>
      <w:sz w:val="26"/>
      <w:szCs w:val="26"/>
      <w:lang w:val="ru-RU" w:eastAsia="zh-CN"/>
    </w:rPr>
  </w:style>
  <w:style w:type="character" w:customStyle="1" w:styleId="Heading6Char">
    <w:name w:val="Heading 6 Char"/>
    <w:basedOn w:val="DefaultParagraphFont"/>
    <w:link w:val="Heading6"/>
    <w:semiHidden/>
    <w:rsid w:val="002516B3"/>
    <w:rPr>
      <w:rFonts w:eastAsiaTheme="minorEastAsia" w:cstheme="minorBidi"/>
      <w:b/>
      <w:bCs/>
      <w:spacing w:val="4"/>
      <w:w w:val="103"/>
      <w:kern w:val="14"/>
      <w:sz w:val="22"/>
      <w:szCs w:val="22"/>
      <w:lang w:val="ru-RU" w:eastAsia="zh-CN"/>
    </w:rPr>
  </w:style>
  <w:style w:type="character" w:customStyle="1" w:styleId="Heading7Char">
    <w:name w:val="Heading 7 Char"/>
    <w:basedOn w:val="DefaultParagraphFont"/>
    <w:link w:val="Heading7"/>
    <w:semiHidden/>
    <w:rsid w:val="002516B3"/>
    <w:rPr>
      <w:rFonts w:eastAsiaTheme="minorEastAsia" w:cstheme="minorBidi"/>
      <w:spacing w:val="4"/>
      <w:w w:val="103"/>
      <w:kern w:val="14"/>
      <w:sz w:val="24"/>
      <w:szCs w:val="24"/>
      <w:lang w:val="ru-RU" w:eastAsia="zh-CN"/>
    </w:rPr>
  </w:style>
  <w:style w:type="character" w:customStyle="1" w:styleId="Heading8Char">
    <w:name w:val="Heading 8 Char"/>
    <w:basedOn w:val="DefaultParagraphFont"/>
    <w:link w:val="Heading8"/>
    <w:semiHidden/>
    <w:rsid w:val="002516B3"/>
    <w:rPr>
      <w:rFonts w:eastAsiaTheme="minorEastAsia" w:cstheme="minorBidi"/>
      <w:i/>
      <w:iCs/>
      <w:spacing w:val="4"/>
      <w:w w:val="103"/>
      <w:kern w:val="14"/>
      <w:sz w:val="24"/>
      <w:szCs w:val="24"/>
      <w:lang w:val="ru-RU" w:eastAsia="zh-CN"/>
    </w:rPr>
  </w:style>
  <w:style w:type="character" w:customStyle="1" w:styleId="Heading9Char">
    <w:name w:val="Heading 9 Char"/>
    <w:basedOn w:val="DefaultParagraphFont"/>
    <w:link w:val="Heading9"/>
    <w:semiHidden/>
    <w:rsid w:val="002516B3"/>
    <w:rPr>
      <w:rFonts w:ascii="Arial" w:eastAsiaTheme="minorEastAsia" w:hAnsi="Arial" w:cs="Arial"/>
      <w:spacing w:val="4"/>
      <w:w w:val="103"/>
      <w:kern w:val="14"/>
      <w:sz w:val="22"/>
      <w:szCs w:val="22"/>
      <w:lang w:val="ru-RU" w:eastAsia="zh-CN"/>
    </w:rPr>
  </w:style>
  <w:style w:type="paragraph" w:customStyle="1" w:styleId="Tabletext9">
    <w:name w:val="Table text (9)"/>
    <w:basedOn w:val="Normal"/>
    <w:uiPriority w:val="99"/>
    <w:rsid w:val="002516B3"/>
    <w:pPr>
      <w:spacing w:before="60" w:after="60" w:line="210" w:lineRule="atLeast"/>
      <w:jc w:val="both"/>
    </w:pPr>
    <w:rPr>
      <w:rFonts w:ascii="Arial" w:eastAsia="MS Mincho" w:hAnsi="Arial" w:cs="Times New Roman"/>
      <w:spacing w:val="0"/>
      <w:w w:val="100"/>
      <w:kern w:val="0"/>
      <w:sz w:val="18"/>
      <w:szCs w:val="20"/>
      <w:lang w:val="en-GB" w:eastAsia="fr-FR"/>
    </w:rPr>
  </w:style>
  <w:style w:type="paragraph" w:customStyle="1" w:styleId="SingleTxtG">
    <w:name w:val="_ Single Txt_G"/>
    <w:basedOn w:val="Normal"/>
    <w:link w:val="SingleTxtGChar"/>
    <w:uiPriority w:val="99"/>
    <w:qFormat/>
    <w:rsid w:val="002516B3"/>
    <w:pPr>
      <w:suppressAutoHyphens/>
      <w:spacing w:after="120"/>
      <w:ind w:left="1134" w:right="1134"/>
      <w:jc w:val="both"/>
    </w:pPr>
    <w:rPr>
      <w:rFonts w:eastAsia="Times New Roman" w:cs="Times New Roman"/>
      <w:spacing w:val="0"/>
      <w:w w:val="100"/>
      <w:kern w:val="0"/>
      <w:szCs w:val="20"/>
      <w:lang w:val="en-GB" w:eastAsia="en-US"/>
    </w:rPr>
  </w:style>
  <w:style w:type="character" w:customStyle="1" w:styleId="SingleTxtGChar">
    <w:name w:val="_ Single Txt_G Char"/>
    <w:link w:val="SingleTxtG"/>
    <w:uiPriority w:val="99"/>
    <w:qFormat/>
    <w:locked/>
    <w:rsid w:val="002516B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6351</Words>
  <Characters>36203</Characters>
  <Application>Microsoft Office Word</Application>
  <DocSecurity>0</DocSecurity>
  <Lines>301</Lines>
  <Paragraphs>84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ECE/TRANS/WP.15/AC.1/148/Add.1</vt:lpstr>
      <vt:lpstr>ECE/TRANS/WP.15/AC.1/148/Add.1</vt:lpstr>
      <vt:lpstr>A/</vt:lpstr>
    </vt:vector>
  </TitlesOfParts>
  <Company>DCM</Company>
  <LinksUpToDate>false</LinksUpToDate>
  <CharactersWithSpaces>42470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ECE/TRANS/WP.15/AC.1/148/Add.1</dc:title>
  <dc:creator>Anna Blagodatskikh</dc:creator>
  <cp:lastModifiedBy>Christine Barrio-Champeau</cp:lastModifiedBy>
  <cp:revision>2</cp:revision>
  <cp:lastPrinted>2017-11-16T09:20:00Z</cp:lastPrinted>
  <dcterms:created xsi:type="dcterms:W3CDTF">2018-01-03T10:42:00Z</dcterms:created>
  <dcterms:modified xsi:type="dcterms:W3CDTF">2018-01-03T10:42:00Z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