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A2C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A2CB5" w:rsidP="00BA2CB5">
            <w:pPr>
              <w:jc w:val="right"/>
            </w:pPr>
            <w:r w:rsidRPr="00BA2CB5">
              <w:rPr>
                <w:sz w:val="40"/>
              </w:rPr>
              <w:t>ECE</w:t>
            </w:r>
            <w:r>
              <w:t>/TRANS/WP.15/239</w:t>
            </w:r>
          </w:p>
        </w:tc>
      </w:tr>
      <w:tr w:rsidR="002D5AAC" w:rsidRPr="003F144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A2CB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A2CB5" w:rsidRDefault="00BA2CB5" w:rsidP="00BA2C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November 2017</w:t>
            </w:r>
          </w:p>
          <w:p w:rsidR="00BA2CB5" w:rsidRDefault="00BA2CB5" w:rsidP="00BA2C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A2CB5" w:rsidRPr="008D53B6" w:rsidRDefault="00BA2CB5" w:rsidP="00BA2C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58796D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8796D" w:rsidRPr="0058796D" w:rsidRDefault="0058796D" w:rsidP="0058796D">
      <w:pPr>
        <w:spacing w:after="120"/>
        <w:rPr>
          <w:sz w:val="28"/>
          <w:szCs w:val="28"/>
        </w:rPr>
      </w:pPr>
      <w:r w:rsidRPr="0058796D">
        <w:rPr>
          <w:sz w:val="28"/>
          <w:szCs w:val="28"/>
        </w:rPr>
        <w:t>Комитет по внутреннему транспорту</w:t>
      </w:r>
    </w:p>
    <w:p w:rsidR="0058796D" w:rsidRPr="0058796D" w:rsidRDefault="0058796D" w:rsidP="0058796D">
      <w:pPr>
        <w:spacing w:after="120"/>
        <w:rPr>
          <w:b/>
          <w:bCs/>
          <w:sz w:val="24"/>
          <w:szCs w:val="24"/>
        </w:rPr>
      </w:pPr>
      <w:r w:rsidRPr="0058796D">
        <w:rPr>
          <w:b/>
          <w:bCs/>
          <w:sz w:val="24"/>
          <w:szCs w:val="24"/>
        </w:rPr>
        <w:t>Рабочая группа по перевозкам опасных грузов</w:t>
      </w:r>
    </w:p>
    <w:p w:rsidR="0058796D" w:rsidRPr="0058796D" w:rsidRDefault="0058796D" w:rsidP="0058796D">
      <w:pPr>
        <w:rPr>
          <w:b/>
          <w:bCs/>
        </w:rPr>
      </w:pPr>
      <w:r w:rsidRPr="0058796D">
        <w:rPr>
          <w:b/>
          <w:bCs/>
        </w:rPr>
        <w:t>103-я сессия</w:t>
      </w:r>
    </w:p>
    <w:p w:rsidR="0058796D" w:rsidRPr="0058796D" w:rsidRDefault="0058796D" w:rsidP="0058796D">
      <w:r w:rsidRPr="0058796D">
        <w:t>Женева, 6−10 ноября 2017 года</w:t>
      </w:r>
    </w:p>
    <w:p w:rsidR="0058796D" w:rsidRPr="0058796D" w:rsidRDefault="0058796D" w:rsidP="0058796D">
      <w:pPr>
        <w:pStyle w:val="HChGR"/>
      </w:pPr>
      <w:r w:rsidRPr="0058796D">
        <w:tab/>
      </w:r>
      <w:r w:rsidRPr="0058796D">
        <w:tab/>
        <w:t>Доклад Рабочей группы о работе ее 103-й сессии,</w:t>
      </w:r>
    </w:p>
    <w:p w:rsidR="0058796D" w:rsidRPr="0058796D" w:rsidRDefault="0058796D" w:rsidP="0058796D">
      <w:pPr>
        <w:pStyle w:val="SingleTxtGR"/>
      </w:pPr>
      <w:proofErr w:type="gramStart"/>
      <w:r w:rsidRPr="0058796D">
        <w:t>состоявшейся в Женеве 6−10 ноября 2017 года</w:t>
      </w:r>
      <w:proofErr w:type="gramEnd"/>
    </w:p>
    <w:p w:rsidR="00AA5837" w:rsidRDefault="00AA5837" w:rsidP="00392661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AA5837" w:rsidRDefault="00AA5837" w:rsidP="00392661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proofErr w:type="gramStart"/>
      <w:r>
        <w:rPr>
          <w:i/>
          <w:sz w:val="18"/>
        </w:rPr>
        <w:tab/>
        <w:t>С</w:t>
      </w:r>
      <w:proofErr w:type="gramEnd"/>
      <w:r>
        <w:rPr>
          <w:i/>
          <w:sz w:val="18"/>
        </w:rPr>
        <w:t>тр.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F20A7">
        <w:tab/>
      </w:r>
      <w:r w:rsidRPr="00AA5837">
        <w:rPr>
          <w:lang w:val="en-US"/>
        </w:rPr>
        <w:t>I</w:t>
      </w:r>
      <w:r w:rsidRPr="00737667">
        <w:t>.</w:t>
      </w:r>
      <w:r w:rsidRPr="00737667">
        <w:tab/>
      </w:r>
      <w:r w:rsidR="00737667" w:rsidRPr="0058796D">
        <w:t>Участники</w:t>
      </w:r>
      <w:r w:rsidR="00737667" w:rsidRPr="004F20A7">
        <w:t xml:space="preserve"> </w:t>
      </w:r>
      <w:r w:rsidRPr="00737667">
        <w:tab/>
      </w:r>
      <w:r w:rsidRPr="00737667">
        <w:tab/>
        <w:t>1–5</w:t>
      </w:r>
      <w:r w:rsidRPr="00737667">
        <w:tab/>
        <w:t>4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AA5837">
        <w:rPr>
          <w:lang w:val="en-GB"/>
        </w:rPr>
        <w:t>II</w:t>
      </w:r>
      <w:r w:rsidRPr="00737667">
        <w:t>.</w:t>
      </w:r>
      <w:r w:rsidRPr="00737667">
        <w:tab/>
      </w:r>
      <w:r w:rsidR="00737667" w:rsidRPr="0058796D">
        <w:t>Утверждение повестки дня (пункт 1 повестки дня)</w:t>
      </w:r>
      <w:r w:rsidR="00737667" w:rsidRPr="00737667">
        <w:t xml:space="preserve"> </w:t>
      </w:r>
      <w:r w:rsidRPr="00737667">
        <w:tab/>
      </w:r>
      <w:r w:rsidRPr="00737667">
        <w:tab/>
        <w:t>6</w:t>
      </w:r>
      <w:r w:rsidRPr="00737667">
        <w:tab/>
        <w:t>4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AA5837">
        <w:rPr>
          <w:lang w:val="en-GB"/>
        </w:rPr>
        <w:t>III</w:t>
      </w:r>
      <w:r w:rsidRPr="00737667">
        <w:t>.</w:t>
      </w:r>
      <w:r w:rsidRPr="00737667">
        <w:tab/>
      </w:r>
      <w:r w:rsidR="00737667" w:rsidRPr="0058796D">
        <w:t xml:space="preserve">Семьдесят девятая сессия Комитета по внутреннему транспорту </w:t>
      </w:r>
      <w:r w:rsidR="00737667" w:rsidRPr="00737667">
        <w:br/>
      </w:r>
      <w:r w:rsidR="00737667" w:rsidRPr="00737667">
        <w:tab/>
      </w:r>
      <w:r w:rsidR="00737667" w:rsidRPr="00737667">
        <w:tab/>
      </w:r>
      <w:r w:rsidR="00737667" w:rsidRPr="0058796D">
        <w:t>(пункт 2 повестки дня)</w:t>
      </w:r>
      <w:r w:rsidR="00737667" w:rsidRPr="00737667">
        <w:t xml:space="preserve"> </w:t>
      </w:r>
      <w:r w:rsidRPr="00737667">
        <w:tab/>
      </w:r>
      <w:r w:rsidRPr="00737667">
        <w:tab/>
        <w:t>7–10</w:t>
      </w:r>
      <w:r w:rsidRPr="00737667">
        <w:tab/>
        <w:t>4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AA5837">
        <w:rPr>
          <w:lang w:val="en-GB"/>
        </w:rPr>
        <w:t>IV</w:t>
      </w:r>
      <w:r w:rsidRPr="00737667">
        <w:t>.</w:t>
      </w:r>
      <w:r w:rsidRPr="00737667">
        <w:tab/>
      </w:r>
      <w:r w:rsidR="00737667" w:rsidRPr="0058796D">
        <w:t>Сост</w:t>
      </w:r>
      <w:r w:rsidR="00737667">
        <w:t>ояние Европейского соглашения о</w:t>
      </w:r>
      <w:r w:rsidR="00737667">
        <w:rPr>
          <w:lang w:val="en-US"/>
        </w:rPr>
        <w:t> </w:t>
      </w:r>
      <w:r w:rsidR="00737667" w:rsidRPr="0058796D">
        <w:t xml:space="preserve">международной дорожной </w:t>
      </w:r>
      <w:r w:rsidR="00737667">
        <w:br/>
      </w:r>
      <w:r w:rsidR="00737667">
        <w:tab/>
      </w:r>
      <w:r w:rsidR="00737667">
        <w:tab/>
      </w:r>
      <w:r w:rsidR="00737667" w:rsidRPr="0058796D">
        <w:t xml:space="preserve">перевозке опасных грузов (ДОПОГ) и связанные с этим вопросы </w:t>
      </w:r>
      <w:r w:rsidR="00737667" w:rsidRPr="00737667">
        <w:br/>
      </w:r>
      <w:r w:rsidR="00737667" w:rsidRPr="00737667">
        <w:tab/>
      </w:r>
      <w:r w:rsidR="00737667" w:rsidRPr="00737667">
        <w:tab/>
      </w:r>
      <w:r w:rsidR="00737667" w:rsidRPr="0058796D">
        <w:t>(пункт 3 повестки дня)</w:t>
      </w:r>
      <w:r w:rsidR="00737667" w:rsidRPr="00737667">
        <w:t xml:space="preserve"> </w:t>
      </w:r>
      <w:r w:rsidRPr="00737667">
        <w:tab/>
      </w:r>
      <w:r w:rsidRPr="00737667">
        <w:tab/>
        <w:t>12–17</w:t>
      </w:r>
      <w:r w:rsidRPr="00737667">
        <w:tab/>
        <w:t>5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AA5837">
        <w:rPr>
          <w:lang w:val="en-GB"/>
        </w:rPr>
        <w:t>A</w:t>
      </w:r>
      <w:r w:rsidRPr="00737667">
        <w:t>.</w:t>
      </w:r>
      <w:r w:rsidRPr="00737667">
        <w:tab/>
      </w:r>
      <w:r w:rsidR="00737667" w:rsidRPr="0058796D">
        <w:t xml:space="preserve">Состояние Соглашения и Протокола о внесении поправок </w:t>
      </w:r>
      <w:r w:rsidR="00737667" w:rsidRPr="00737667">
        <w:br/>
      </w:r>
      <w:r w:rsidR="00737667" w:rsidRPr="00737667">
        <w:tab/>
      </w:r>
      <w:r w:rsidR="00737667" w:rsidRPr="00737667">
        <w:tab/>
      </w:r>
      <w:r w:rsidR="00737667" w:rsidRPr="00737667">
        <w:tab/>
      </w:r>
      <w:r w:rsidR="00737667" w:rsidRPr="0058796D">
        <w:t>1993 года</w:t>
      </w:r>
      <w:r w:rsidR="00737667" w:rsidRPr="00737667">
        <w:t xml:space="preserve"> </w:t>
      </w:r>
      <w:r w:rsidRPr="00737667">
        <w:tab/>
      </w:r>
      <w:r w:rsidRPr="00737667">
        <w:tab/>
        <w:t>11–12</w:t>
      </w:r>
      <w:r w:rsidRPr="00737667">
        <w:tab/>
        <w:t>5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AA5837">
        <w:rPr>
          <w:lang w:val="en-GB"/>
        </w:rPr>
        <w:t>B</w:t>
      </w:r>
      <w:r w:rsidRPr="00737667">
        <w:t>.</w:t>
      </w:r>
      <w:r w:rsidRPr="00737667">
        <w:tab/>
      </w:r>
      <w:r w:rsidR="00737667" w:rsidRPr="0058796D">
        <w:t>Исправления к изданию ДОПОГ 2017 год</w:t>
      </w:r>
      <w:r w:rsidR="000E3786">
        <w:t>а</w:t>
      </w:r>
      <w:r w:rsidR="00737667" w:rsidRPr="00737667">
        <w:t xml:space="preserve"> </w:t>
      </w:r>
      <w:r w:rsidRPr="00737667">
        <w:tab/>
      </w:r>
      <w:r w:rsidRPr="00737667">
        <w:tab/>
        <w:t>13–17</w:t>
      </w:r>
      <w:r w:rsidRPr="00737667">
        <w:tab/>
        <w:t>5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AA5837">
        <w:rPr>
          <w:lang w:val="en-GB"/>
        </w:rPr>
        <w:t>V</w:t>
      </w:r>
      <w:r w:rsidRPr="00737667">
        <w:t>.</w:t>
      </w:r>
      <w:r w:rsidRPr="00737667">
        <w:tab/>
      </w:r>
      <w:r w:rsidR="00737667" w:rsidRPr="0058796D">
        <w:t xml:space="preserve">Работа Совместного совещания </w:t>
      </w:r>
      <w:proofErr w:type="spellStart"/>
      <w:r w:rsidR="00737667" w:rsidRPr="0058796D">
        <w:t>МПОГ</w:t>
      </w:r>
      <w:proofErr w:type="spellEnd"/>
      <w:r w:rsidR="00737667" w:rsidRPr="0058796D">
        <w:t>/</w:t>
      </w:r>
      <w:proofErr w:type="spellStart"/>
      <w:r w:rsidR="00737667" w:rsidRPr="0058796D">
        <w:t>ДОПОГ</w:t>
      </w:r>
      <w:proofErr w:type="spellEnd"/>
      <w:r w:rsidR="00737667" w:rsidRPr="0058796D">
        <w:t>/</w:t>
      </w:r>
      <w:proofErr w:type="spellStart"/>
      <w:r w:rsidR="00737667" w:rsidRPr="0058796D">
        <w:t>ВОПОГ</w:t>
      </w:r>
      <w:proofErr w:type="spellEnd"/>
      <w:r w:rsidR="00737667" w:rsidRPr="0058796D">
        <w:t xml:space="preserve"> </w:t>
      </w:r>
      <w:r w:rsidR="00737667" w:rsidRPr="00737667">
        <w:br/>
      </w:r>
      <w:r w:rsidR="00737667">
        <w:tab/>
      </w:r>
      <w:r w:rsidR="00737667">
        <w:tab/>
      </w:r>
      <w:r w:rsidR="00737667" w:rsidRPr="0058796D">
        <w:t>(пункт 4 повестки дня)</w:t>
      </w:r>
      <w:r w:rsidR="00737667" w:rsidRPr="00737667">
        <w:t xml:space="preserve"> </w:t>
      </w:r>
      <w:r w:rsidR="00A73B5B">
        <w:tab/>
      </w:r>
      <w:r w:rsidR="00A73B5B">
        <w:tab/>
        <w:t>18–30</w:t>
      </w:r>
      <w:r w:rsidR="00A73B5B">
        <w:tab/>
        <w:t>6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AA5837">
        <w:rPr>
          <w:lang w:val="en-GB"/>
        </w:rPr>
        <w:t>A</w:t>
      </w:r>
      <w:r w:rsidRPr="00737667">
        <w:t>.</w:t>
      </w:r>
      <w:r w:rsidRPr="00737667">
        <w:tab/>
      </w:r>
      <w:r w:rsidR="00737667" w:rsidRPr="0058796D">
        <w:t>Общие вопросы</w:t>
      </w:r>
      <w:r w:rsidR="00737667" w:rsidRPr="00737667">
        <w:t xml:space="preserve"> </w:t>
      </w:r>
      <w:r w:rsidRPr="00737667">
        <w:tab/>
      </w:r>
      <w:r w:rsidRPr="00737667">
        <w:tab/>
        <w:t>18</w:t>
      </w:r>
      <w:r w:rsidRPr="00737667">
        <w:tab/>
        <w:t>6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AA5837">
        <w:rPr>
          <w:lang w:val="en-GB"/>
        </w:rPr>
        <w:t>B</w:t>
      </w:r>
      <w:r w:rsidRPr="00737667">
        <w:t>.</w:t>
      </w:r>
      <w:r w:rsidRPr="00737667">
        <w:tab/>
      </w:r>
      <w:r w:rsidR="00737667" w:rsidRPr="0058796D">
        <w:t>Конкретные вопросы</w:t>
      </w:r>
      <w:r w:rsidR="00737667" w:rsidRPr="00737667">
        <w:t xml:space="preserve"> </w:t>
      </w:r>
      <w:r w:rsidRPr="00737667">
        <w:tab/>
      </w:r>
      <w:r w:rsidRPr="00737667">
        <w:tab/>
        <w:t>19–30</w:t>
      </w:r>
      <w:r w:rsidRPr="00737667">
        <w:tab/>
        <w:t>6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737667">
        <w:tab/>
        <w:t>1.</w:t>
      </w:r>
      <w:r w:rsidRPr="00737667">
        <w:tab/>
      </w:r>
      <w:r w:rsidR="00737667" w:rsidRPr="0058796D">
        <w:t>Пункт 2.1.3.5.5</w:t>
      </w:r>
      <w:r w:rsidR="00737667" w:rsidRPr="00737667">
        <w:t xml:space="preserve"> </w:t>
      </w:r>
      <w:r w:rsidRPr="00737667">
        <w:tab/>
      </w:r>
      <w:r w:rsidRPr="00737667">
        <w:tab/>
        <w:t>19</w:t>
      </w:r>
      <w:r w:rsidRPr="00737667">
        <w:tab/>
        <w:t>6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737667">
        <w:tab/>
        <w:t>2.</w:t>
      </w:r>
      <w:r w:rsidRPr="00737667">
        <w:tab/>
      </w:r>
      <w:r w:rsidR="00737667" w:rsidRPr="0058796D">
        <w:t>Специальное положение 660</w:t>
      </w:r>
      <w:r w:rsidR="00737667" w:rsidRPr="00737667">
        <w:t xml:space="preserve"> </w:t>
      </w:r>
      <w:r w:rsidRPr="00737667">
        <w:tab/>
      </w:r>
      <w:r w:rsidRPr="00737667">
        <w:tab/>
        <w:t>20</w:t>
      </w:r>
      <w:r w:rsidRPr="00737667">
        <w:tab/>
        <w:t>6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737667">
        <w:tab/>
        <w:t>3.</w:t>
      </w:r>
      <w:r w:rsidRPr="00737667">
        <w:tab/>
      </w:r>
      <w:r w:rsidR="00737667" w:rsidRPr="0058796D">
        <w:t xml:space="preserve">Размещение больших знаков опасности на грузовых </w:t>
      </w:r>
      <w:r w:rsidR="00737667" w:rsidRPr="00737667">
        <w:br/>
      </w:r>
      <w:r w:rsidR="00737667" w:rsidRPr="00737667">
        <w:tab/>
      </w:r>
      <w:r w:rsidR="00737667" w:rsidRPr="00737667">
        <w:tab/>
      </w:r>
      <w:r w:rsidR="00737667" w:rsidRPr="00737667">
        <w:tab/>
      </w:r>
      <w:r w:rsidR="00737667" w:rsidRPr="00737667">
        <w:tab/>
      </w:r>
      <w:r w:rsidR="00737667" w:rsidRPr="0058796D">
        <w:t xml:space="preserve">транспортных единицах, в которых установлены батареи </w:t>
      </w:r>
      <w:r w:rsidR="00737667" w:rsidRPr="00737667">
        <w:br/>
      </w:r>
      <w:r w:rsidR="00737667" w:rsidRPr="00737667">
        <w:tab/>
      </w:r>
      <w:r w:rsidR="00737667" w:rsidRPr="00737667">
        <w:tab/>
      </w:r>
      <w:r w:rsidR="00737667" w:rsidRPr="00737667">
        <w:tab/>
      </w:r>
      <w:r w:rsidR="00737667" w:rsidRPr="00737667">
        <w:tab/>
      </w:r>
      <w:r w:rsidR="00737667" w:rsidRPr="0058796D">
        <w:t>(№ ООН 3536)</w:t>
      </w:r>
      <w:r w:rsidR="00737667" w:rsidRPr="00737667">
        <w:t xml:space="preserve"> </w:t>
      </w:r>
      <w:r w:rsidRPr="00737667">
        <w:tab/>
      </w:r>
      <w:r w:rsidRPr="00737667">
        <w:tab/>
        <w:t>21</w:t>
      </w:r>
      <w:r w:rsidRPr="00737667">
        <w:tab/>
        <w:t>6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737667">
        <w:tab/>
        <w:t>4.</w:t>
      </w:r>
      <w:r w:rsidRPr="00737667">
        <w:tab/>
      </w:r>
      <w:r w:rsidR="00737667" w:rsidRPr="0058796D">
        <w:t xml:space="preserve">Свиные туши, инфицированные вирусом африканской </w:t>
      </w:r>
      <w:r w:rsidR="00737667" w:rsidRPr="00737667">
        <w:br/>
      </w:r>
      <w:r w:rsidR="00737667" w:rsidRPr="00737667">
        <w:tab/>
      </w:r>
      <w:r w:rsidR="00737667" w:rsidRPr="00737667">
        <w:tab/>
      </w:r>
      <w:r w:rsidR="00737667" w:rsidRPr="00737667">
        <w:tab/>
      </w:r>
      <w:r w:rsidR="00737667" w:rsidRPr="00737667">
        <w:tab/>
      </w:r>
      <w:r w:rsidR="00737667" w:rsidRPr="0058796D">
        <w:t>чумы свиней</w:t>
      </w:r>
      <w:r w:rsidR="00737667" w:rsidRPr="00737667">
        <w:t xml:space="preserve"> </w:t>
      </w:r>
      <w:r w:rsidR="00A73B5B">
        <w:tab/>
      </w:r>
      <w:r w:rsidR="00A73B5B">
        <w:tab/>
        <w:t>22–23</w:t>
      </w:r>
      <w:r w:rsidR="00A73B5B">
        <w:tab/>
        <w:t>7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737667">
        <w:tab/>
        <w:t>5.</w:t>
      </w:r>
      <w:r w:rsidRPr="00737667">
        <w:tab/>
      </w:r>
      <w:r w:rsidR="00737667" w:rsidRPr="0058796D">
        <w:t>Обозначение подпунктов в пункте 4.3.3.5</w:t>
      </w:r>
      <w:r w:rsidR="00737667" w:rsidRPr="00737667">
        <w:t xml:space="preserve"> </w:t>
      </w:r>
      <w:r w:rsidR="00A73B5B">
        <w:tab/>
      </w:r>
      <w:r w:rsidR="00A73B5B">
        <w:tab/>
        <w:t>24</w:t>
      </w:r>
      <w:r w:rsidR="00A73B5B">
        <w:tab/>
        <w:t>7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737667">
        <w:tab/>
        <w:t>6.</w:t>
      </w:r>
      <w:r w:rsidRPr="00737667">
        <w:tab/>
      </w:r>
      <w:r w:rsidR="00737667" w:rsidRPr="0058796D">
        <w:t>Ссылки на стандарты</w:t>
      </w:r>
      <w:r w:rsidR="00737667" w:rsidRPr="00737667">
        <w:t xml:space="preserve"> </w:t>
      </w:r>
      <w:r w:rsidR="00A73B5B">
        <w:tab/>
      </w:r>
      <w:r w:rsidR="00A73B5B">
        <w:tab/>
        <w:t>25</w:t>
      </w:r>
      <w:r w:rsidR="00A73B5B">
        <w:tab/>
        <w:t>7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lastRenderedPageBreak/>
        <w:tab/>
      </w:r>
      <w:r w:rsidRPr="00737667">
        <w:tab/>
      </w:r>
      <w:r w:rsidRPr="00737667">
        <w:tab/>
        <w:t>7.</w:t>
      </w:r>
      <w:r w:rsidRPr="00737667">
        <w:tab/>
      </w:r>
      <w:r w:rsidR="00737667" w:rsidRPr="0058796D">
        <w:t>Пункт 5.3.2.1.6</w:t>
      </w:r>
      <w:r w:rsidR="00737667" w:rsidRPr="00737667">
        <w:t xml:space="preserve"> </w:t>
      </w:r>
      <w:r w:rsidRPr="00737667">
        <w:tab/>
      </w:r>
      <w:r w:rsidRPr="00737667">
        <w:tab/>
        <w:t>26–27</w:t>
      </w:r>
      <w:r w:rsidRPr="00737667">
        <w:tab/>
        <w:t>7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737667">
        <w:tab/>
        <w:t>8.</w:t>
      </w:r>
      <w:r w:rsidRPr="00737667">
        <w:tab/>
      </w:r>
      <w:r w:rsidR="00737667" w:rsidRPr="0058796D">
        <w:t xml:space="preserve">Тексты, оставленные в квадратных скобках </w:t>
      </w:r>
      <w:r w:rsidR="00737667" w:rsidRPr="00737667">
        <w:br/>
      </w:r>
      <w:r w:rsidR="00737667" w:rsidRPr="00737667">
        <w:tab/>
      </w:r>
      <w:r w:rsidR="00737667" w:rsidRPr="00737667">
        <w:tab/>
      </w:r>
      <w:r w:rsidR="00737667" w:rsidRPr="00737667">
        <w:tab/>
      </w:r>
      <w:r w:rsidR="00737667" w:rsidRPr="00737667">
        <w:tab/>
      </w:r>
      <w:r w:rsidR="00737667" w:rsidRPr="0058796D">
        <w:t>Совместным совещанием</w:t>
      </w:r>
      <w:r w:rsidR="00737667" w:rsidRPr="00737667">
        <w:t xml:space="preserve"> </w:t>
      </w:r>
      <w:r w:rsidRPr="00737667">
        <w:tab/>
      </w:r>
      <w:r w:rsidRPr="00737667">
        <w:tab/>
        <w:t>28</w:t>
      </w:r>
      <w:r w:rsidRPr="00737667">
        <w:tab/>
        <w:t>7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737667">
        <w:tab/>
        <w:t>9.</w:t>
      </w:r>
      <w:r w:rsidRPr="00737667">
        <w:tab/>
      </w:r>
      <w:r w:rsidR="00737667" w:rsidRPr="0058796D">
        <w:t>Раздел 7.1.7</w:t>
      </w:r>
      <w:r w:rsidR="00737667" w:rsidRPr="00737667">
        <w:t xml:space="preserve"> </w:t>
      </w:r>
      <w:r w:rsidR="00A73B5B">
        <w:tab/>
      </w:r>
      <w:r w:rsidR="00A73B5B">
        <w:tab/>
        <w:t>29</w:t>
      </w:r>
      <w:r w:rsidR="00A73B5B">
        <w:tab/>
        <w:t>8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737667">
        <w:tab/>
        <w:t>10.</w:t>
      </w:r>
      <w:r w:rsidRPr="00737667">
        <w:tab/>
      </w:r>
      <w:r w:rsidR="00737667" w:rsidRPr="0058796D">
        <w:t>Примечание в разделе 2.1.5</w:t>
      </w:r>
      <w:r w:rsidR="00737667" w:rsidRPr="00737667">
        <w:t xml:space="preserve"> </w:t>
      </w:r>
      <w:r w:rsidR="00A73B5B">
        <w:tab/>
      </w:r>
      <w:r w:rsidR="00A73B5B">
        <w:tab/>
        <w:t>30</w:t>
      </w:r>
      <w:r w:rsidR="00A73B5B">
        <w:tab/>
        <w:t>8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AA5837">
        <w:rPr>
          <w:lang w:val="en-GB"/>
        </w:rPr>
        <w:t>VI</w:t>
      </w:r>
      <w:r w:rsidRPr="00737667">
        <w:t>.</w:t>
      </w:r>
      <w:r w:rsidRPr="00737667">
        <w:tab/>
      </w:r>
      <w:r w:rsidR="00737667" w:rsidRPr="0058796D">
        <w:t>Предложения о внесении поправок в приложения A и</w:t>
      </w:r>
      <w:r w:rsidR="00737667" w:rsidRPr="0058796D">
        <w:rPr>
          <w:lang w:val="en-US"/>
        </w:rPr>
        <w:t> </w:t>
      </w:r>
      <w:r w:rsidR="00737667" w:rsidRPr="0058796D">
        <w:t xml:space="preserve">B к ДОПОГ </w:t>
      </w:r>
      <w:r w:rsidR="00737667" w:rsidRPr="00737667">
        <w:br/>
      </w:r>
      <w:r w:rsidR="00737667" w:rsidRPr="00737667">
        <w:tab/>
      </w:r>
      <w:r w:rsidR="00737667" w:rsidRPr="00737667">
        <w:tab/>
      </w:r>
      <w:r w:rsidR="00737667" w:rsidRPr="0058796D">
        <w:t>(пункт 5 повестки дня)</w:t>
      </w:r>
      <w:r w:rsidR="00737667" w:rsidRPr="00737667">
        <w:t xml:space="preserve"> </w:t>
      </w:r>
      <w:r w:rsidR="00A73B5B">
        <w:tab/>
      </w:r>
      <w:r w:rsidR="00A73B5B">
        <w:tab/>
        <w:t>31–58</w:t>
      </w:r>
      <w:r w:rsidR="00A73B5B">
        <w:tab/>
        <w:t>8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AA5837">
        <w:rPr>
          <w:lang w:val="en-GB"/>
        </w:rPr>
        <w:t>A</w:t>
      </w:r>
      <w:r w:rsidRPr="00737667">
        <w:t>.</w:t>
      </w:r>
      <w:r w:rsidRPr="00737667">
        <w:tab/>
      </w:r>
      <w:r w:rsidR="00737667" w:rsidRPr="0058796D">
        <w:t>Конструкция и допущение к перевозке транспортных средс</w:t>
      </w:r>
      <w:r w:rsidR="00737667">
        <w:t>тв</w:t>
      </w:r>
      <w:r w:rsidR="00737667" w:rsidRPr="00737667">
        <w:t xml:space="preserve"> </w:t>
      </w:r>
      <w:r w:rsidR="00A73B5B">
        <w:tab/>
      </w:r>
      <w:r w:rsidR="00A73B5B">
        <w:tab/>
        <w:t>31–45</w:t>
      </w:r>
      <w:r w:rsidR="00A73B5B">
        <w:tab/>
        <w:t>8</w:t>
      </w:r>
    </w:p>
    <w:p w:rsidR="00AA5837" w:rsidRPr="00737667" w:rsidRDefault="00AA5837" w:rsidP="007376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737667">
        <w:tab/>
        <w:t>1.</w:t>
      </w:r>
      <w:r w:rsidRPr="00737667">
        <w:tab/>
      </w:r>
      <w:r w:rsidR="00737667" w:rsidRPr="0058796D">
        <w:t xml:space="preserve">Освобождение от требования в отношении первого осмотра </w:t>
      </w:r>
      <w:r w:rsidR="00737667">
        <w:br/>
      </w:r>
      <w:r w:rsidR="00737667">
        <w:tab/>
      </w:r>
      <w:r w:rsidR="00737667">
        <w:tab/>
      </w:r>
      <w:r w:rsidR="00737667">
        <w:tab/>
      </w:r>
      <w:r w:rsidR="00737667">
        <w:tab/>
      </w:r>
      <w:r w:rsidR="00737667" w:rsidRPr="0058796D">
        <w:t xml:space="preserve">транспортных средств </w:t>
      </w:r>
      <w:proofErr w:type="spellStart"/>
      <w:r w:rsidR="00737667" w:rsidRPr="0058796D">
        <w:t>EX</w:t>
      </w:r>
      <w:proofErr w:type="spellEnd"/>
      <w:r w:rsidR="00737667" w:rsidRPr="0058796D">
        <w:t>/</w:t>
      </w:r>
      <w:proofErr w:type="spellStart"/>
      <w:r w:rsidR="00737667" w:rsidRPr="0058796D">
        <w:t>II</w:t>
      </w:r>
      <w:proofErr w:type="spellEnd"/>
      <w:r w:rsidR="00737667" w:rsidRPr="0058796D">
        <w:t xml:space="preserve">, </w:t>
      </w:r>
      <w:proofErr w:type="spellStart"/>
      <w:r w:rsidR="00737667" w:rsidRPr="0058796D">
        <w:t>EX</w:t>
      </w:r>
      <w:proofErr w:type="spellEnd"/>
      <w:r w:rsidR="00737667" w:rsidRPr="0058796D">
        <w:t>/</w:t>
      </w:r>
      <w:proofErr w:type="spellStart"/>
      <w:r w:rsidR="00737667" w:rsidRPr="0058796D">
        <w:t>III</w:t>
      </w:r>
      <w:proofErr w:type="spellEnd"/>
      <w:r w:rsidR="00737667" w:rsidRPr="0058796D">
        <w:t xml:space="preserve">, </w:t>
      </w:r>
      <w:proofErr w:type="spellStart"/>
      <w:r w:rsidR="00737667" w:rsidRPr="0058796D">
        <w:t>FL</w:t>
      </w:r>
      <w:proofErr w:type="spellEnd"/>
      <w:r w:rsidR="00737667" w:rsidRPr="0058796D">
        <w:t xml:space="preserve"> и </w:t>
      </w:r>
      <w:proofErr w:type="spellStart"/>
      <w:r w:rsidR="00737667" w:rsidRPr="0058796D">
        <w:t>AT</w:t>
      </w:r>
      <w:proofErr w:type="spellEnd"/>
      <w:r w:rsidR="00737667" w:rsidRPr="0058796D">
        <w:t xml:space="preserve"> и </w:t>
      </w:r>
      <w:proofErr w:type="spellStart"/>
      <w:r w:rsidR="00737667" w:rsidRPr="0058796D">
        <w:t>MEMU</w:t>
      </w:r>
      <w:proofErr w:type="spellEnd"/>
      <w:r w:rsidR="00737667" w:rsidRPr="0058796D">
        <w:t xml:space="preserve">, </w:t>
      </w:r>
      <w:r w:rsidR="00737667">
        <w:br/>
      </w:r>
      <w:r w:rsidR="00737667">
        <w:tab/>
      </w:r>
      <w:r w:rsidR="00737667">
        <w:tab/>
      </w:r>
      <w:r w:rsidR="00737667">
        <w:tab/>
      </w:r>
      <w:r w:rsidR="00737667">
        <w:tab/>
      </w:r>
      <w:r w:rsidR="00737667" w:rsidRPr="0058796D">
        <w:t xml:space="preserve">тип которых официально утвержден согласно </w:t>
      </w:r>
      <w:r w:rsidR="00B31ED8">
        <w:br/>
      </w:r>
      <w:r w:rsidR="00B31ED8">
        <w:tab/>
      </w:r>
      <w:r w:rsidR="00B31ED8">
        <w:tab/>
      </w:r>
      <w:r w:rsidR="00B31ED8">
        <w:tab/>
      </w:r>
      <w:r w:rsidR="00B31ED8">
        <w:tab/>
      </w:r>
      <w:r w:rsidR="00737667" w:rsidRPr="0058796D">
        <w:t xml:space="preserve">подразделу 9.1.2.2 и на которые выдана декларация </w:t>
      </w:r>
      <w:r w:rsidR="00B31ED8">
        <w:br/>
      </w:r>
      <w:r w:rsidR="00B31ED8">
        <w:tab/>
      </w:r>
      <w:r w:rsidR="00B31ED8">
        <w:tab/>
      </w:r>
      <w:r w:rsidR="00B31ED8">
        <w:tab/>
      </w:r>
      <w:r w:rsidR="00B31ED8">
        <w:tab/>
      </w:r>
      <w:r w:rsidR="00737667" w:rsidRPr="0058796D">
        <w:t>о</w:t>
      </w:r>
      <w:r w:rsidR="00737667" w:rsidRPr="0058796D">
        <w:rPr>
          <w:lang w:val="en-US"/>
        </w:rPr>
        <w:t> </w:t>
      </w:r>
      <w:r w:rsidR="00737667" w:rsidRPr="0058796D">
        <w:t>соответствии требованиям главы 9.2</w:t>
      </w:r>
      <w:r w:rsidR="00B31ED8">
        <w:t xml:space="preserve"> </w:t>
      </w:r>
      <w:r w:rsidR="00A73B5B">
        <w:tab/>
      </w:r>
      <w:r w:rsidR="00A73B5B">
        <w:tab/>
        <w:t>31</w:t>
      </w:r>
      <w:r w:rsidR="00A73B5B">
        <w:tab/>
        <w:t>8</w:t>
      </w:r>
    </w:p>
    <w:p w:rsidR="00AA5837" w:rsidRPr="00B31ED8" w:rsidRDefault="00AA5837" w:rsidP="00B31E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37667">
        <w:tab/>
      </w:r>
      <w:r w:rsidRPr="00737667">
        <w:tab/>
      </w:r>
      <w:r w:rsidRPr="00737667">
        <w:tab/>
      </w:r>
      <w:r w:rsidRPr="00B31ED8">
        <w:t>2.</w:t>
      </w:r>
      <w:r w:rsidRPr="00B31ED8">
        <w:tab/>
      </w:r>
      <w:r w:rsidR="00B31ED8" w:rsidRPr="0058796D">
        <w:t xml:space="preserve">Транспортные средства, отвечающие требованию </w:t>
      </w:r>
      <w:r w:rsidR="00B31ED8">
        <w:br/>
      </w:r>
      <w:r w:rsidR="00B31ED8">
        <w:tab/>
      </w:r>
      <w:r w:rsidR="00B31ED8">
        <w:tab/>
      </w:r>
      <w:r w:rsidR="00B31ED8">
        <w:tab/>
      </w:r>
      <w:r w:rsidR="00B31ED8">
        <w:tab/>
      </w:r>
      <w:r w:rsidR="00B31ED8" w:rsidRPr="0058796D">
        <w:t>пункта 9.2.2.2.2 в</w:t>
      </w:r>
      <w:r w:rsidR="00B31ED8" w:rsidRPr="0058796D">
        <w:rPr>
          <w:lang w:val="en-US"/>
        </w:rPr>
        <w:t> </w:t>
      </w:r>
      <w:r w:rsidR="00B31ED8" w:rsidRPr="0058796D">
        <w:t>отношении дополнительной защиты</w:t>
      </w:r>
      <w:r w:rsidR="00B31ED8">
        <w:t xml:space="preserve"> </w:t>
      </w:r>
      <w:r w:rsidRPr="00B31ED8">
        <w:tab/>
      </w:r>
      <w:r w:rsidRPr="00B31ED8">
        <w:tab/>
        <w:t>32–34</w:t>
      </w:r>
      <w:r w:rsidRPr="00B31ED8">
        <w:tab/>
        <w:t>8</w:t>
      </w:r>
    </w:p>
    <w:p w:rsidR="00AA5837" w:rsidRPr="00B31ED8" w:rsidRDefault="00AA5837" w:rsidP="00B31E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31ED8">
        <w:tab/>
      </w:r>
      <w:r w:rsidRPr="00B31ED8">
        <w:tab/>
      </w:r>
      <w:r w:rsidRPr="00B31ED8">
        <w:tab/>
        <w:t>3.</w:t>
      </w:r>
      <w:r w:rsidRPr="00B31ED8">
        <w:tab/>
      </w:r>
      <w:r w:rsidR="00B31ED8" w:rsidRPr="0058796D">
        <w:t xml:space="preserve">Дополнение применимых положений, указанных в таблице, </w:t>
      </w:r>
      <w:r w:rsidR="00B31ED8">
        <w:br/>
      </w:r>
      <w:r w:rsidR="00B31ED8">
        <w:tab/>
      </w:r>
      <w:r w:rsidR="00B31ED8">
        <w:tab/>
      </w:r>
      <w:r w:rsidR="00B31ED8">
        <w:tab/>
      </w:r>
      <w:r w:rsidR="00B31ED8">
        <w:tab/>
      </w:r>
      <w:r w:rsidR="00B31ED8" w:rsidRPr="0058796D">
        <w:t>приведенной в</w:t>
      </w:r>
      <w:r w:rsidR="00B31ED8" w:rsidRPr="0058796D">
        <w:rPr>
          <w:lang w:val="en-US"/>
        </w:rPr>
        <w:t> </w:t>
      </w:r>
      <w:r w:rsidR="00B31ED8" w:rsidRPr="0058796D">
        <w:t>пункте 9.2.1.1</w:t>
      </w:r>
      <w:r w:rsidR="00B31ED8">
        <w:t xml:space="preserve"> </w:t>
      </w:r>
      <w:r w:rsidRPr="00B31ED8">
        <w:tab/>
      </w:r>
      <w:r w:rsidRPr="00B31ED8">
        <w:tab/>
        <w:t>35–38</w:t>
      </w:r>
      <w:r w:rsidRPr="00B31ED8">
        <w:tab/>
        <w:t>8</w:t>
      </w:r>
    </w:p>
    <w:p w:rsidR="00AA5837" w:rsidRPr="00B31ED8" w:rsidRDefault="00AA5837" w:rsidP="00B31E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31ED8">
        <w:tab/>
      </w:r>
      <w:r w:rsidRPr="00B31ED8">
        <w:tab/>
      </w:r>
      <w:r w:rsidRPr="00B31ED8">
        <w:tab/>
        <w:t>4.</w:t>
      </w:r>
      <w:r w:rsidRPr="00B31ED8">
        <w:tab/>
      </w:r>
      <w:r w:rsidR="00B31ED8" w:rsidRPr="0058796D">
        <w:t>Пункт 9.2.2.2.1 – Кабели</w:t>
      </w:r>
      <w:r w:rsidR="00B31ED8">
        <w:t xml:space="preserve"> </w:t>
      </w:r>
      <w:r w:rsidR="00A73B5B">
        <w:tab/>
      </w:r>
      <w:r w:rsidR="00A73B5B">
        <w:tab/>
        <w:t>39</w:t>
      </w:r>
      <w:r w:rsidR="00A73B5B">
        <w:tab/>
        <w:t>9</w:t>
      </w:r>
    </w:p>
    <w:p w:rsidR="00AA5837" w:rsidRPr="00B31ED8" w:rsidRDefault="00AA5837" w:rsidP="00B31E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31ED8">
        <w:tab/>
      </w:r>
      <w:r w:rsidRPr="00B31ED8">
        <w:tab/>
      </w:r>
      <w:r w:rsidRPr="00B31ED8">
        <w:tab/>
        <w:t>5.</w:t>
      </w:r>
      <w:r w:rsidRPr="00B31ED8">
        <w:tab/>
      </w:r>
      <w:r w:rsidR="00B31ED8" w:rsidRPr="0058796D">
        <w:t xml:space="preserve">Условия для использования транспортных средств </w:t>
      </w:r>
      <w:r w:rsidR="00B31ED8">
        <w:br/>
      </w:r>
      <w:r w:rsidR="00B31ED8">
        <w:tab/>
      </w:r>
      <w:r w:rsidR="00B31ED8">
        <w:tab/>
      </w:r>
      <w:r w:rsidR="00B31ED8">
        <w:tab/>
      </w:r>
      <w:r w:rsidR="00B31ED8">
        <w:tab/>
      </w:r>
      <w:r w:rsidR="00B31ED8" w:rsidRPr="0058796D">
        <w:t xml:space="preserve">c электродвигателями, предназначенных для перевозки </w:t>
      </w:r>
      <w:r w:rsidR="00B31ED8">
        <w:br/>
      </w:r>
      <w:r w:rsidR="00B31ED8">
        <w:tab/>
      </w:r>
      <w:r w:rsidR="00B31ED8">
        <w:tab/>
      </w:r>
      <w:r w:rsidR="00B31ED8">
        <w:tab/>
      </w:r>
      <w:r w:rsidR="00B31ED8">
        <w:tab/>
      </w:r>
      <w:r w:rsidR="00B31ED8" w:rsidRPr="0058796D">
        <w:t>опасных грузов</w:t>
      </w:r>
      <w:r w:rsidR="00B31ED8">
        <w:t xml:space="preserve"> </w:t>
      </w:r>
      <w:r w:rsidR="00A73B5B">
        <w:tab/>
      </w:r>
      <w:r w:rsidR="00A73B5B">
        <w:tab/>
        <w:t>40–41</w:t>
      </w:r>
      <w:r w:rsidR="00A73B5B">
        <w:tab/>
        <w:t>9</w:t>
      </w:r>
    </w:p>
    <w:p w:rsidR="00AA5837" w:rsidRPr="00B31ED8" w:rsidRDefault="00AA5837" w:rsidP="00B31E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31ED8">
        <w:tab/>
      </w:r>
      <w:r w:rsidRPr="00B31ED8">
        <w:tab/>
      </w:r>
      <w:r w:rsidRPr="00B31ED8">
        <w:tab/>
        <w:t>6.</w:t>
      </w:r>
      <w:r w:rsidRPr="00B31ED8">
        <w:tab/>
      </w:r>
      <w:r w:rsidR="00B31ED8" w:rsidRPr="0058796D">
        <w:t xml:space="preserve">Уточнение требований пункта 9.3.4.2, предъявляемых </w:t>
      </w:r>
      <w:r w:rsidR="00B31ED8">
        <w:br/>
      </w:r>
      <w:r w:rsidR="00B31ED8">
        <w:tab/>
      </w:r>
      <w:r w:rsidR="00B31ED8">
        <w:tab/>
      </w:r>
      <w:r w:rsidR="00B31ED8">
        <w:tab/>
      </w:r>
      <w:r w:rsidR="00B31ED8">
        <w:tab/>
      </w:r>
      <w:r w:rsidR="00B31ED8" w:rsidRPr="0058796D">
        <w:t>к транс</w:t>
      </w:r>
      <w:r w:rsidR="00B31ED8" w:rsidRPr="00034D7E">
        <w:rPr>
          <w:bCs/>
        </w:rPr>
        <w:t xml:space="preserve">портным средствам </w:t>
      </w:r>
      <w:proofErr w:type="spellStart"/>
      <w:r w:rsidR="00B31ED8" w:rsidRPr="00034D7E">
        <w:rPr>
          <w:bCs/>
        </w:rPr>
        <w:t>EX</w:t>
      </w:r>
      <w:proofErr w:type="spellEnd"/>
      <w:r w:rsidR="00B31ED8" w:rsidRPr="00034D7E">
        <w:rPr>
          <w:bCs/>
        </w:rPr>
        <w:t>/</w:t>
      </w:r>
      <w:proofErr w:type="spellStart"/>
      <w:r w:rsidR="00B31ED8" w:rsidRPr="00034D7E">
        <w:rPr>
          <w:bCs/>
        </w:rPr>
        <w:t>III</w:t>
      </w:r>
      <w:proofErr w:type="spellEnd"/>
      <w:r w:rsidR="00B31ED8">
        <w:rPr>
          <w:bCs/>
        </w:rPr>
        <w:t xml:space="preserve"> </w:t>
      </w:r>
      <w:r w:rsidR="00A73B5B">
        <w:tab/>
      </w:r>
      <w:r w:rsidR="00A73B5B">
        <w:tab/>
        <w:t>42–45</w:t>
      </w:r>
      <w:r w:rsidR="00A73B5B">
        <w:tab/>
        <w:t>9</w:t>
      </w:r>
    </w:p>
    <w:p w:rsidR="00AA5837" w:rsidRPr="00B31ED8" w:rsidRDefault="00AA5837" w:rsidP="00B31E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31ED8">
        <w:tab/>
      </w:r>
      <w:r w:rsidRPr="00B31ED8">
        <w:tab/>
      </w:r>
      <w:r w:rsidRPr="00AA5837">
        <w:rPr>
          <w:lang w:val="en-GB"/>
        </w:rPr>
        <w:t>B</w:t>
      </w:r>
      <w:r w:rsidRPr="00B31ED8">
        <w:t>.</w:t>
      </w:r>
      <w:r w:rsidRPr="00B31ED8">
        <w:tab/>
      </w:r>
      <w:r w:rsidR="00B31ED8" w:rsidRPr="0058796D">
        <w:t>Различные предложения</w:t>
      </w:r>
      <w:r w:rsidR="00B31ED8">
        <w:t xml:space="preserve"> </w:t>
      </w:r>
      <w:r w:rsidR="00A73B5B">
        <w:tab/>
      </w:r>
      <w:r w:rsidR="00A73B5B">
        <w:tab/>
        <w:t>46–58</w:t>
      </w:r>
      <w:r w:rsidR="00A73B5B">
        <w:tab/>
        <w:t>10</w:t>
      </w:r>
    </w:p>
    <w:p w:rsidR="00AA5837" w:rsidRPr="00B31ED8" w:rsidRDefault="00AA5837" w:rsidP="00B31E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31ED8">
        <w:tab/>
      </w:r>
      <w:r w:rsidRPr="00B31ED8">
        <w:tab/>
      </w:r>
      <w:r w:rsidRPr="00B31ED8">
        <w:tab/>
        <w:t>1.</w:t>
      </w:r>
      <w:r w:rsidRPr="00B31ED8">
        <w:tab/>
      </w:r>
      <w:r w:rsidR="00B31ED8" w:rsidRPr="0058796D">
        <w:t xml:space="preserve">Изменение дополнительного положения CV36 </w:t>
      </w:r>
      <w:r w:rsidR="00B31ED8">
        <w:br/>
      </w:r>
      <w:r w:rsidR="00B31ED8">
        <w:tab/>
      </w:r>
      <w:r w:rsidR="00B31ED8">
        <w:tab/>
      </w:r>
      <w:r w:rsidR="00B31ED8">
        <w:tab/>
      </w:r>
      <w:r w:rsidR="00B31ED8">
        <w:tab/>
      </w:r>
      <w:r w:rsidR="00B31ED8" w:rsidRPr="0058796D">
        <w:t>раздела 7.5.11</w:t>
      </w:r>
      <w:r w:rsidR="00B31ED8">
        <w:t xml:space="preserve"> </w:t>
      </w:r>
      <w:r w:rsidR="00A73B5B">
        <w:tab/>
      </w:r>
      <w:r w:rsidR="00A73B5B">
        <w:tab/>
        <w:t>46–47</w:t>
      </w:r>
      <w:r w:rsidR="00A73B5B">
        <w:tab/>
        <w:t>10</w:t>
      </w:r>
    </w:p>
    <w:p w:rsidR="00AA5837" w:rsidRPr="00B9045F" w:rsidRDefault="00AA5837" w:rsidP="00B904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31ED8">
        <w:tab/>
      </w:r>
      <w:r w:rsidRPr="00B31ED8">
        <w:tab/>
      </w:r>
      <w:r w:rsidRPr="00B31ED8">
        <w:tab/>
      </w:r>
      <w:r w:rsidRPr="00B9045F">
        <w:t>2.</w:t>
      </w:r>
      <w:r w:rsidRPr="00B9045F">
        <w:tab/>
      </w:r>
      <w:r w:rsidR="00B9045F" w:rsidRPr="0058796D">
        <w:t xml:space="preserve">Онлайновая переподготовка водителей, осуществляющих </w:t>
      </w:r>
      <w:r w:rsidR="00B9045F">
        <w:br/>
      </w:r>
      <w:r w:rsidR="00B9045F">
        <w:tab/>
      </w:r>
      <w:r w:rsidR="00B9045F">
        <w:tab/>
      </w:r>
      <w:r w:rsidR="00B9045F">
        <w:tab/>
      </w:r>
      <w:r w:rsidR="00B9045F">
        <w:tab/>
      </w:r>
      <w:r w:rsidR="00B9045F" w:rsidRPr="0058796D">
        <w:t>перевозку опасных грузов</w:t>
      </w:r>
      <w:r w:rsidR="00B9045F">
        <w:t xml:space="preserve"> </w:t>
      </w:r>
      <w:r w:rsidR="00A73B5B">
        <w:tab/>
      </w:r>
      <w:r w:rsidR="00A73B5B">
        <w:tab/>
        <w:t>48–51</w:t>
      </w:r>
      <w:r w:rsidR="00A73B5B">
        <w:tab/>
        <w:t>10</w:t>
      </w:r>
    </w:p>
    <w:p w:rsidR="00AA5837" w:rsidRPr="00B9045F" w:rsidRDefault="00AA5837" w:rsidP="00B904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9045F">
        <w:tab/>
      </w:r>
      <w:r w:rsidRPr="00B9045F">
        <w:tab/>
      </w:r>
      <w:r w:rsidRPr="00B9045F">
        <w:tab/>
        <w:t>3.</w:t>
      </w:r>
      <w:r w:rsidRPr="00B9045F">
        <w:tab/>
      </w:r>
      <w:r w:rsidR="00B9045F" w:rsidRPr="0058796D">
        <w:t xml:space="preserve">Ссылка на Кодекс практики </w:t>
      </w:r>
      <w:proofErr w:type="spellStart"/>
      <w:r w:rsidR="00B9045F" w:rsidRPr="0058796D">
        <w:t>ИМО</w:t>
      </w:r>
      <w:proofErr w:type="spellEnd"/>
      <w:r w:rsidR="00B9045F" w:rsidRPr="0058796D">
        <w:t>/МОТ/</w:t>
      </w:r>
      <w:proofErr w:type="spellStart"/>
      <w:r w:rsidR="00B9045F" w:rsidRPr="0058796D">
        <w:t>ЕЭК</w:t>
      </w:r>
      <w:proofErr w:type="spellEnd"/>
      <w:r w:rsidR="00B9045F" w:rsidRPr="0058796D">
        <w:t xml:space="preserve"> ООН по укладке </w:t>
      </w:r>
      <w:r w:rsidR="00B9045F">
        <w:br/>
      </w:r>
      <w:r w:rsidR="00B9045F">
        <w:tab/>
      </w:r>
      <w:r w:rsidR="00B9045F">
        <w:tab/>
      </w:r>
      <w:r w:rsidR="00B9045F">
        <w:tab/>
      </w:r>
      <w:r w:rsidR="00B9045F">
        <w:tab/>
      </w:r>
      <w:r w:rsidR="00B9045F" w:rsidRPr="0058796D">
        <w:t xml:space="preserve">грузов </w:t>
      </w:r>
      <w:r w:rsidR="00B9045F">
        <w:t>в</w:t>
      </w:r>
      <w:r w:rsidR="00B9045F">
        <w:rPr>
          <w:lang w:val="en-US"/>
        </w:rPr>
        <w:t> </w:t>
      </w:r>
      <w:r w:rsidR="00B9045F" w:rsidRPr="0058796D">
        <w:t xml:space="preserve">грузовые транспортные единицы (Кодекс </w:t>
      </w:r>
      <w:proofErr w:type="spellStart"/>
      <w:r w:rsidR="00B9045F" w:rsidRPr="0058796D">
        <w:t>ГТЕ</w:t>
      </w:r>
      <w:proofErr w:type="spellEnd"/>
      <w:r w:rsidR="00B9045F" w:rsidRPr="0058796D">
        <w:t>)</w:t>
      </w:r>
      <w:r w:rsidR="00B9045F">
        <w:t xml:space="preserve"> </w:t>
      </w:r>
      <w:r w:rsidR="00A73B5B">
        <w:tab/>
      </w:r>
      <w:r w:rsidR="00A73B5B">
        <w:tab/>
        <w:t>52–53</w:t>
      </w:r>
      <w:r w:rsidR="00A73B5B">
        <w:tab/>
        <w:t>11</w:t>
      </w:r>
    </w:p>
    <w:p w:rsidR="00AA5837" w:rsidRPr="00B9045F" w:rsidRDefault="00AA5837" w:rsidP="00B904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9045F">
        <w:tab/>
      </w:r>
      <w:r w:rsidRPr="00B9045F">
        <w:tab/>
      </w:r>
      <w:r w:rsidRPr="00B9045F">
        <w:tab/>
        <w:t>4.</w:t>
      </w:r>
      <w:r w:rsidRPr="00B9045F">
        <w:tab/>
      </w:r>
      <w:r w:rsidR="00B9045F" w:rsidRPr="0058796D">
        <w:t xml:space="preserve">Свидетельство о допущении к перевозке транспортных </w:t>
      </w:r>
      <w:r w:rsidR="00B9045F">
        <w:br/>
      </w:r>
      <w:r w:rsidR="00B9045F">
        <w:tab/>
      </w:r>
      <w:r w:rsidR="00B9045F">
        <w:tab/>
      </w:r>
      <w:r w:rsidR="00B9045F">
        <w:tab/>
      </w:r>
      <w:r w:rsidR="00B9045F">
        <w:tab/>
      </w:r>
      <w:r w:rsidR="00B9045F" w:rsidRPr="0058796D">
        <w:t>средств</w:t>
      </w:r>
      <w:r w:rsidR="00B9045F">
        <w:t xml:space="preserve"> </w:t>
      </w:r>
      <w:r w:rsidR="00A73B5B">
        <w:tab/>
      </w:r>
      <w:r w:rsidR="00A73B5B">
        <w:tab/>
        <w:t>54</w:t>
      </w:r>
      <w:r w:rsidR="00A73B5B">
        <w:tab/>
        <w:t>11</w:t>
      </w:r>
    </w:p>
    <w:p w:rsidR="00AA5837" w:rsidRPr="00B9045F" w:rsidRDefault="00AA5837" w:rsidP="00B904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9045F">
        <w:tab/>
      </w:r>
      <w:r w:rsidRPr="00B9045F">
        <w:tab/>
      </w:r>
      <w:r w:rsidRPr="00B9045F">
        <w:tab/>
        <w:t>5.</w:t>
      </w:r>
      <w:r w:rsidRPr="00B9045F">
        <w:tab/>
      </w:r>
      <w:r w:rsidR="00B9045F" w:rsidRPr="0058796D">
        <w:t>Переходные меры</w:t>
      </w:r>
      <w:r w:rsidR="00B9045F">
        <w:t xml:space="preserve"> </w:t>
      </w:r>
      <w:r w:rsidR="00A73B5B">
        <w:tab/>
      </w:r>
      <w:r w:rsidR="00A73B5B">
        <w:tab/>
        <w:t>55–57</w:t>
      </w:r>
      <w:r w:rsidR="00A73B5B">
        <w:tab/>
        <w:t>11</w:t>
      </w:r>
    </w:p>
    <w:p w:rsidR="00AA5837" w:rsidRPr="00B9045F" w:rsidRDefault="00AA5837" w:rsidP="00B904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9045F">
        <w:tab/>
      </w:r>
      <w:r w:rsidRPr="00B9045F">
        <w:tab/>
      </w:r>
      <w:r w:rsidRPr="00B9045F">
        <w:tab/>
        <w:t>6.</w:t>
      </w:r>
      <w:r w:rsidRPr="00B9045F">
        <w:tab/>
      </w:r>
      <w:r w:rsidR="00B9045F" w:rsidRPr="0058796D">
        <w:t xml:space="preserve">Положения, касающиеся перевозки отработавших емкостей </w:t>
      </w:r>
      <w:r w:rsidR="00B9045F">
        <w:br/>
      </w:r>
      <w:r w:rsidR="00B9045F">
        <w:tab/>
      </w:r>
      <w:r w:rsidR="00B9045F">
        <w:tab/>
      </w:r>
      <w:r w:rsidR="00B9045F">
        <w:tab/>
      </w:r>
      <w:r w:rsidR="00B9045F">
        <w:tab/>
      </w:r>
      <w:r w:rsidR="00B9045F" w:rsidRPr="0058796D">
        <w:t>малых, содержащих газ (№ ООН 2037</w:t>
      </w:r>
      <w:r w:rsidR="00D55033">
        <w:t xml:space="preserve">) </w:t>
      </w:r>
      <w:r w:rsidR="00A73B5B">
        <w:tab/>
      </w:r>
      <w:r w:rsidR="00A73B5B">
        <w:tab/>
        <w:t>58</w:t>
      </w:r>
      <w:r w:rsidR="00A73B5B">
        <w:tab/>
        <w:t>11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9045F">
        <w:tab/>
      </w:r>
      <w:r w:rsidRPr="00AA5837">
        <w:rPr>
          <w:lang w:val="en-GB"/>
        </w:rPr>
        <w:t>VII</w:t>
      </w:r>
      <w:r w:rsidRPr="00D55033">
        <w:t>.</w:t>
      </w:r>
      <w:r w:rsidRPr="00D55033">
        <w:tab/>
      </w:r>
      <w:r w:rsidR="00D55033" w:rsidRPr="0058796D">
        <w:t>Толкование ДОПОГ (пункт 6 повестки дня</w:t>
      </w:r>
      <w:r w:rsidR="00D55033">
        <w:t xml:space="preserve">) </w:t>
      </w:r>
      <w:r w:rsidR="00A73B5B">
        <w:tab/>
      </w:r>
      <w:r w:rsidR="00A73B5B">
        <w:tab/>
        <w:t>59–65</w:t>
      </w:r>
      <w:r w:rsidR="00A73B5B">
        <w:tab/>
        <w:t>12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D55033">
        <w:tab/>
      </w:r>
      <w:r w:rsidRPr="00AA5837">
        <w:rPr>
          <w:lang w:val="en-GB"/>
        </w:rPr>
        <w:t>A</w:t>
      </w:r>
      <w:r w:rsidRPr="00D55033">
        <w:t>.</w:t>
      </w:r>
      <w:r w:rsidRPr="00D55033">
        <w:tab/>
      </w:r>
      <w:r w:rsidR="00D55033" w:rsidRPr="0058796D">
        <w:t xml:space="preserve">Требования, касающиеся мер предосторожности против </w:t>
      </w:r>
      <w:r w:rsidR="00D55033">
        <w:br/>
      </w:r>
      <w:r w:rsidR="00D55033">
        <w:tab/>
      </w:r>
      <w:r w:rsidR="00D55033">
        <w:tab/>
      </w:r>
      <w:r w:rsidR="00D55033">
        <w:tab/>
      </w:r>
      <w:r w:rsidR="00D55033" w:rsidRPr="0058796D">
        <w:t>электростатических зарядов, разделы 7.5.10, 9.7.4 и 9.8.3</w:t>
      </w:r>
      <w:r w:rsidR="00D55033">
        <w:t xml:space="preserve"> </w:t>
      </w:r>
      <w:r w:rsidR="00A73B5B">
        <w:tab/>
      </w:r>
      <w:r w:rsidR="00A73B5B">
        <w:tab/>
        <w:t>59–60</w:t>
      </w:r>
      <w:r w:rsidR="00A73B5B">
        <w:tab/>
        <w:t>12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D55033">
        <w:tab/>
      </w:r>
      <w:r w:rsidRPr="00AA5837">
        <w:rPr>
          <w:lang w:val="en-GB"/>
        </w:rPr>
        <w:t>B</w:t>
      </w:r>
      <w:r w:rsidRPr="00D55033">
        <w:t>.</w:t>
      </w:r>
      <w:r w:rsidRPr="00D55033">
        <w:tab/>
      </w:r>
      <w:r w:rsidR="00D55033" w:rsidRPr="0058796D">
        <w:t xml:space="preserve">Обеспечение безопасности и наблюдение за транспортными </w:t>
      </w:r>
      <w:r w:rsidR="00D55033">
        <w:br/>
      </w:r>
      <w:r w:rsidR="00D55033">
        <w:tab/>
      </w:r>
      <w:r w:rsidR="00D55033">
        <w:tab/>
      </w:r>
      <w:r w:rsidR="00D55033">
        <w:tab/>
      </w:r>
      <w:r w:rsidR="00D55033" w:rsidRPr="0058796D">
        <w:t>средствами</w:t>
      </w:r>
      <w:r w:rsidR="00D55033">
        <w:t xml:space="preserve"> </w:t>
      </w:r>
      <w:r w:rsidR="00A73B5B">
        <w:tab/>
      </w:r>
      <w:r w:rsidR="00A73B5B">
        <w:tab/>
        <w:t>61–65</w:t>
      </w:r>
      <w:r w:rsidR="00A73B5B">
        <w:tab/>
        <w:t>12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AA5837">
        <w:rPr>
          <w:lang w:val="en-GB"/>
        </w:rPr>
        <w:t>VIII</w:t>
      </w:r>
      <w:r w:rsidRPr="004F20A7">
        <w:t>.</w:t>
      </w:r>
      <w:r w:rsidRPr="004F20A7">
        <w:tab/>
      </w:r>
      <w:r w:rsidR="00D55033" w:rsidRPr="0058796D">
        <w:t>Программа работы (пункт 7 повестки дня)</w:t>
      </w:r>
      <w:r w:rsidR="00D55033">
        <w:t xml:space="preserve"> </w:t>
      </w:r>
      <w:r w:rsidR="00A73B5B">
        <w:tab/>
      </w:r>
      <w:r w:rsidR="00A73B5B">
        <w:tab/>
        <w:t>66–72</w:t>
      </w:r>
      <w:r w:rsidR="00A73B5B">
        <w:tab/>
        <w:t>12</w:t>
      </w:r>
    </w:p>
    <w:p w:rsidR="00AA5837" w:rsidRPr="003F1448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en-US"/>
        </w:rPr>
      </w:pPr>
      <w:r w:rsidRPr="00D55033">
        <w:tab/>
      </w:r>
      <w:r w:rsidRPr="00D55033">
        <w:tab/>
      </w:r>
      <w:r w:rsidRPr="00AA5837">
        <w:rPr>
          <w:lang w:val="en-GB"/>
        </w:rPr>
        <w:t>A</w:t>
      </w:r>
      <w:r w:rsidRPr="00D55033">
        <w:t>.</w:t>
      </w:r>
      <w:r w:rsidRPr="00D55033">
        <w:tab/>
      </w:r>
      <w:r w:rsidR="00D55033" w:rsidRPr="0058796D">
        <w:t>Поправки 2019 года</w:t>
      </w:r>
      <w:r w:rsidR="00D55033">
        <w:t xml:space="preserve"> </w:t>
      </w:r>
      <w:r w:rsidR="003F1448">
        <w:tab/>
      </w:r>
      <w:r w:rsidR="003F1448">
        <w:tab/>
        <w:t>66–67</w:t>
      </w:r>
      <w:r w:rsidR="003F1448">
        <w:tab/>
        <w:t>1</w:t>
      </w:r>
      <w:r w:rsidR="003F1448">
        <w:rPr>
          <w:lang w:val="en-US"/>
        </w:rPr>
        <w:t>2</w:t>
      </w:r>
      <w:bookmarkStart w:id="0" w:name="_GoBack"/>
      <w:bookmarkEnd w:id="0"/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D55033">
        <w:tab/>
      </w:r>
      <w:r w:rsidRPr="00AA5837">
        <w:rPr>
          <w:lang w:val="en-GB"/>
        </w:rPr>
        <w:t>B</w:t>
      </w:r>
      <w:r w:rsidRPr="00D55033">
        <w:t>.</w:t>
      </w:r>
      <w:r w:rsidRPr="00D55033">
        <w:tab/>
      </w:r>
      <w:r w:rsidR="00D55033" w:rsidRPr="0058796D">
        <w:t>104-я сессия</w:t>
      </w:r>
      <w:r w:rsidR="00FF1283">
        <w:tab/>
      </w:r>
      <w:r w:rsidR="00FF1283">
        <w:tab/>
        <w:t>68</w:t>
      </w:r>
      <w:r w:rsidR="00FF1283">
        <w:tab/>
        <w:t>13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D55033">
        <w:tab/>
      </w:r>
      <w:r w:rsidRPr="00AA5837">
        <w:rPr>
          <w:lang w:val="en-GB"/>
        </w:rPr>
        <w:t>C</w:t>
      </w:r>
      <w:r w:rsidRPr="00D55033">
        <w:t>.</w:t>
      </w:r>
      <w:r w:rsidRPr="00D55033">
        <w:tab/>
      </w:r>
      <w:r w:rsidR="00D55033" w:rsidRPr="0058796D">
        <w:t>Двухгодичные оценки</w:t>
      </w:r>
      <w:r w:rsidR="00D55033">
        <w:t xml:space="preserve"> </w:t>
      </w:r>
      <w:r w:rsidR="00FF1283">
        <w:tab/>
      </w:r>
      <w:r w:rsidR="00FF1283">
        <w:tab/>
        <w:t>69–72</w:t>
      </w:r>
      <w:r w:rsidR="00FF1283">
        <w:tab/>
        <w:t>13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AA5837">
        <w:rPr>
          <w:lang w:val="en-GB"/>
        </w:rPr>
        <w:t>IX</w:t>
      </w:r>
      <w:r w:rsidRPr="00D55033">
        <w:t>.</w:t>
      </w:r>
      <w:r w:rsidRPr="00D55033">
        <w:tab/>
      </w:r>
      <w:r w:rsidR="00D55033" w:rsidRPr="0058796D">
        <w:t>Шестидесятая годовщина ДОПОГ (пункт 8 повестки дня)</w:t>
      </w:r>
      <w:r w:rsidR="00D55033">
        <w:t xml:space="preserve"> </w:t>
      </w:r>
      <w:r w:rsidR="00FF1283">
        <w:tab/>
      </w:r>
      <w:r w:rsidR="00FF1283">
        <w:tab/>
        <w:t>73–77</w:t>
      </w:r>
      <w:r w:rsidR="00FF1283">
        <w:tab/>
        <w:t>14</w:t>
      </w:r>
    </w:p>
    <w:p w:rsidR="00AA5837" w:rsidRPr="00D55033" w:rsidRDefault="00C9761C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br w:type="page"/>
      </w:r>
      <w:r w:rsidR="00AA5837" w:rsidRPr="00D55033">
        <w:lastRenderedPageBreak/>
        <w:tab/>
      </w:r>
      <w:r w:rsidR="00AA5837" w:rsidRPr="00AA5837">
        <w:rPr>
          <w:lang w:val="en-GB"/>
        </w:rPr>
        <w:t>X</w:t>
      </w:r>
      <w:r w:rsidR="00AA5837" w:rsidRPr="00D55033">
        <w:t>.</w:t>
      </w:r>
      <w:r w:rsidR="00AA5837" w:rsidRPr="00D55033">
        <w:tab/>
      </w:r>
      <w:r w:rsidR="00D55033" w:rsidRPr="0058796D">
        <w:t>Прочие вопросы (пункт 9 повестки дня</w:t>
      </w:r>
      <w:r w:rsidR="00D55033">
        <w:t xml:space="preserve">) </w:t>
      </w:r>
      <w:r w:rsidR="00FF1283">
        <w:tab/>
      </w:r>
      <w:r w:rsidR="00FF1283">
        <w:tab/>
        <w:t>78–87</w:t>
      </w:r>
      <w:r w:rsidR="00FF1283">
        <w:tab/>
        <w:t>14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D55033">
        <w:tab/>
      </w:r>
      <w:r w:rsidRPr="00AA5837">
        <w:rPr>
          <w:lang w:val="en-GB"/>
        </w:rPr>
        <w:t>A</w:t>
      </w:r>
      <w:r w:rsidRPr="00D55033">
        <w:t>.</w:t>
      </w:r>
      <w:r w:rsidRPr="00D55033">
        <w:tab/>
      </w:r>
      <w:r w:rsidR="00D55033" w:rsidRPr="0058796D">
        <w:t xml:space="preserve">Указание гражданства в свидетельстве ДОПОГ </w:t>
      </w:r>
      <w:r w:rsidR="00D55033">
        <w:br/>
      </w:r>
      <w:r w:rsidR="00D55033">
        <w:tab/>
      </w:r>
      <w:r w:rsidR="00D55033">
        <w:tab/>
      </w:r>
      <w:r w:rsidR="00D55033">
        <w:tab/>
      </w:r>
      <w:r w:rsidR="00D55033" w:rsidRPr="0058796D">
        <w:t>о подготовке водителя</w:t>
      </w:r>
      <w:r w:rsidR="00D55033">
        <w:t xml:space="preserve"> </w:t>
      </w:r>
      <w:r w:rsidR="00FF1283">
        <w:tab/>
      </w:r>
      <w:r w:rsidR="00FF1283">
        <w:tab/>
        <w:t>78–79</w:t>
      </w:r>
      <w:r w:rsidR="00FF1283">
        <w:tab/>
        <w:t>14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D55033">
        <w:tab/>
      </w:r>
      <w:r w:rsidRPr="00AA5837">
        <w:rPr>
          <w:lang w:val="en-GB"/>
        </w:rPr>
        <w:t>B</w:t>
      </w:r>
      <w:r w:rsidRPr="00D55033">
        <w:t>.</w:t>
      </w:r>
      <w:r w:rsidRPr="00D55033">
        <w:tab/>
      </w:r>
      <w:r w:rsidR="00D55033" w:rsidRPr="0058796D">
        <w:t xml:space="preserve">Дорожно-транспортные происшествия при перевозке </w:t>
      </w:r>
      <w:r w:rsidR="00D55033">
        <w:br/>
      </w:r>
      <w:r w:rsidR="00D55033">
        <w:tab/>
      </w:r>
      <w:r w:rsidR="00D55033">
        <w:tab/>
      </w:r>
      <w:r w:rsidR="00D55033">
        <w:tab/>
      </w:r>
      <w:r w:rsidR="00D55033" w:rsidRPr="0058796D">
        <w:t>опасных грузов</w:t>
      </w:r>
      <w:r w:rsidR="00D55033">
        <w:t xml:space="preserve"> </w:t>
      </w:r>
      <w:r w:rsidR="00FF1283">
        <w:tab/>
      </w:r>
      <w:r w:rsidR="00FF1283">
        <w:tab/>
        <w:t>80–83</w:t>
      </w:r>
      <w:r w:rsidR="00FF1283">
        <w:tab/>
        <w:t>15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D55033">
        <w:tab/>
      </w:r>
      <w:r w:rsidRPr="00AA5837">
        <w:rPr>
          <w:lang w:val="en-GB"/>
        </w:rPr>
        <w:t>C</w:t>
      </w:r>
      <w:r w:rsidRPr="00D55033">
        <w:t>.</w:t>
      </w:r>
      <w:r w:rsidRPr="00D55033">
        <w:tab/>
      </w:r>
      <w:r w:rsidR="00D55033" w:rsidRPr="0058796D">
        <w:t>Выражение признательности</w:t>
      </w:r>
      <w:r w:rsidR="00D55033">
        <w:t xml:space="preserve"> </w:t>
      </w:r>
      <w:r w:rsidR="00FF1283">
        <w:tab/>
      </w:r>
      <w:r w:rsidR="00FF1283">
        <w:tab/>
        <w:t>84–87</w:t>
      </w:r>
      <w:r w:rsidR="00FF1283">
        <w:tab/>
        <w:t>15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D55033">
        <w:tab/>
      </w:r>
      <w:r w:rsidRPr="00D55033">
        <w:tab/>
        <w:t>1.</w:t>
      </w:r>
      <w:r w:rsidRPr="00D55033">
        <w:tab/>
      </w:r>
      <w:r w:rsidR="00D55033" w:rsidRPr="0058796D">
        <w:t xml:space="preserve">Выражение признательности Марианне </w:t>
      </w:r>
      <w:proofErr w:type="spellStart"/>
      <w:r w:rsidR="00D55033" w:rsidRPr="0058796D">
        <w:t>Чухаи</w:t>
      </w:r>
      <w:proofErr w:type="spellEnd"/>
      <w:r w:rsidR="00D55033">
        <w:t xml:space="preserve"> </w:t>
      </w:r>
      <w:r w:rsidR="00FF1283">
        <w:tab/>
      </w:r>
      <w:r w:rsidR="00FF1283">
        <w:tab/>
        <w:t>84</w:t>
      </w:r>
      <w:r w:rsidR="00FF1283">
        <w:tab/>
        <w:t>15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D55033">
        <w:tab/>
      </w:r>
      <w:r w:rsidRPr="00D55033">
        <w:tab/>
        <w:t>2.</w:t>
      </w:r>
      <w:r w:rsidRPr="00D55033">
        <w:tab/>
      </w:r>
      <w:r w:rsidR="00D55033" w:rsidRPr="0058796D">
        <w:t xml:space="preserve">Выражение признательности Жаку </w:t>
      </w:r>
      <w:proofErr w:type="spellStart"/>
      <w:r w:rsidR="00D55033" w:rsidRPr="0058796D">
        <w:t>Марми</w:t>
      </w:r>
      <w:proofErr w:type="spellEnd"/>
      <w:r w:rsidR="00D55033">
        <w:t xml:space="preserve"> </w:t>
      </w:r>
      <w:r w:rsidR="00FF1283">
        <w:tab/>
      </w:r>
      <w:r w:rsidR="00FF1283">
        <w:tab/>
        <w:t>85</w:t>
      </w:r>
      <w:r w:rsidR="00FF1283">
        <w:tab/>
        <w:t>15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D55033">
        <w:tab/>
      </w:r>
      <w:r w:rsidRPr="00D55033">
        <w:tab/>
        <w:t>3.</w:t>
      </w:r>
      <w:r w:rsidRPr="00D55033">
        <w:tab/>
      </w:r>
      <w:r w:rsidR="00D55033" w:rsidRPr="0058796D">
        <w:t xml:space="preserve">Выражение признательности Оливье </w:t>
      </w:r>
      <w:proofErr w:type="spellStart"/>
      <w:r w:rsidR="00D55033" w:rsidRPr="0058796D">
        <w:t>Кервелл</w:t>
      </w:r>
      <w:proofErr w:type="spellEnd"/>
      <w:r w:rsidR="00D55033">
        <w:t xml:space="preserve"> </w:t>
      </w:r>
      <w:r w:rsidR="00FF1283">
        <w:tab/>
      </w:r>
      <w:r w:rsidR="00FF1283">
        <w:tab/>
        <w:t>86</w:t>
      </w:r>
      <w:r w:rsidR="00FF1283">
        <w:tab/>
        <w:t>15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D55033">
        <w:tab/>
      </w:r>
      <w:r w:rsidRPr="00D55033">
        <w:tab/>
        <w:t>4.</w:t>
      </w:r>
      <w:r w:rsidRPr="00D55033">
        <w:tab/>
      </w:r>
      <w:r w:rsidR="00D55033" w:rsidRPr="0058796D">
        <w:t>Соболезнования</w:t>
      </w:r>
      <w:r w:rsidR="00D55033">
        <w:t xml:space="preserve"> </w:t>
      </w:r>
      <w:r w:rsidR="00FF1283">
        <w:tab/>
      </w:r>
      <w:r w:rsidR="00FF1283">
        <w:tab/>
        <w:t>87</w:t>
      </w:r>
      <w:r w:rsidR="00FF1283">
        <w:tab/>
        <w:t>16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AA5837">
        <w:rPr>
          <w:lang w:val="en-GB"/>
        </w:rPr>
        <w:t>XI</w:t>
      </w:r>
      <w:r w:rsidRPr="00D55033">
        <w:t>.</w:t>
      </w:r>
      <w:r w:rsidRPr="00D55033">
        <w:tab/>
      </w:r>
      <w:r w:rsidR="00D55033" w:rsidRPr="0058796D">
        <w:t>Выборы должностных лиц на 2018 год (пункт 10 повестки дня)</w:t>
      </w:r>
      <w:r w:rsidR="00D55033">
        <w:t xml:space="preserve"> </w:t>
      </w:r>
      <w:r w:rsidR="00FF1283">
        <w:tab/>
      </w:r>
      <w:r w:rsidR="00FF1283">
        <w:tab/>
        <w:t>88</w:t>
      </w:r>
      <w:r w:rsidR="00FF1283">
        <w:tab/>
        <w:t>16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Pr="00AA5837">
        <w:rPr>
          <w:lang w:val="en-GB"/>
        </w:rPr>
        <w:t>XII</w:t>
      </w:r>
      <w:r w:rsidRPr="00D55033">
        <w:t>.</w:t>
      </w:r>
      <w:r w:rsidRPr="00D55033">
        <w:tab/>
      </w:r>
      <w:r w:rsidR="00D55033" w:rsidRPr="0058796D">
        <w:t>Утверждение доклада (пункт 11 повестки дня)</w:t>
      </w:r>
      <w:r w:rsidR="00D55033">
        <w:t xml:space="preserve"> </w:t>
      </w:r>
      <w:r w:rsidR="00FF1283">
        <w:tab/>
      </w:r>
      <w:r w:rsidR="00FF1283">
        <w:tab/>
        <w:t>89</w:t>
      </w:r>
      <w:r w:rsidR="00FF1283">
        <w:tab/>
        <w:t>16</w:t>
      </w:r>
    </w:p>
    <w:p w:rsidR="00AA5837" w:rsidRPr="00D55033" w:rsidRDefault="00AA5837" w:rsidP="00D5503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55033">
        <w:tab/>
      </w:r>
      <w:r w:rsidR="00D55033">
        <w:t>Приложения</w:t>
      </w:r>
    </w:p>
    <w:p w:rsidR="00AA5837" w:rsidRPr="00D55033" w:rsidRDefault="00AA5837" w:rsidP="006321CF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D55033">
        <w:tab/>
      </w:r>
      <w:r w:rsidRPr="00AA5837">
        <w:rPr>
          <w:lang w:val="en-GB"/>
        </w:rPr>
        <w:t>I</w:t>
      </w:r>
      <w:r w:rsidRPr="00D55033">
        <w:tab/>
      </w:r>
      <w:r w:rsidR="00D55033" w:rsidRPr="0058796D">
        <w:t xml:space="preserve">Проекты поправок к приложениям А и В к ДОПОГ для вступления в силу </w:t>
      </w:r>
      <w:r w:rsidR="006321CF">
        <w:br/>
      </w:r>
      <w:r w:rsidR="006321CF">
        <w:tab/>
      </w:r>
      <w:r w:rsidR="006321CF">
        <w:tab/>
      </w:r>
      <w:r w:rsidR="000F5DB1">
        <w:t>1 января 2018</w:t>
      </w:r>
      <w:r w:rsidR="00D55033" w:rsidRPr="0058796D">
        <w:t xml:space="preserve"> года</w:t>
      </w:r>
      <w:r w:rsidR="00FF1283">
        <w:tab/>
      </w:r>
      <w:r w:rsidR="00FF1283">
        <w:tab/>
        <w:t>17</w:t>
      </w:r>
    </w:p>
    <w:p w:rsidR="00AA5837" w:rsidRPr="006321CF" w:rsidRDefault="00AA5837" w:rsidP="00FF1283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D55033">
        <w:tab/>
      </w:r>
      <w:r w:rsidRPr="00AA5837">
        <w:rPr>
          <w:lang w:val="en-GB"/>
        </w:rPr>
        <w:t>II</w:t>
      </w:r>
      <w:r w:rsidRPr="006321CF">
        <w:tab/>
      </w:r>
      <w:r w:rsidR="006321CF" w:rsidRPr="0058796D">
        <w:t>Оценка результативности программы за 2016–2017 годы</w:t>
      </w:r>
      <w:r w:rsidR="006321CF">
        <w:t xml:space="preserve"> </w:t>
      </w:r>
      <w:r w:rsidR="00FF1283">
        <w:tab/>
      </w:r>
      <w:r w:rsidR="00FF1283">
        <w:tab/>
        <w:t>20</w:t>
      </w:r>
    </w:p>
    <w:p w:rsidR="00AA5837" w:rsidRPr="00153EF2" w:rsidRDefault="00AA5837" w:rsidP="006321CF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6321CF">
        <w:tab/>
      </w:r>
      <w:r w:rsidRPr="00AA5837">
        <w:rPr>
          <w:lang w:val="en-GB"/>
        </w:rPr>
        <w:t>III</w:t>
      </w:r>
      <w:r w:rsidRPr="004F20A7">
        <w:tab/>
      </w:r>
      <w:r w:rsidR="006321CF" w:rsidRPr="0058796D">
        <w:t>План двухгодичной оценки</w:t>
      </w:r>
      <w:r w:rsidR="006321CF">
        <w:t xml:space="preserve"> </w:t>
      </w:r>
      <w:r w:rsidR="00FF1283">
        <w:tab/>
      </w:r>
      <w:r w:rsidR="00FF1283">
        <w:tab/>
        <w:t>25</w:t>
      </w:r>
    </w:p>
    <w:p w:rsidR="00AA5837" w:rsidRPr="00AA5837" w:rsidRDefault="00AA5837" w:rsidP="00AA5837"/>
    <w:p w:rsidR="0058796D" w:rsidRPr="0058796D" w:rsidRDefault="0058796D" w:rsidP="00AA5837">
      <w:pPr>
        <w:pStyle w:val="HChGR"/>
      </w:pPr>
      <w:r w:rsidRPr="0058796D">
        <w:br w:type="page"/>
      </w:r>
      <w:r w:rsidRPr="0058796D">
        <w:lastRenderedPageBreak/>
        <w:tab/>
        <w:t>I.</w:t>
      </w:r>
      <w:r w:rsidRPr="0058796D">
        <w:tab/>
        <w:t>Участники</w:t>
      </w:r>
    </w:p>
    <w:p w:rsidR="0058796D" w:rsidRPr="0058796D" w:rsidRDefault="0058796D" w:rsidP="0058796D">
      <w:pPr>
        <w:pStyle w:val="SingleTxtGR"/>
      </w:pPr>
      <w:r w:rsidRPr="0058796D">
        <w:t>1.</w:t>
      </w:r>
      <w:r w:rsidRPr="0058796D">
        <w:tab/>
        <w:t>Рабочая группа по перевозкам опасных грузов провела свою 103-ю се</w:t>
      </w:r>
      <w:r w:rsidRPr="0058796D">
        <w:t>с</w:t>
      </w:r>
      <w:r w:rsidRPr="0058796D">
        <w:t>сию 6−10 ноября 2017 года под руководством Председателя г-на Ж.</w:t>
      </w:r>
      <w:r w:rsidR="004B3B46">
        <w:t xml:space="preserve"> </w:t>
      </w:r>
      <w:r w:rsidRPr="0058796D">
        <w:t xml:space="preserve">А. Франку (Португалия) и заместителя Председателя г-жи А. </w:t>
      </w:r>
      <w:proofErr w:type="spellStart"/>
      <w:r w:rsidRPr="0058796D">
        <w:t>Румье</w:t>
      </w:r>
      <w:proofErr w:type="spellEnd"/>
      <w:r w:rsidRPr="0058796D">
        <w:t xml:space="preserve"> (Франция).</w:t>
      </w:r>
    </w:p>
    <w:p w:rsidR="0058796D" w:rsidRPr="0058796D" w:rsidRDefault="0058796D" w:rsidP="0058796D">
      <w:pPr>
        <w:pStyle w:val="SingleTxtGR"/>
      </w:pPr>
      <w:r w:rsidRPr="0058796D">
        <w:t>2.</w:t>
      </w:r>
      <w:r w:rsidRPr="0058796D">
        <w:tab/>
        <w:t xml:space="preserve">В работе сессии приняли участие представители следующих стран: </w:t>
      </w:r>
      <w:proofErr w:type="gramStart"/>
      <w:r w:rsidRPr="0058796D">
        <w:t>А</w:t>
      </w:r>
      <w:r w:rsidRPr="0058796D">
        <w:t>в</w:t>
      </w:r>
      <w:r w:rsidRPr="0058796D">
        <w:t>стрии, Бельгии, Германии, Дании, Ирландии, Испании, Италии, Латвии, Лю</w:t>
      </w:r>
      <w:r w:rsidRPr="0058796D">
        <w:t>к</w:t>
      </w:r>
      <w:r w:rsidRPr="0058796D">
        <w:t>сембурга, Мальты, Нидерландов, Польши, Португалии, Российской Федерации, Румынии, Соединенного Королевства, Турции, Финляндии, Франции, Чехии, Швейцарии и Швеции.</w:t>
      </w:r>
      <w:proofErr w:type="gramEnd"/>
    </w:p>
    <w:p w:rsidR="0058796D" w:rsidRPr="0058796D" w:rsidRDefault="0058796D" w:rsidP="0058796D">
      <w:pPr>
        <w:pStyle w:val="SingleTxtGR"/>
      </w:pPr>
      <w:r w:rsidRPr="0058796D">
        <w:t>3.</w:t>
      </w:r>
      <w:r w:rsidRPr="0058796D">
        <w:tab/>
        <w:t>На сессии был представлен Европейский союз.</w:t>
      </w:r>
    </w:p>
    <w:p w:rsidR="0058796D" w:rsidRPr="0058796D" w:rsidRDefault="0058796D" w:rsidP="0058796D">
      <w:pPr>
        <w:pStyle w:val="SingleTxtGR"/>
      </w:pPr>
      <w:r w:rsidRPr="0058796D">
        <w:t>4.</w:t>
      </w:r>
      <w:r w:rsidRPr="0058796D">
        <w:tab/>
        <w:t>Была представлена следующая межправительственная организация: Межправительственная организация по международным железнодорожным п</w:t>
      </w:r>
      <w:r w:rsidRPr="0058796D">
        <w:t>е</w:t>
      </w:r>
      <w:r w:rsidRPr="0058796D">
        <w:t>ревозкам (</w:t>
      </w:r>
      <w:proofErr w:type="spellStart"/>
      <w:r w:rsidRPr="0058796D">
        <w:t>ОТИФ</w:t>
      </w:r>
      <w:proofErr w:type="spellEnd"/>
      <w:r w:rsidRPr="0058796D">
        <w:t>).</w:t>
      </w:r>
    </w:p>
    <w:p w:rsidR="0058796D" w:rsidRPr="0058796D" w:rsidRDefault="0058796D" w:rsidP="0058796D">
      <w:pPr>
        <w:pStyle w:val="SingleTxtGR"/>
      </w:pPr>
      <w:r w:rsidRPr="0058796D">
        <w:t>5.</w:t>
      </w:r>
      <w:r w:rsidRPr="0058796D">
        <w:tab/>
        <w:t>Были представлены следующие неправительственные организации: Е</w:t>
      </w:r>
      <w:r w:rsidRPr="0058796D">
        <w:t>в</w:t>
      </w:r>
      <w:r w:rsidRPr="0058796D">
        <w:t>ропейская ассоциация по промышленным газам (</w:t>
      </w:r>
      <w:proofErr w:type="spellStart"/>
      <w:r w:rsidRPr="0058796D">
        <w:t>ЕАПГ</w:t>
      </w:r>
      <w:proofErr w:type="spellEnd"/>
      <w:r w:rsidRPr="0058796D">
        <w:t>), Европейская конф</w:t>
      </w:r>
      <w:r w:rsidRPr="0058796D">
        <w:t>е</w:t>
      </w:r>
      <w:r w:rsidRPr="0058796D">
        <w:t>ренция поставщиков топлива (</w:t>
      </w:r>
      <w:proofErr w:type="spellStart"/>
      <w:r w:rsidRPr="0058796D">
        <w:t>ЕКПТ</w:t>
      </w:r>
      <w:proofErr w:type="spellEnd"/>
      <w:r w:rsidRPr="0058796D">
        <w:t>), Международная ассоциация изготовит</w:t>
      </w:r>
      <w:r w:rsidRPr="0058796D">
        <w:t>е</w:t>
      </w:r>
      <w:r w:rsidRPr="0058796D">
        <w:t>лей автомобильных кузовов и прицепов (</w:t>
      </w:r>
      <w:proofErr w:type="spellStart"/>
      <w:r w:rsidRPr="0058796D">
        <w:t>МАИАКП</w:t>
      </w:r>
      <w:proofErr w:type="spellEnd"/>
      <w:r w:rsidRPr="0058796D">
        <w:t>), Международная организ</w:t>
      </w:r>
      <w:r w:rsidRPr="0058796D">
        <w:t>а</w:t>
      </w:r>
      <w:r w:rsidRPr="0058796D">
        <w:t>ция предприятий автомобильной промышленности (</w:t>
      </w:r>
      <w:proofErr w:type="spellStart"/>
      <w:r w:rsidRPr="0058796D">
        <w:t>МОПАП</w:t>
      </w:r>
      <w:proofErr w:type="spellEnd"/>
      <w:r w:rsidRPr="0058796D">
        <w:t>) и Междунаро</w:t>
      </w:r>
      <w:r w:rsidRPr="0058796D">
        <w:t>д</w:t>
      </w:r>
      <w:r w:rsidRPr="0058796D">
        <w:t xml:space="preserve">ный союз автомобильного транспорта (МСАТ). </w:t>
      </w:r>
    </w:p>
    <w:p w:rsidR="0058796D" w:rsidRPr="0058796D" w:rsidRDefault="0058796D" w:rsidP="00AA5837">
      <w:pPr>
        <w:pStyle w:val="HChGR"/>
      </w:pPr>
      <w:r w:rsidRPr="0058796D">
        <w:tab/>
      </w:r>
      <w:proofErr w:type="spellStart"/>
      <w:r w:rsidRPr="0058796D">
        <w:t>II</w:t>
      </w:r>
      <w:proofErr w:type="spellEnd"/>
      <w:r w:rsidRPr="0058796D">
        <w:t>.</w:t>
      </w:r>
      <w:r w:rsidRPr="0058796D">
        <w:tab/>
        <w:t>Утверждение повестки дня (пункт 1 повестки дня)</w:t>
      </w:r>
    </w:p>
    <w:p w:rsidR="0058796D" w:rsidRPr="0058796D" w:rsidRDefault="0058796D" w:rsidP="008C7047">
      <w:pPr>
        <w:pStyle w:val="SingleTxtGR"/>
        <w:tabs>
          <w:tab w:val="left" w:pos="2552"/>
        </w:tabs>
      </w:pPr>
      <w:r w:rsidRPr="0058796D">
        <w:rPr>
          <w:i/>
          <w:iCs/>
        </w:rPr>
        <w:t>Документы:</w:t>
      </w:r>
      <w:r w:rsidR="00AA5837">
        <w:tab/>
      </w:r>
      <w:r w:rsidRPr="0058796D">
        <w:t>ECE/TRANS/WP.15/238 и Add.1 (секретариат)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Неофициальные документы:</w:t>
      </w:r>
      <w:r w:rsidRPr="0058796D">
        <w:tab/>
        <w:t>INF.1, INF.2/Rev.1 и INF.17 (секретариат)</w:t>
      </w:r>
    </w:p>
    <w:p w:rsidR="0058796D" w:rsidRPr="0058796D" w:rsidRDefault="0058796D" w:rsidP="00B671DB">
      <w:pPr>
        <w:pStyle w:val="SingleTxtGR"/>
      </w:pPr>
      <w:r w:rsidRPr="0058796D">
        <w:t>6.</w:t>
      </w:r>
      <w:r w:rsidRPr="0058796D">
        <w:tab/>
        <w:t xml:space="preserve">Рабочая группа утвердила повестку дня, предложенную секретариатом в документах ECE/TRANS/WP.15/238 и </w:t>
      </w:r>
      <w:r w:rsidR="00B671DB" w:rsidRPr="0058796D">
        <w:t>Add</w:t>
      </w:r>
      <w:r w:rsidR="00B671DB">
        <w:t>.</w:t>
      </w:r>
      <w:r w:rsidRPr="0058796D">
        <w:t>1, обновленную в неофициальном документе INF.2/Rev.1, а также предварительный график работы, приведенный в неофициальном документе INF.17.</w:t>
      </w:r>
    </w:p>
    <w:p w:rsidR="0058796D" w:rsidRPr="0058796D" w:rsidRDefault="0058796D" w:rsidP="008C7047">
      <w:pPr>
        <w:pStyle w:val="HChGR"/>
      </w:pPr>
      <w:r w:rsidRPr="0058796D">
        <w:tab/>
      </w:r>
      <w:proofErr w:type="spellStart"/>
      <w:r w:rsidRPr="0058796D">
        <w:t>III</w:t>
      </w:r>
      <w:proofErr w:type="spellEnd"/>
      <w:r w:rsidRPr="0058796D">
        <w:t>.</w:t>
      </w:r>
      <w:r w:rsidRPr="0058796D">
        <w:tab/>
        <w:t>Семьдесят девятая сессия Комитета по внутреннему транспорту (пункт 2 повестки дня)</w:t>
      </w:r>
    </w:p>
    <w:p w:rsidR="0058796D" w:rsidRPr="0058796D" w:rsidRDefault="0058796D" w:rsidP="008C7047">
      <w:pPr>
        <w:pStyle w:val="SingleTxtGR"/>
        <w:tabs>
          <w:tab w:val="left" w:pos="2552"/>
        </w:tabs>
      </w:pPr>
      <w:r w:rsidRPr="0058796D">
        <w:rPr>
          <w:i/>
          <w:iCs/>
        </w:rPr>
        <w:t>Документы:</w:t>
      </w:r>
      <w:r w:rsidR="008C7047">
        <w:tab/>
      </w:r>
      <w:r w:rsidRPr="0058796D">
        <w:t>ECE/TRANS/270 и Add.1, ECE/TRANS/2010/2</w:t>
      </w:r>
      <w:r w:rsidR="004A1F27">
        <w:t xml:space="preserve"> </w:t>
      </w:r>
      <w:r w:rsidRPr="0058796D">
        <w:t>(секретариат)</w:t>
      </w:r>
    </w:p>
    <w:p w:rsidR="0058796D" w:rsidRPr="0058796D" w:rsidRDefault="0058796D" w:rsidP="0058796D">
      <w:pPr>
        <w:pStyle w:val="SingleTxtGR"/>
      </w:pPr>
      <w:r w:rsidRPr="0058796D">
        <w:t>7.</w:t>
      </w:r>
      <w:r w:rsidRPr="0058796D">
        <w:tab/>
        <w:t>В соответствии с просьбой Комитета по внутреннему транспорту Рабочая группа вновь рассмотрела предложение об исключении слова «Европейское» из названия ДОПОГ.</w:t>
      </w:r>
    </w:p>
    <w:p w:rsidR="0058796D" w:rsidRPr="0058796D" w:rsidRDefault="0058796D" w:rsidP="0058796D">
      <w:pPr>
        <w:pStyle w:val="SingleTxtGR"/>
      </w:pPr>
      <w:r w:rsidRPr="0058796D">
        <w:t>8.</w:t>
      </w:r>
      <w:r w:rsidRPr="0058796D">
        <w:tab/>
        <w:t>Участникам напомнили, что ДОПОГ открыто для участия других стран, помимо стран − членов ЕЭК ООН, и что его географическая область примен</w:t>
      </w:r>
      <w:r w:rsidRPr="0058796D">
        <w:t>е</w:t>
      </w:r>
      <w:r w:rsidRPr="0058796D">
        <w:t>ния постепенно расширилась в результате присоединения стран Центральной Азии и Кавказа, являющихся членами ЕЭК ООН, и стран Северной Африки, т</w:t>
      </w:r>
      <w:r w:rsidRPr="0058796D">
        <w:t>а</w:t>
      </w:r>
      <w:r w:rsidRPr="0058796D">
        <w:t>ких как Марокко и Тунис. Было также отмечено, что по просьбе Комитета по внутреннему транспорту секретариат подготовил документ, касающийся надлежащей процедуры изменения ДОПОГ с целью исключения слова «Евр</w:t>
      </w:r>
      <w:r w:rsidRPr="0058796D">
        <w:t>о</w:t>
      </w:r>
      <w:r w:rsidRPr="0058796D">
        <w:t>пейское» из его названия (см. ECE/TRANS/2010/2).</w:t>
      </w:r>
    </w:p>
    <w:p w:rsidR="0058796D" w:rsidRPr="0058796D" w:rsidRDefault="0058796D" w:rsidP="0058796D">
      <w:pPr>
        <w:pStyle w:val="SingleTxtGR"/>
      </w:pPr>
      <w:r w:rsidRPr="0058796D">
        <w:t>9.</w:t>
      </w:r>
      <w:r w:rsidRPr="0058796D">
        <w:tab/>
        <w:t>Это предложение не встретило возражений. Рабочая группа просила се</w:t>
      </w:r>
      <w:r w:rsidRPr="0058796D">
        <w:t>к</w:t>
      </w:r>
      <w:r w:rsidRPr="0058796D">
        <w:t>ретариат провести консультации с Управлением ООН по правовым вопросам в отношении процедуры, которую следует применять, и представить обновле</w:t>
      </w:r>
      <w:r w:rsidRPr="0058796D">
        <w:t>н</w:t>
      </w:r>
      <w:r w:rsidRPr="0058796D">
        <w:t>ный вариант документа ECE/TRANS/2010/2 на следующей сессии.</w:t>
      </w:r>
    </w:p>
    <w:p w:rsidR="0058796D" w:rsidRPr="0058796D" w:rsidRDefault="008C7047" w:rsidP="0058796D">
      <w:pPr>
        <w:pStyle w:val="SingleTxtGR"/>
      </w:pPr>
      <w:r>
        <w:br w:type="page"/>
      </w:r>
      <w:r w:rsidR="0058796D" w:rsidRPr="0058796D">
        <w:lastRenderedPageBreak/>
        <w:t>10.</w:t>
      </w:r>
      <w:r w:rsidR="0058796D" w:rsidRPr="0058796D">
        <w:tab/>
        <w:t>Представитель Германии заявила, что ее страна не имеет возражений, о</w:t>
      </w:r>
      <w:r w:rsidR="0058796D" w:rsidRPr="0058796D">
        <w:t>д</w:t>
      </w:r>
      <w:r w:rsidR="0058796D" w:rsidRPr="0058796D">
        <w:t>нако в случае проведения голосования по данному вопросу она воздержится. Она считает, что проблема состоит не в том, может ли та или иная неевропе</w:t>
      </w:r>
      <w:r w:rsidR="0058796D" w:rsidRPr="0058796D">
        <w:t>й</w:t>
      </w:r>
      <w:r w:rsidR="0058796D" w:rsidRPr="0058796D">
        <w:t>ская страна присоединиться к Соглашению или нет, поскольку это уже допуск</w:t>
      </w:r>
      <w:r w:rsidR="0058796D" w:rsidRPr="0058796D">
        <w:t>а</w:t>
      </w:r>
      <w:r w:rsidR="0058796D" w:rsidRPr="0058796D">
        <w:t>ется, а в том, в какой мере некоторые страны – Договаривающиеся стороны в состоянии эффективно применять требования ДОПОГ.</w:t>
      </w:r>
    </w:p>
    <w:p w:rsidR="0058796D" w:rsidRPr="0058796D" w:rsidRDefault="0058796D" w:rsidP="008C7047">
      <w:pPr>
        <w:pStyle w:val="HChGR"/>
      </w:pPr>
      <w:r w:rsidRPr="0058796D">
        <w:tab/>
      </w:r>
      <w:proofErr w:type="spellStart"/>
      <w:r w:rsidRPr="0058796D">
        <w:t>IV</w:t>
      </w:r>
      <w:proofErr w:type="spellEnd"/>
      <w:r w:rsidRPr="0058796D">
        <w:t>.</w:t>
      </w:r>
      <w:r w:rsidRPr="0058796D">
        <w:tab/>
        <w:t>Сост</w:t>
      </w:r>
      <w:r w:rsidR="008C7047">
        <w:t>ояние Европейского соглашения о</w:t>
      </w:r>
      <w:r w:rsidR="008C7047">
        <w:rPr>
          <w:lang w:val="en-US"/>
        </w:rPr>
        <w:t> </w:t>
      </w:r>
      <w:r w:rsidRPr="0058796D">
        <w:t xml:space="preserve">международной дорожной перевозке опасных грузов (ДОПОГ) и связанные с этим вопросы </w:t>
      </w:r>
      <w:r w:rsidR="006C50CA">
        <w:br/>
      </w:r>
      <w:r w:rsidRPr="0058796D">
        <w:t>(пункт 3 повестки дня)</w:t>
      </w:r>
    </w:p>
    <w:p w:rsidR="0058796D" w:rsidRPr="0058796D" w:rsidRDefault="0058796D" w:rsidP="008C7047">
      <w:pPr>
        <w:pStyle w:val="H1GR"/>
      </w:pPr>
      <w:r w:rsidRPr="0058796D">
        <w:tab/>
        <w:t>A.</w:t>
      </w:r>
      <w:r w:rsidRPr="0058796D">
        <w:tab/>
        <w:t>Состояние Соглашения и Протокола о внесении поправок 1993 года</w:t>
      </w:r>
    </w:p>
    <w:p w:rsidR="0058796D" w:rsidRPr="0058796D" w:rsidRDefault="0058796D" w:rsidP="0058796D">
      <w:pPr>
        <w:pStyle w:val="SingleTxtGR"/>
      </w:pPr>
      <w:r w:rsidRPr="0058796D">
        <w:t>11.</w:t>
      </w:r>
      <w:r w:rsidRPr="0058796D">
        <w:tab/>
        <w:t>Рабочая группа отметила, что к ДОПОГ не присоединились новые дог</w:t>
      </w:r>
      <w:r w:rsidRPr="0058796D">
        <w:t>о</w:t>
      </w:r>
      <w:r w:rsidRPr="0058796D">
        <w:t xml:space="preserve">варивающиеся стороны. </w:t>
      </w:r>
    </w:p>
    <w:p w:rsidR="0058796D" w:rsidRPr="0058796D" w:rsidRDefault="0058796D" w:rsidP="0058796D">
      <w:pPr>
        <w:pStyle w:val="SingleTxtGR"/>
      </w:pPr>
      <w:r w:rsidRPr="0058796D">
        <w:t>12.</w:t>
      </w:r>
      <w:r w:rsidRPr="0058796D">
        <w:tab/>
        <w:t>Рабочая группа отметила, что 13 стран (Азербайджан, Беларусь, Босния и Герцеговина, бывшая югославская Республика Македония, Грузия, Исландия, Казахстан, Мальта, Марокко, Таджикистан, Тунис, Хорватия и Черногория) все еще не сдали на хранение соответствующий юридический документ, необход</w:t>
      </w:r>
      <w:r w:rsidRPr="0058796D">
        <w:t>и</w:t>
      </w:r>
      <w:r w:rsidRPr="0058796D">
        <w:t>мый для вступления Протокола в силу, и призвала эти страны принять необх</w:t>
      </w:r>
      <w:r w:rsidRPr="0058796D">
        <w:t>о</w:t>
      </w:r>
      <w:r w:rsidRPr="0058796D">
        <w:t xml:space="preserve">димые меры с целью ратификации Протокола или присоединения к нему, с </w:t>
      </w:r>
      <w:proofErr w:type="gramStart"/>
      <w:r w:rsidRPr="0058796D">
        <w:t>тем</w:t>
      </w:r>
      <w:proofErr w:type="gramEnd"/>
      <w:r w:rsidRPr="0058796D">
        <w:t xml:space="preserve"> чтобы он мог вступить в силу.</w:t>
      </w:r>
    </w:p>
    <w:p w:rsidR="0058796D" w:rsidRPr="0058796D" w:rsidRDefault="0058796D" w:rsidP="008C7047">
      <w:pPr>
        <w:pStyle w:val="H1GR"/>
      </w:pPr>
      <w:r w:rsidRPr="0058796D">
        <w:tab/>
        <w:t>B.</w:t>
      </w:r>
      <w:r w:rsidRPr="0058796D">
        <w:tab/>
        <w:t>Исправления к изданию ДОПОГ 2017 года</w:t>
      </w:r>
    </w:p>
    <w:p w:rsidR="0058796D" w:rsidRPr="0058796D" w:rsidRDefault="0058796D" w:rsidP="008C7047">
      <w:pPr>
        <w:pStyle w:val="SingleTxtGR"/>
        <w:tabs>
          <w:tab w:val="left" w:pos="2552"/>
        </w:tabs>
        <w:jc w:val="left"/>
      </w:pPr>
      <w:r w:rsidRPr="0058796D">
        <w:rPr>
          <w:i/>
          <w:iCs/>
        </w:rPr>
        <w:t>Документы:</w:t>
      </w:r>
      <w:r w:rsidRPr="0058796D">
        <w:tab/>
      </w:r>
      <w:proofErr w:type="spellStart"/>
      <w:r w:rsidRPr="0058796D">
        <w:t>ECE</w:t>
      </w:r>
      <w:proofErr w:type="spellEnd"/>
      <w:r w:rsidRPr="0058796D">
        <w:t>/</w:t>
      </w:r>
      <w:proofErr w:type="spellStart"/>
      <w:r w:rsidRPr="0058796D">
        <w:t>TRANS</w:t>
      </w:r>
      <w:proofErr w:type="spellEnd"/>
      <w:r w:rsidRPr="0058796D">
        <w:t xml:space="preserve">/WP.15/237, приложение </w:t>
      </w:r>
      <w:proofErr w:type="spellStart"/>
      <w:r w:rsidRPr="0058796D">
        <w:t>III</w:t>
      </w:r>
      <w:proofErr w:type="spellEnd"/>
      <w:r w:rsidRPr="0058796D">
        <w:t xml:space="preserve"> (секретариат)</w:t>
      </w:r>
      <w:r w:rsidRPr="0058796D">
        <w:tab/>
      </w:r>
      <w:r w:rsidR="008C7047" w:rsidRPr="008C7047">
        <w:br/>
      </w:r>
      <w:r w:rsidR="008C7047" w:rsidRPr="008C7047">
        <w:tab/>
      </w:r>
      <w:r w:rsidR="008C7047" w:rsidRPr="008C7047">
        <w:tab/>
      </w:r>
      <w:r w:rsidR="008C7047" w:rsidRPr="008C7047">
        <w:tab/>
      </w:r>
      <w:proofErr w:type="spellStart"/>
      <w:r w:rsidRPr="0058796D">
        <w:t>ECE</w:t>
      </w:r>
      <w:proofErr w:type="spellEnd"/>
      <w:r w:rsidRPr="0058796D">
        <w:t>/</w:t>
      </w:r>
      <w:proofErr w:type="spellStart"/>
      <w:r w:rsidRPr="0058796D">
        <w:t>TRANS</w:t>
      </w:r>
      <w:proofErr w:type="spellEnd"/>
      <w:r w:rsidRPr="0058796D">
        <w:t xml:space="preserve">/WP.15/AC.1/148 </w:t>
      </w:r>
      <w:r w:rsidR="008C7047">
        <w:t xml:space="preserve">(Доклад Совместного совещания </w:t>
      </w:r>
      <w:r w:rsidR="008C7047" w:rsidRPr="008C7047">
        <w:br/>
      </w:r>
      <w:r w:rsidR="008C7047" w:rsidRPr="008C7047">
        <w:tab/>
      </w:r>
      <w:r w:rsidR="008C7047" w:rsidRPr="008C7047">
        <w:tab/>
      </w:r>
      <w:r w:rsidR="008C7047" w:rsidRPr="008C7047">
        <w:tab/>
      </w:r>
      <w:r w:rsidR="008C7047">
        <w:t>о</w:t>
      </w:r>
      <w:r w:rsidR="008C7047">
        <w:rPr>
          <w:lang w:val="en-US"/>
        </w:rPr>
        <w:t> </w:t>
      </w:r>
      <w:r w:rsidRPr="0058796D">
        <w:t>работе его сессии в сентябре 2017 года) (секретариат)</w:t>
      </w:r>
    </w:p>
    <w:p w:rsidR="0058796D" w:rsidRPr="0058796D" w:rsidRDefault="0058796D" w:rsidP="0058796D">
      <w:pPr>
        <w:pStyle w:val="SingleTxtGR"/>
      </w:pPr>
      <w:r w:rsidRPr="0058796D">
        <w:t>13.</w:t>
      </w:r>
      <w:r w:rsidRPr="0058796D">
        <w:tab/>
        <w:t>Рабочая группа отметила, что Договорная секция Управления ООН по правовым вопросам пришла к заключению, что некоторые исправления к ДОПОГ, принятые на 102-й сессии, не отвечают критериям исправления, опр</w:t>
      </w:r>
      <w:r w:rsidRPr="0058796D">
        <w:t>е</w:t>
      </w:r>
      <w:r w:rsidRPr="0058796D">
        <w:t>деленным Генеральным секретарем ООН для договоров, депозитарием которых он является.</w:t>
      </w:r>
    </w:p>
    <w:p w:rsidR="0058796D" w:rsidRPr="0058796D" w:rsidRDefault="0058796D" w:rsidP="0058796D">
      <w:pPr>
        <w:pStyle w:val="SingleTxtGR"/>
      </w:pPr>
      <w:r w:rsidRPr="0058796D">
        <w:t>14.</w:t>
      </w:r>
      <w:r w:rsidRPr="0058796D">
        <w:tab/>
        <w:t xml:space="preserve">В соответствии с установившейся практикой и во исполнение просьбы Рабочей группы на случай такого рода возможной ситуации Председатель </w:t>
      </w:r>
      <w:r w:rsidR="002C32B4" w:rsidRPr="002C32B4">
        <w:br/>
      </w:r>
      <w:r w:rsidRPr="0058796D">
        <w:t>Рабочей группы после консультаций с секретариатом принял решение предст</w:t>
      </w:r>
      <w:r w:rsidRPr="0058796D">
        <w:t>а</w:t>
      </w:r>
      <w:r w:rsidRPr="0058796D">
        <w:t xml:space="preserve">вить от имени правительства своей страны как мандатария Рабочей группы предложение о поправках, с </w:t>
      </w:r>
      <w:proofErr w:type="gramStart"/>
      <w:r w:rsidRPr="0058796D">
        <w:t>тем</w:t>
      </w:r>
      <w:proofErr w:type="gramEnd"/>
      <w:r w:rsidRPr="0058796D">
        <w:t xml:space="preserve"> чтобы как можно скорее ввести в действие данные изменения; указанное предложение отражено в уведомлении депозит</w:t>
      </w:r>
      <w:r w:rsidRPr="0058796D">
        <w:t>а</w:t>
      </w:r>
      <w:r w:rsidRPr="0058796D">
        <w:t xml:space="preserve">рия C.N.345.2017-TREATIES-XI.B.14 от 3 июля 2017 года. </w:t>
      </w:r>
    </w:p>
    <w:p w:rsidR="0058796D" w:rsidRPr="0058796D" w:rsidRDefault="0058796D" w:rsidP="0058796D">
      <w:pPr>
        <w:pStyle w:val="SingleTxtGR"/>
      </w:pPr>
      <w:r w:rsidRPr="0058796D">
        <w:t>15.</w:t>
      </w:r>
      <w:r w:rsidRPr="0058796D">
        <w:tab/>
        <w:t>Рабочая группа отметила, что данные поправки были сочтены принятыми (уведо</w:t>
      </w:r>
      <w:r w:rsidR="00DF4551">
        <w:t>мление депозитария C.N.626.2017-</w:t>
      </w:r>
      <w:r w:rsidRPr="0058796D">
        <w:t>TRE</w:t>
      </w:r>
      <w:r w:rsidR="002C32B4">
        <w:t>ATIES-XI.B.14 от 3</w:t>
      </w:r>
      <w:r w:rsidR="002C32B4">
        <w:rPr>
          <w:lang w:val="en-US"/>
        </w:rPr>
        <w:t> </w:t>
      </w:r>
      <w:r w:rsidR="002C32B4">
        <w:t>октября 2017</w:t>
      </w:r>
      <w:r w:rsidR="002C32B4">
        <w:rPr>
          <w:lang w:val="en-US"/>
        </w:rPr>
        <w:t> </w:t>
      </w:r>
      <w:r w:rsidRPr="0058796D">
        <w:t>года). Они вступят в силу 3 января 2018 года.</w:t>
      </w:r>
    </w:p>
    <w:p w:rsidR="0058796D" w:rsidRPr="0058796D" w:rsidRDefault="0058796D" w:rsidP="0058796D">
      <w:pPr>
        <w:pStyle w:val="SingleTxtGR"/>
      </w:pPr>
      <w:r w:rsidRPr="0058796D">
        <w:t>16.</w:t>
      </w:r>
      <w:r w:rsidRPr="0058796D">
        <w:tab/>
        <w:t>Рабочая группа отметила, что преобразование статуса этих изменений из «исправлений» в «поправки» создало юридическую проблему для Европейского союза (см. ECE/TRANS/WP.15/AC.1/148, пункты 101–109) и что Совместное совещание рекомендовало, в частности, обеспечить, чтобы в ходе подготовки проектов решений и их рассмотрения в Совете Европейского союза этим реш</w:t>
      </w:r>
      <w:r w:rsidRPr="0058796D">
        <w:t>е</w:t>
      </w:r>
      <w:r w:rsidRPr="0058796D">
        <w:t xml:space="preserve">ниям придавалась необходимая гибкость, с </w:t>
      </w:r>
      <w:proofErr w:type="gramStart"/>
      <w:r w:rsidRPr="0058796D">
        <w:t>тем</w:t>
      </w:r>
      <w:proofErr w:type="gramEnd"/>
      <w:r w:rsidRPr="0058796D">
        <w:t xml:space="preserve"> чтобы можно было вносить во</w:t>
      </w:r>
      <w:r w:rsidRPr="0058796D">
        <w:t>з</w:t>
      </w:r>
      <w:r w:rsidRPr="0058796D">
        <w:t>можные исправления или, когда это уместно, изменения в течение двухгодичн</w:t>
      </w:r>
      <w:r w:rsidRPr="0058796D">
        <w:t>о</w:t>
      </w:r>
      <w:r w:rsidRPr="0058796D">
        <w:t>го периода без необходимости принимать новое решение.</w:t>
      </w:r>
    </w:p>
    <w:p w:rsidR="0058796D" w:rsidRPr="0058796D" w:rsidRDefault="0058796D" w:rsidP="0058796D">
      <w:pPr>
        <w:pStyle w:val="SingleTxtGR"/>
      </w:pPr>
      <w:r w:rsidRPr="0058796D">
        <w:lastRenderedPageBreak/>
        <w:t>17.</w:t>
      </w:r>
      <w:r w:rsidRPr="0058796D">
        <w:tab/>
        <w:t>Рабочая группа будет и впредь по возможности ограничивать принятие поправок вне рамок двухгодичных сроков. Круг предлагаемых исправлений должен по-прежнему ограничиваться изменениями, отвечающими критериям исправления, которые были определены Генеральным секретарем ООН для д</w:t>
      </w:r>
      <w:r w:rsidRPr="0058796D">
        <w:t>о</w:t>
      </w:r>
      <w:r w:rsidRPr="0058796D">
        <w:t>говоров, депозитарием которых он является.</w:t>
      </w:r>
    </w:p>
    <w:p w:rsidR="0058796D" w:rsidRPr="0058796D" w:rsidRDefault="0058796D" w:rsidP="002C32B4">
      <w:pPr>
        <w:pStyle w:val="HChGR"/>
      </w:pPr>
      <w:r w:rsidRPr="0058796D">
        <w:tab/>
        <w:t>V.</w:t>
      </w:r>
      <w:r w:rsidRPr="0058796D">
        <w:tab/>
        <w:t xml:space="preserve">Работа Совместного совещания </w:t>
      </w:r>
      <w:proofErr w:type="spellStart"/>
      <w:r w:rsidRPr="0058796D">
        <w:t>МПОГ</w:t>
      </w:r>
      <w:proofErr w:type="spellEnd"/>
      <w:r w:rsidRPr="0058796D">
        <w:t>/</w:t>
      </w:r>
      <w:proofErr w:type="spellStart"/>
      <w:r w:rsidRPr="0058796D">
        <w:t>ДОПОГ</w:t>
      </w:r>
      <w:proofErr w:type="spellEnd"/>
      <w:r w:rsidRPr="0058796D">
        <w:t>/</w:t>
      </w:r>
      <w:proofErr w:type="spellStart"/>
      <w:r w:rsidRPr="0058796D">
        <w:t>ВОПОГ</w:t>
      </w:r>
      <w:proofErr w:type="spellEnd"/>
      <w:r w:rsidRPr="0058796D">
        <w:t xml:space="preserve"> (пункт 4 повестки дня)</w:t>
      </w:r>
    </w:p>
    <w:p w:rsidR="0058796D" w:rsidRPr="0058796D" w:rsidRDefault="0058796D" w:rsidP="006C50CA">
      <w:pPr>
        <w:pStyle w:val="SingleTxtGR"/>
        <w:tabs>
          <w:tab w:val="left" w:pos="2552"/>
        </w:tabs>
        <w:jc w:val="left"/>
      </w:pPr>
      <w:r w:rsidRPr="0058796D">
        <w:rPr>
          <w:i/>
          <w:iCs/>
        </w:rPr>
        <w:t>Документы:</w:t>
      </w:r>
      <w:r w:rsidRPr="0058796D">
        <w:tab/>
      </w:r>
      <w:proofErr w:type="spellStart"/>
      <w:r w:rsidRPr="0058796D">
        <w:t>ECE</w:t>
      </w:r>
      <w:proofErr w:type="spellEnd"/>
      <w:r w:rsidRPr="0058796D">
        <w:t>/</w:t>
      </w:r>
      <w:proofErr w:type="spellStart"/>
      <w:r w:rsidRPr="0058796D">
        <w:t>TRANS</w:t>
      </w:r>
      <w:proofErr w:type="spellEnd"/>
      <w:r w:rsidRPr="0058796D">
        <w:t xml:space="preserve">/WP.15/AC.1/146, приложение </w:t>
      </w:r>
      <w:proofErr w:type="spellStart"/>
      <w:r w:rsidRPr="0058796D">
        <w:t>II</w:t>
      </w:r>
      <w:proofErr w:type="spellEnd"/>
      <w:r w:rsidRPr="0058796D">
        <w:t xml:space="preserve"> (Поправки, </w:t>
      </w:r>
      <w:r w:rsidR="002C32B4" w:rsidRPr="002C32B4">
        <w:br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Pr="0058796D">
        <w:t xml:space="preserve">принятые Совместным совещанием на его сессии в марте </w:t>
      </w:r>
      <w:r w:rsidR="002C32B4" w:rsidRPr="002C32B4">
        <w:br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Pr="0058796D">
        <w:t>2017</w:t>
      </w:r>
      <w:r w:rsidR="002C32B4">
        <w:rPr>
          <w:lang w:val="en-US"/>
        </w:rPr>
        <w:t> </w:t>
      </w:r>
      <w:r w:rsidRPr="0058796D">
        <w:t xml:space="preserve">года) </w:t>
      </w:r>
      <w:r w:rsidR="00152140">
        <w:br/>
      </w:r>
      <w:r w:rsidR="00152140">
        <w:tab/>
      </w:r>
      <w:r w:rsidR="00152140">
        <w:tab/>
      </w:r>
      <w:r w:rsidR="00152140">
        <w:tab/>
      </w:r>
      <w:r w:rsidRPr="0058796D">
        <w:t xml:space="preserve">ECE/TRANS/WP.15/AC.1/2017/26/Add.1 </w:t>
      </w:r>
      <w:r w:rsidR="006C50CA">
        <w:br/>
      </w:r>
      <w:r w:rsidR="006C50CA">
        <w:tab/>
      </w:r>
      <w:r w:rsidR="006C50CA">
        <w:tab/>
      </w:r>
      <w:r w:rsidR="006C50CA">
        <w:tab/>
      </w:r>
      <w:r w:rsidRPr="0058796D">
        <w:t xml:space="preserve">ECE/TRANS/WP.15/AC.1/148/Add.1 (Поправки, принятые </w:t>
      </w:r>
      <w:r w:rsidR="002C32B4" w:rsidRPr="002C32B4">
        <w:br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Pr="0058796D">
        <w:t>Совместным совещанием на его сессии в сентябре 2017 года)</w:t>
      </w:r>
    </w:p>
    <w:p w:rsidR="0058796D" w:rsidRDefault="0058796D" w:rsidP="002C32B4">
      <w:pPr>
        <w:pStyle w:val="SingleTxtGR"/>
        <w:jc w:val="left"/>
      </w:pPr>
      <w:r w:rsidRPr="0058796D">
        <w:rPr>
          <w:i/>
          <w:iCs/>
        </w:rPr>
        <w:t>Неофициальные документы:</w:t>
      </w:r>
      <w:r w:rsidRPr="0058796D">
        <w:tab/>
      </w:r>
      <w:proofErr w:type="spellStart"/>
      <w:r w:rsidRPr="0058796D">
        <w:rPr>
          <w:lang w:val="fr-CH"/>
        </w:rPr>
        <w:t>INF</w:t>
      </w:r>
      <w:proofErr w:type="spellEnd"/>
      <w:r w:rsidRPr="0058796D">
        <w:t xml:space="preserve">.3 (секретариат), </w:t>
      </w:r>
      <w:proofErr w:type="spellStart"/>
      <w:r w:rsidRPr="0058796D">
        <w:rPr>
          <w:lang w:val="fr-CH"/>
        </w:rPr>
        <w:t>INF</w:t>
      </w:r>
      <w:proofErr w:type="spellEnd"/>
      <w:r w:rsidRPr="0058796D">
        <w:t xml:space="preserve">.10 (Швеция), </w:t>
      </w:r>
      <w:r w:rsidR="002C32B4" w:rsidRPr="002C32B4">
        <w:br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="002C32B4" w:rsidRPr="002C32B4">
        <w:tab/>
      </w:r>
      <w:proofErr w:type="spellStart"/>
      <w:r w:rsidRPr="0058796D">
        <w:rPr>
          <w:lang w:val="fr-CH"/>
        </w:rPr>
        <w:t>INF</w:t>
      </w:r>
      <w:proofErr w:type="spellEnd"/>
      <w:r w:rsidRPr="0058796D">
        <w:t xml:space="preserve">.13 (Латвия), </w:t>
      </w:r>
      <w:proofErr w:type="spellStart"/>
      <w:r w:rsidRPr="0058796D">
        <w:rPr>
          <w:lang w:val="fr-CH"/>
        </w:rPr>
        <w:t>INF</w:t>
      </w:r>
      <w:proofErr w:type="spellEnd"/>
      <w:r w:rsidRPr="0058796D">
        <w:t xml:space="preserve">.14 (Европейский союз), </w:t>
      </w:r>
      <w:r w:rsidR="002C32B4" w:rsidRPr="002C32B4">
        <w:br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="002C32B4" w:rsidRPr="002C32B4">
        <w:tab/>
      </w:r>
      <w:proofErr w:type="spellStart"/>
      <w:r w:rsidRPr="0058796D">
        <w:rPr>
          <w:lang w:val="fr-CH"/>
        </w:rPr>
        <w:t>INF</w:t>
      </w:r>
      <w:proofErr w:type="spellEnd"/>
      <w:r w:rsidRPr="0058796D">
        <w:t xml:space="preserve">.16 (Соединенное Королевство), </w:t>
      </w:r>
      <w:r w:rsidR="002C32B4" w:rsidRPr="002C32B4">
        <w:br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="002C32B4" w:rsidRPr="002C32B4">
        <w:tab/>
      </w:r>
      <w:proofErr w:type="spellStart"/>
      <w:r w:rsidRPr="0058796D">
        <w:rPr>
          <w:lang w:val="fr-CH"/>
        </w:rPr>
        <w:t>INF</w:t>
      </w:r>
      <w:proofErr w:type="spellEnd"/>
      <w:r w:rsidRPr="0058796D">
        <w:t xml:space="preserve">.20 (Германия), </w:t>
      </w:r>
      <w:proofErr w:type="spellStart"/>
      <w:r w:rsidRPr="0058796D">
        <w:rPr>
          <w:lang w:val="fr-CH"/>
        </w:rPr>
        <w:t>INF</w:t>
      </w:r>
      <w:proofErr w:type="spellEnd"/>
      <w:r w:rsidRPr="0058796D">
        <w:t xml:space="preserve">.23 (Швейцария), </w:t>
      </w:r>
      <w:r w:rsidR="002C32B4" w:rsidRPr="002C32B4">
        <w:br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="002C32B4" w:rsidRPr="002C32B4">
        <w:tab/>
      </w:r>
      <w:proofErr w:type="spellStart"/>
      <w:r w:rsidRPr="0058796D">
        <w:rPr>
          <w:lang w:val="fr-CH"/>
        </w:rPr>
        <w:t>INF</w:t>
      </w:r>
      <w:proofErr w:type="spellEnd"/>
      <w:r w:rsidRPr="0058796D">
        <w:t xml:space="preserve">.25 (Соединенное Королевство, Швейцария </w:t>
      </w:r>
      <w:r w:rsidR="002C32B4" w:rsidRPr="002C32B4">
        <w:br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="002C32B4" w:rsidRPr="002C32B4">
        <w:tab/>
      </w:r>
      <w:r w:rsidRPr="0058796D">
        <w:t>и Швеция)</w:t>
      </w:r>
    </w:p>
    <w:p w:rsidR="0058796D" w:rsidRPr="0058796D" w:rsidRDefault="0058796D" w:rsidP="002C32B4">
      <w:pPr>
        <w:pStyle w:val="H1GR"/>
      </w:pPr>
      <w:r w:rsidRPr="0058796D">
        <w:tab/>
        <w:t>A.</w:t>
      </w:r>
      <w:r w:rsidRPr="0058796D">
        <w:tab/>
        <w:t>Общие вопросы</w:t>
      </w:r>
    </w:p>
    <w:p w:rsidR="0058796D" w:rsidRPr="0058796D" w:rsidRDefault="0058796D" w:rsidP="0058796D">
      <w:pPr>
        <w:pStyle w:val="SingleTxtGR"/>
      </w:pPr>
      <w:r w:rsidRPr="0058796D">
        <w:t>18.</w:t>
      </w:r>
      <w:r w:rsidRPr="0058796D">
        <w:tab/>
        <w:t>Рабочая группа одобрила поправки, принятые Совместным совещанием, с некоторыми изменениями (см. приложение I).</w:t>
      </w:r>
    </w:p>
    <w:p w:rsidR="0058796D" w:rsidRPr="0058796D" w:rsidRDefault="0058796D" w:rsidP="002C32B4">
      <w:pPr>
        <w:pStyle w:val="H1GR"/>
      </w:pPr>
      <w:r w:rsidRPr="0058796D">
        <w:tab/>
        <w:t>B.</w:t>
      </w:r>
      <w:r w:rsidRPr="0058796D">
        <w:tab/>
        <w:t>Конкретные вопросы</w:t>
      </w:r>
    </w:p>
    <w:p w:rsidR="0058796D" w:rsidRPr="0058796D" w:rsidRDefault="0058796D" w:rsidP="002C32B4">
      <w:pPr>
        <w:pStyle w:val="H23GR"/>
      </w:pPr>
      <w:r w:rsidRPr="0058796D">
        <w:tab/>
        <w:t>1.</w:t>
      </w:r>
      <w:r w:rsidRPr="0058796D">
        <w:tab/>
        <w:t>Пункт 2.1.3.5.5</w:t>
      </w:r>
    </w:p>
    <w:p w:rsidR="0058796D" w:rsidRPr="0058796D" w:rsidRDefault="0058796D" w:rsidP="002C32B4">
      <w:pPr>
        <w:pStyle w:val="SingleTxtGR"/>
        <w:tabs>
          <w:tab w:val="left" w:pos="2552"/>
        </w:tabs>
        <w:jc w:val="left"/>
      </w:pPr>
      <w:r w:rsidRPr="0058796D">
        <w:rPr>
          <w:i/>
          <w:iCs/>
        </w:rPr>
        <w:t>Неофициальный документ:</w:t>
      </w:r>
      <w:r w:rsidRPr="0058796D">
        <w:tab/>
        <w:t>INF.14 (Европейский союз)</w:t>
      </w:r>
    </w:p>
    <w:p w:rsidR="0058796D" w:rsidRPr="0058796D" w:rsidRDefault="0058796D" w:rsidP="0058796D">
      <w:pPr>
        <w:pStyle w:val="SingleTxtGR"/>
      </w:pPr>
      <w:r w:rsidRPr="0058796D">
        <w:t>19.</w:t>
      </w:r>
      <w:r w:rsidRPr="0058796D">
        <w:tab/>
        <w:t>Рабочая группа приняла альтернативное предложение об изменении пункта 2.1.3.5.5, представленное в неофициальном документе INF.14.</w:t>
      </w:r>
    </w:p>
    <w:p w:rsidR="0058796D" w:rsidRPr="0058796D" w:rsidRDefault="0058796D" w:rsidP="002C32B4">
      <w:pPr>
        <w:pStyle w:val="H23GR"/>
      </w:pPr>
      <w:r w:rsidRPr="0058796D">
        <w:tab/>
        <w:t>2.</w:t>
      </w:r>
      <w:r w:rsidRPr="0058796D">
        <w:tab/>
        <w:t>Специальное положение 660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Неофициальный документ:</w:t>
      </w:r>
      <w:r w:rsidRPr="0058796D">
        <w:tab/>
        <w:t>INF.20 (Германия)</w:t>
      </w:r>
    </w:p>
    <w:p w:rsidR="0058796D" w:rsidRPr="0058796D" w:rsidRDefault="0058796D" w:rsidP="0058796D">
      <w:pPr>
        <w:pStyle w:val="SingleTxtGR"/>
      </w:pPr>
      <w:r w:rsidRPr="0058796D">
        <w:t>20.</w:t>
      </w:r>
      <w:r w:rsidRPr="0058796D">
        <w:tab/>
        <w:t>Рабочая группа приняла предложение Германии об исключ</w:t>
      </w:r>
      <w:r w:rsidRPr="0058796D">
        <w:t>е</w:t>
      </w:r>
      <w:r w:rsidRPr="0058796D">
        <w:t>нии</w:t>
      </w:r>
      <w:r w:rsidRPr="0058796D">
        <w:rPr>
          <w:lang w:val="en-US"/>
        </w:rPr>
        <w:t> </w:t>
      </w:r>
      <w:r w:rsidRPr="0058796D">
        <w:t>№</w:t>
      </w:r>
      <w:r w:rsidRPr="0058796D">
        <w:rPr>
          <w:lang w:val="en-US"/>
        </w:rPr>
        <w:t> </w:t>
      </w:r>
      <w:r w:rsidRPr="0058796D">
        <w:t>ООН</w:t>
      </w:r>
      <w:r w:rsidRPr="0058796D">
        <w:rPr>
          <w:lang w:val="en-US"/>
        </w:rPr>
        <w:t> </w:t>
      </w:r>
      <w:r w:rsidRPr="0058796D">
        <w:t>1070, 1072, 2073, 2451, 3156 и 3157 из перечня номеров ООН, к</w:t>
      </w:r>
      <w:r w:rsidRPr="0058796D">
        <w:t>о</w:t>
      </w:r>
      <w:r w:rsidRPr="0058796D">
        <w:t>торым было предложено назначить специальное положение 660 (см. прилож</w:t>
      </w:r>
      <w:r w:rsidRPr="0058796D">
        <w:t>е</w:t>
      </w:r>
      <w:r w:rsidRPr="0058796D">
        <w:t>ние I).</w:t>
      </w:r>
    </w:p>
    <w:p w:rsidR="0058796D" w:rsidRPr="0058796D" w:rsidRDefault="0058796D" w:rsidP="002C32B4">
      <w:pPr>
        <w:pStyle w:val="H23GR"/>
      </w:pPr>
      <w:r w:rsidRPr="0058796D">
        <w:tab/>
        <w:t>3.</w:t>
      </w:r>
      <w:r w:rsidRPr="0058796D">
        <w:tab/>
        <w:t>Размещение больших знаков опасности на грузовых транспортных единицах, в которых установлены батареи (№ ООН 3536)</w:t>
      </w:r>
    </w:p>
    <w:p w:rsidR="0058796D" w:rsidRPr="0058796D" w:rsidRDefault="0058796D" w:rsidP="0058796D">
      <w:pPr>
        <w:pStyle w:val="SingleTxtGR"/>
      </w:pPr>
      <w:r w:rsidRPr="0058796D">
        <w:t>2</w:t>
      </w:r>
      <w:r w:rsidR="00743B6D">
        <w:t>1.</w:t>
      </w:r>
      <w:r w:rsidR="00743B6D">
        <w:tab/>
        <w:t>Рабочая группа отметила, что согласно пункту 5.3.1.1.4</w:t>
      </w:r>
      <w:r w:rsidRPr="0058796D">
        <w:t xml:space="preserve"> большие знаки опасности, размещаемые на грузовой транспортной единице, должны соотве</w:t>
      </w:r>
      <w:r w:rsidRPr="0058796D">
        <w:t>т</w:t>
      </w:r>
      <w:r w:rsidRPr="0058796D">
        <w:t>ствовать образцу № 9, приведенному в пункте 5.2.2.2.2, и что последний абзац специального положения 389 освобождает батареи, находящиеся внутри груз</w:t>
      </w:r>
      <w:r w:rsidRPr="0058796D">
        <w:t>о</w:t>
      </w:r>
      <w:r w:rsidRPr="0058796D">
        <w:t>вой транспортной единицы, от действия требований в отношении маркировки и знаков опасности. В результате Рабочая группа приняла устное предложение представителя Соединенного Королевства заменить «9А» на «9» в колонке 5 таблицы</w:t>
      </w:r>
      <w:proofErr w:type="gramStart"/>
      <w:r w:rsidRPr="0058796D">
        <w:t xml:space="preserve"> А</w:t>
      </w:r>
      <w:proofErr w:type="gramEnd"/>
      <w:r w:rsidRPr="0058796D">
        <w:t xml:space="preserve"> для № ООН 3536 (см. приложение I).</w:t>
      </w:r>
    </w:p>
    <w:p w:rsidR="0058796D" w:rsidRPr="0058796D" w:rsidRDefault="004F20A7" w:rsidP="004F20A7">
      <w:pPr>
        <w:pStyle w:val="H23GR"/>
      </w:pPr>
      <w:r>
        <w:br w:type="page"/>
      </w:r>
      <w:r w:rsidR="0058796D" w:rsidRPr="0058796D">
        <w:lastRenderedPageBreak/>
        <w:tab/>
        <w:t>4.</w:t>
      </w:r>
      <w:r w:rsidR="0058796D" w:rsidRPr="0058796D">
        <w:tab/>
        <w:t>Свиные туши, инфицированные вирусом африканской чумы свиней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Неофициальный документ:</w:t>
      </w:r>
      <w:r w:rsidRPr="0058796D">
        <w:tab/>
        <w:t xml:space="preserve">INF.13 (Латвия) </w:t>
      </w:r>
    </w:p>
    <w:p w:rsidR="0058796D" w:rsidRPr="0058796D" w:rsidRDefault="0058796D" w:rsidP="0058796D">
      <w:pPr>
        <w:pStyle w:val="SingleTxtGR"/>
      </w:pPr>
      <w:r w:rsidRPr="0058796D">
        <w:t>22.</w:t>
      </w:r>
      <w:r w:rsidRPr="0058796D">
        <w:tab/>
        <w:t>Выступившие делегации выразили мнение, что до 31 декабря 2018 года туши диких кабанов и домашних свиней, инфицированные вирусом африка</w:t>
      </w:r>
      <w:r w:rsidRPr="0058796D">
        <w:t>н</w:t>
      </w:r>
      <w:r w:rsidRPr="0058796D">
        <w:t>ской чумы свиней, должны относиться к № ООН 2900, независимо от того, присутствует ли вирус в культуре или нет.</w:t>
      </w:r>
    </w:p>
    <w:p w:rsidR="0058796D" w:rsidRPr="0058796D" w:rsidRDefault="0058796D" w:rsidP="0058796D">
      <w:pPr>
        <w:pStyle w:val="SingleTxtGR"/>
      </w:pPr>
      <w:r w:rsidRPr="0058796D">
        <w:t>23.</w:t>
      </w:r>
      <w:r w:rsidRPr="0058796D">
        <w:tab/>
        <w:t>Эти делегации подтвердили, что поправки, принятые для издания ДОПОГ 2019 года, изменят данную классификацию. Туши будут классифиц</w:t>
      </w:r>
      <w:r w:rsidRPr="0058796D">
        <w:t>и</w:t>
      </w:r>
      <w:r w:rsidRPr="0058796D">
        <w:t>роваться в зависимости от присутствующих патогенных организмов. Таким о</w:t>
      </w:r>
      <w:r w:rsidRPr="0058796D">
        <w:t>б</w:t>
      </w:r>
      <w:r w:rsidRPr="0058796D">
        <w:t>разом, туши диких кабанов и домашних свиней, инфицированные вирусом а</w:t>
      </w:r>
      <w:r w:rsidRPr="0058796D">
        <w:t>ф</w:t>
      </w:r>
      <w:r w:rsidRPr="0058796D">
        <w:t>риканской чумы свиней естественным путем, будут классифицированы по кат</w:t>
      </w:r>
      <w:r w:rsidRPr="0058796D">
        <w:t>е</w:t>
      </w:r>
      <w:r w:rsidRPr="0058796D">
        <w:t>гории</w:t>
      </w:r>
      <w:proofErr w:type="gramStart"/>
      <w:r w:rsidRPr="0058796D">
        <w:t xml:space="preserve"> В</w:t>
      </w:r>
      <w:proofErr w:type="gramEnd"/>
      <w:r w:rsidRPr="0058796D">
        <w:t xml:space="preserve"> (№ ООН 3373).</w:t>
      </w:r>
    </w:p>
    <w:p w:rsidR="0058796D" w:rsidRPr="0058796D" w:rsidRDefault="0058796D" w:rsidP="00034D7E">
      <w:pPr>
        <w:pStyle w:val="H23GR"/>
      </w:pPr>
      <w:r w:rsidRPr="0058796D">
        <w:tab/>
        <w:t>5.</w:t>
      </w:r>
      <w:r w:rsidRPr="0058796D">
        <w:tab/>
        <w:t>Обозначение подпунктов в пункте 4.3.3.5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Неофициальный документ:</w:t>
      </w:r>
      <w:r w:rsidRPr="0058796D">
        <w:tab/>
        <w:t>INF.10 (Швеция)</w:t>
      </w:r>
    </w:p>
    <w:p w:rsidR="0058796D" w:rsidRPr="0058796D" w:rsidRDefault="0058796D" w:rsidP="0058796D">
      <w:pPr>
        <w:pStyle w:val="SingleTxtGR"/>
      </w:pPr>
      <w:r w:rsidRPr="0058796D">
        <w:t>24.</w:t>
      </w:r>
      <w:r w:rsidRPr="0058796D">
        <w:tab/>
        <w:t>Рабочая группа отметила, что обозначение подпунктов в пункте 4.3.3.5 может создать проблемы в случае перекрестных ссылок. Представитель Ирла</w:t>
      </w:r>
      <w:r w:rsidRPr="0058796D">
        <w:t>н</w:t>
      </w:r>
      <w:r w:rsidRPr="0058796D">
        <w:t>дии предложила разбить пункт 4.3.3.5 на два отдельных пункта для облегчения последующих ссылок на данные требования. Это предложение было принято (см. приложение I).</w:t>
      </w:r>
    </w:p>
    <w:p w:rsidR="0058796D" w:rsidRPr="0058796D" w:rsidRDefault="0058796D" w:rsidP="00034D7E">
      <w:pPr>
        <w:pStyle w:val="H23GR"/>
      </w:pPr>
      <w:r w:rsidRPr="0058796D">
        <w:tab/>
        <w:t>6.</w:t>
      </w:r>
      <w:r w:rsidRPr="0058796D">
        <w:tab/>
        <w:t>Ссылки на стандарты</w:t>
      </w:r>
    </w:p>
    <w:p w:rsidR="0058796D" w:rsidRPr="0058796D" w:rsidRDefault="0058796D" w:rsidP="0058796D">
      <w:pPr>
        <w:pStyle w:val="SingleTxtGR"/>
      </w:pPr>
      <w:r w:rsidRPr="0058796D">
        <w:t>25.</w:t>
      </w:r>
      <w:r w:rsidRPr="0058796D">
        <w:tab/>
        <w:t>Ссылки на неопубликованные стандарты и неопубликованные добавления к стандартам (</w:t>
      </w:r>
      <w:proofErr w:type="spellStart"/>
      <w:r w:rsidRPr="0058796D">
        <w:t>EN</w:t>
      </w:r>
      <w:proofErr w:type="spellEnd"/>
      <w:r w:rsidRPr="0058796D">
        <w:t xml:space="preserve"> </w:t>
      </w:r>
      <w:proofErr w:type="spellStart"/>
      <w:r w:rsidRPr="0058796D">
        <w:t>ISO</w:t>
      </w:r>
      <w:proofErr w:type="spellEnd"/>
      <w:r w:rsidRPr="0058796D">
        <w:t xml:space="preserve"> 17871:2015 + A1:[2018], </w:t>
      </w:r>
      <w:proofErr w:type="spellStart"/>
      <w:r w:rsidRPr="0058796D">
        <w:t>EN</w:t>
      </w:r>
      <w:proofErr w:type="spellEnd"/>
      <w:r w:rsidRPr="0058796D">
        <w:t xml:space="preserve"> 1440:2016 + A1 [2018], </w:t>
      </w:r>
      <w:proofErr w:type="spellStart"/>
      <w:r w:rsidRPr="0058796D">
        <w:t>EN</w:t>
      </w:r>
      <w:proofErr w:type="spellEnd"/>
      <w:r w:rsidRPr="0058796D">
        <w:rPr>
          <w:lang w:val="en-US"/>
        </w:rPr>
        <w:t> </w:t>
      </w:r>
      <w:r w:rsidRPr="0058796D">
        <w:t xml:space="preserve">16728:2016 + A1:[2018] и </w:t>
      </w:r>
      <w:proofErr w:type="spellStart"/>
      <w:r w:rsidRPr="0058796D">
        <w:t>EN</w:t>
      </w:r>
      <w:proofErr w:type="spellEnd"/>
      <w:r w:rsidRPr="0058796D">
        <w:t xml:space="preserve"> 13317:[2018]) будут исключены в том случае, если соответствующие стандарты не будут опубликованы до следующей сессии Рабочей группы (14–18 мая 2018 года). </w:t>
      </w:r>
    </w:p>
    <w:p w:rsidR="0058796D" w:rsidRPr="0058796D" w:rsidRDefault="0058796D" w:rsidP="00034D7E">
      <w:pPr>
        <w:pStyle w:val="H23GR"/>
      </w:pPr>
      <w:r w:rsidRPr="0058796D">
        <w:tab/>
        <w:t>7.</w:t>
      </w:r>
      <w:r w:rsidRPr="0058796D">
        <w:tab/>
        <w:t>Пункт 5.3.2.1.6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Неофициальный документ:</w:t>
      </w:r>
      <w:r w:rsidRPr="0058796D">
        <w:tab/>
        <w:t>INF.16 (Соединенное Королевство)</w:t>
      </w:r>
    </w:p>
    <w:p w:rsidR="0058796D" w:rsidRPr="0058796D" w:rsidRDefault="0058796D" w:rsidP="0058796D">
      <w:pPr>
        <w:pStyle w:val="SingleTxtGR"/>
      </w:pPr>
      <w:r w:rsidRPr="0058796D">
        <w:t>26.</w:t>
      </w:r>
      <w:r w:rsidRPr="0058796D">
        <w:tab/>
        <w:t xml:space="preserve">Представитель Австрия подтвердил, что второй подпункт пункта 5.3.2.1.6 с поправками, содержащимися в неофициальном документе INF.3, касается только неопасных грузов. Представитель Соединенного Королевства заявила, что в таком случае оговорки, изложенные в неофициальном документе INF.16, снимаются. </w:t>
      </w:r>
    </w:p>
    <w:p w:rsidR="0058796D" w:rsidRPr="0058796D" w:rsidRDefault="0058796D" w:rsidP="0058796D">
      <w:pPr>
        <w:pStyle w:val="SingleTxtGR"/>
      </w:pPr>
      <w:r w:rsidRPr="0058796D">
        <w:t>27.</w:t>
      </w:r>
      <w:r w:rsidRPr="0058796D">
        <w:tab/>
        <w:t>Ряд делегаций высказали мнение о том, что текст ДОПОГ 2017 года явл</w:t>
      </w:r>
      <w:r w:rsidRPr="0058796D">
        <w:t>я</w:t>
      </w:r>
      <w:r w:rsidRPr="0058796D">
        <w:t>ется достаточно ясным, и заявили, что хотели бы иметь больше времени для рассмотрения предлагаемой поправки к пункту 5.3.2.1.6. Данная поправка ост</w:t>
      </w:r>
      <w:r w:rsidRPr="0058796D">
        <w:t>а</w:t>
      </w:r>
      <w:r w:rsidRPr="0058796D">
        <w:t>ется заключенной в квадратные скобки в ожидании принятия решения на сл</w:t>
      </w:r>
      <w:r w:rsidRPr="0058796D">
        <w:t>е</w:t>
      </w:r>
      <w:r w:rsidRPr="0058796D">
        <w:t>дующей сессии Рабочей группы.</w:t>
      </w:r>
    </w:p>
    <w:p w:rsidR="0058796D" w:rsidRPr="0058796D" w:rsidRDefault="0058796D" w:rsidP="00034D7E">
      <w:pPr>
        <w:pStyle w:val="H23GR"/>
      </w:pPr>
      <w:r w:rsidRPr="0058796D">
        <w:tab/>
        <w:t>8.</w:t>
      </w:r>
      <w:r w:rsidRPr="0058796D">
        <w:tab/>
        <w:t>Тексты, оставленные в квадратных скобках Совместным совещанием</w:t>
      </w:r>
    </w:p>
    <w:p w:rsidR="0058796D" w:rsidRPr="0058796D" w:rsidRDefault="0058796D" w:rsidP="0058796D">
      <w:pPr>
        <w:pStyle w:val="SingleTxtGR"/>
      </w:pPr>
      <w:r w:rsidRPr="0058796D">
        <w:t>28.</w:t>
      </w:r>
      <w:r w:rsidRPr="0058796D">
        <w:tab/>
        <w:t>Рабочая группа приняла предложенные поправки к примечанию в спец</w:t>
      </w:r>
      <w:r w:rsidRPr="0058796D">
        <w:t>и</w:t>
      </w:r>
      <w:r w:rsidRPr="0058796D">
        <w:t>альном положении 301 и к пунктам 5.2.2.2.1.1.2, 6.8.2.2.10 и 6.8.5.1.2, отметив при этом, что Совместное совещание сможет еще</w:t>
      </w:r>
      <w:r w:rsidRPr="0058796D">
        <w:rPr>
          <w:lang w:val="en-US"/>
        </w:rPr>
        <w:t> </w:t>
      </w:r>
      <w:r w:rsidRPr="0058796D">
        <w:t>внести в них изменения на своей следующей сессии (см. приложение I). Путем голосования Рабочая гру</w:t>
      </w:r>
      <w:r w:rsidRPr="0058796D">
        <w:t>п</w:t>
      </w:r>
      <w:r w:rsidRPr="0058796D">
        <w:t>па решила сохранить текст пункта 6.8.2.1.18 в квадратных скобках. Этот текст будет вновь рассмотрен на следующей сессии после того, как Совместное с</w:t>
      </w:r>
      <w:r w:rsidRPr="0058796D">
        <w:t>о</w:t>
      </w:r>
      <w:r w:rsidRPr="0058796D">
        <w:t>вещание сочтет, что его целесообразно принять для вступления в силу 1 января 2019 года.</w:t>
      </w:r>
    </w:p>
    <w:p w:rsidR="0058796D" w:rsidRPr="0058796D" w:rsidRDefault="0058796D" w:rsidP="00034D7E">
      <w:pPr>
        <w:pStyle w:val="H23GR"/>
      </w:pPr>
      <w:r w:rsidRPr="0058796D">
        <w:lastRenderedPageBreak/>
        <w:tab/>
        <w:t>9.</w:t>
      </w:r>
      <w:r w:rsidRPr="0058796D">
        <w:tab/>
        <w:t>Раздел 7.1.7</w:t>
      </w:r>
    </w:p>
    <w:p w:rsidR="0058796D" w:rsidRPr="0058796D" w:rsidRDefault="0058796D" w:rsidP="0058796D">
      <w:pPr>
        <w:pStyle w:val="SingleTxtGR"/>
      </w:pPr>
      <w:r w:rsidRPr="0058796D">
        <w:t>29.</w:t>
      </w:r>
      <w:r w:rsidRPr="0058796D">
        <w:tab/>
        <w:t>Рабочая группа утвердила новый раздел 7.1.7, включая большинство формулировок в квадратных скобках, взятых из нынешнего варианта специал</w:t>
      </w:r>
      <w:r w:rsidRPr="0058796D">
        <w:t>ь</w:t>
      </w:r>
      <w:r w:rsidRPr="0058796D">
        <w:t>ных положений S4 и V8 ДОПОГ. Она отметила, что меры, предложенные в по</w:t>
      </w:r>
      <w:r w:rsidRPr="0058796D">
        <w:t>д</w:t>
      </w:r>
      <w:r w:rsidRPr="0058796D">
        <w:t>пунктах c), d) и e) пункта 7.1.7.4.5, не имеют смысла без теплоизоляции. Раб</w:t>
      </w:r>
      <w:r w:rsidRPr="0058796D">
        <w:t>о</w:t>
      </w:r>
      <w:r w:rsidRPr="0058796D">
        <w:t xml:space="preserve">чая группа предложила представителю Нидерландов довести этот вопрос до сведения Подкомитета экспертов по перевозке опасных грузов, с </w:t>
      </w:r>
      <w:proofErr w:type="gramStart"/>
      <w:r w:rsidRPr="0058796D">
        <w:t>тем</w:t>
      </w:r>
      <w:proofErr w:type="gramEnd"/>
      <w:r w:rsidRPr="0058796D">
        <w:t xml:space="preserve"> чтобы в случае необходимости внести исправления в Типовые правила.</w:t>
      </w:r>
    </w:p>
    <w:p w:rsidR="0058796D" w:rsidRPr="0058796D" w:rsidRDefault="0058796D" w:rsidP="00034D7E">
      <w:pPr>
        <w:pStyle w:val="H23GR"/>
      </w:pPr>
      <w:r w:rsidRPr="0058796D">
        <w:tab/>
        <w:t>10.</w:t>
      </w:r>
      <w:r w:rsidRPr="0058796D">
        <w:tab/>
        <w:t>Примечание в разделе 2.1.5</w:t>
      </w:r>
    </w:p>
    <w:p w:rsidR="0058796D" w:rsidRPr="0058796D" w:rsidRDefault="0058796D" w:rsidP="00034D7E">
      <w:pPr>
        <w:pStyle w:val="SingleTxtGR"/>
        <w:jc w:val="left"/>
      </w:pPr>
      <w:r w:rsidRPr="0058796D">
        <w:rPr>
          <w:i/>
        </w:rPr>
        <w:t>Неофициальные документы</w:t>
      </w:r>
      <w:r w:rsidRPr="0058796D">
        <w:t>:</w:t>
      </w:r>
      <w:r w:rsidRPr="0058796D">
        <w:tab/>
        <w:t xml:space="preserve">INF.23 (Швейцария), INF.25 (Соединенное </w:t>
      </w:r>
      <w:r w:rsidRPr="0058796D">
        <w:br/>
      </w:r>
      <w:r w:rsidRPr="0058796D">
        <w:tab/>
      </w:r>
      <w:r w:rsidRPr="0058796D">
        <w:tab/>
      </w:r>
      <w:r w:rsidRPr="0058796D">
        <w:tab/>
      </w:r>
      <w:r w:rsidRPr="0058796D">
        <w:tab/>
      </w:r>
      <w:r w:rsidRPr="0058796D">
        <w:tab/>
        <w:t>Королевство, Швейцария и Швеция)</w:t>
      </w:r>
    </w:p>
    <w:p w:rsidR="0058796D" w:rsidRPr="0058796D" w:rsidRDefault="0058796D" w:rsidP="0058796D">
      <w:pPr>
        <w:pStyle w:val="SingleTxtGR"/>
      </w:pPr>
      <w:r w:rsidRPr="0058796D">
        <w:t>30.</w:t>
      </w:r>
      <w:r w:rsidRPr="0058796D">
        <w:tab/>
        <w:t>Рабочая группа приняла предложение изменить те</w:t>
      </w:r>
      <w:proofErr w:type="gramStart"/>
      <w:r w:rsidRPr="0058796D">
        <w:t>кст пр</w:t>
      </w:r>
      <w:proofErr w:type="gramEnd"/>
      <w:r w:rsidRPr="0058796D">
        <w:t>имечания 1 и и</w:t>
      </w:r>
      <w:r w:rsidRPr="0058796D">
        <w:t>с</w:t>
      </w:r>
      <w:r w:rsidRPr="0058796D">
        <w:t>ключить примечание 2 (см. приложение I).</w:t>
      </w:r>
    </w:p>
    <w:p w:rsidR="0058796D" w:rsidRPr="0058796D" w:rsidRDefault="0058796D" w:rsidP="00034D7E">
      <w:pPr>
        <w:pStyle w:val="HChGR"/>
        <w:rPr>
          <w:i/>
        </w:rPr>
      </w:pPr>
      <w:r w:rsidRPr="0058796D">
        <w:tab/>
        <w:t>VI.</w:t>
      </w:r>
      <w:r w:rsidRPr="0058796D">
        <w:tab/>
        <w:t>Предложения о внесении поправок в приложения A и</w:t>
      </w:r>
      <w:r w:rsidRPr="0058796D">
        <w:rPr>
          <w:lang w:val="en-US"/>
        </w:rPr>
        <w:t> </w:t>
      </w:r>
      <w:r w:rsidRPr="0058796D">
        <w:t>B к ДОПОГ (пункт 5 повестки дня)</w:t>
      </w:r>
    </w:p>
    <w:p w:rsidR="0058796D" w:rsidRPr="0058796D" w:rsidRDefault="0058796D" w:rsidP="00034D7E">
      <w:pPr>
        <w:pStyle w:val="H1GR"/>
      </w:pPr>
      <w:r w:rsidRPr="0058796D">
        <w:rPr>
          <w:bCs/>
        </w:rPr>
        <w:tab/>
        <w:t>A.</w:t>
      </w:r>
      <w:r w:rsidRPr="0058796D">
        <w:tab/>
        <w:t>Конструкция и допущение к перевозке транспортных средств</w:t>
      </w:r>
    </w:p>
    <w:p w:rsidR="0058796D" w:rsidRPr="0058796D" w:rsidRDefault="0058796D" w:rsidP="00034D7E">
      <w:pPr>
        <w:pStyle w:val="H23GR"/>
      </w:pPr>
      <w:r w:rsidRPr="0058796D">
        <w:tab/>
        <w:t>1.</w:t>
      </w:r>
      <w:r w:rsidRPr="0058796D">
        <w:tab/>
        <w:t xml:space="preserve">Освобождение от требования в отношении первого осмотра транспортных средств </w:t>
      </w:r>
      <w:proofErr w:type="spellStart"/>
      <w:r w:rsidRPr="0058796D">
        <w:t>EX</w:t>
      </w:r>
      <w:proofErr w:type="spellEnd"/>
      <w:r w:rsidRPr="0058796D">
        <w:t>/</w:t>
      </w:r>
      <w:proofErr w:type="spellStart"/>
      <w:r w:rsidRPr="0058796D">
        <w:t>II</w:t>
      </w:r>
      <w:proofErr w:type="spellEnd"/>
      <w:r w:rsidRPr="0058796D">
        <w:t xml:space="preserve">, </w:t>
      </w:r>
      <w:proofErr w:type="spellStart"/>
      <w:r w:rsidRPr="0058796D">
        <w:t>EX</w:t>
      </w:r>
      <w:proofErr w:type="spellEnd"/>
      <w:r w:rsidRPr="0058796D">
        <w:t>/</w:t>
      </w:r>
      <w:proofErr w:type="spellStart"/>
      <w:r w:rsidRPr="0058796D">
        <w:t>III</w:t>
      </w:r>
      <w:proofErr w:type="spellEnd"/>
      <w:r w:rsidRPr="0058796D">
        <w:t xml:space="preserve">, </w:t>
      </w:r>
      <w:proofErr w:type="spellStart"/>
      <w:r w:rsidRPr="0058796D">
        <w:t>FL</w:t>
      </w:r>
      <w:proofErr w:type="spellEnd"/>
      <w:r w:rsidRPr="0058796D">
        <w:t xml:space="preserve"> и </w:t>
      </w:r>
      <w:proofErr w:type="spellStart"/>
      <w:r w:rsidRPr="0058796D">
        <w:t>AT</w:t>
      </w:r>
      <w:proofErr w:type="spellEnd"/>
      <w:r w:rsidRPr="0058796D">
        <w:t xml:space="preserve"> и </w:t>
      </w:r>
      <w:proofErr w:type="spellStart"/>
      <w:r w:rsidRPr="0058796D">
        <w:t>MEMU</w:t>
      </w:r>
      <w:proofErr w:type="spellEnd"/>
      <w:r w:rsidRPr="0058796D">
        <w:t>, тип которых официально утвержден согласно подразделу 9.1.2.2 и на которые выдана декларация о</w:t>
      </w:r>
      <w:r w:rsidRPr="0058796D">
        <w:rPr>
          <w:lang w:val="en-US"/>
        </w:rPr>
        <w:t> </w:t>
      </w:r>
      <w:r w:rsidRPr="0058796D">
        <w:t>соответствии требованиям главы 9.2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Документ:</w:t>
      </w:r>
      <w:r w:rsidRPr="0058796D">
        <w:tab/>
        <w:t>ECE/TRANS/WP.15/2017/11 (Соединенное Королевство)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Неофициальный документ</w:t>
      </w:r>
      <w:r w:rsidRPr="0058796D">
        <w:t>:</w:t>
      </w:r>
      <w:r w:rsidRPr="0058796D">
        <w:tab/>
        <w:t>INF.24 (Соединенное Королевство)</w:t>
      </w:r>
    </w:p>
    <w:p w:rsidR="0058796D" w:rsidRPr="0058796D" w:rsidRDefault="0058796D" w:rsidP="0058796D">
      <w:pPr>
        <w:pStyle w:val="SingleTxtGR"/>
      </w:pPr>
      <w:r w:rsidRPr="0058796D">
        <w:t>31.</w:t>
      </w:r>
      <w:r w:rsidRPr="0058796D">
        <w:tab/>
        <w:t>Рабочая группа отметила, что Соединенное Королевство представит на следующей сессии пересмотренное предложение с учетом накопленного опыта и полученных замечаний. Делегациям, желающим передать свои замечания, было предложено передать их в письменном виде представителю Соединенного Королевства.</w:t>
      </w:r>
    </w:p>
    <w:p w:rsidR="0058796D" w:rsidRPr="0058796D" w:rsidRDefault="0058796D" w:rsidP="00034D7E">
      <w:pPr>
        <w:pStyle w:val="H23GR"/>
      </w:pPr>
      <w:r w:rsidRPr="0058796D">
        <w:tab/>
        <w:t>2.</w:t>
      </w:r>
      <w:r w:rsidRPr="0058796D">
        <w:tab/>
        <w:t>Транспортные средства, отвечающие требованию пункта 9.2.2.2.2 в</w:t>
      </w:r>
      <w:r w:rsidRPr="0058796D">
        <w:rPr>
          <w:lang w:val="en-US"/>
        </w:rPr>
        <w:t> </w:t>
      </w:r>
      <w:r w:rsidRPr="0058796D">
        <w:t>отношении дополнительной защиты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Документ:</w:t>
      </w:r>
      <w:r w:rsidRPr="0058796D">
        <w:tab/>
        <w:t>ECE/TRANS/WP.15/2017/14 (Швейцария)</w:t>
      </w:r>
    </w:p>
    <w:p w:rsidR="0058796D" w:rsidRPr="0058796D" w:rsidRDefault="0058796D" w:rsidP="0058796D">
      <w:pPr>
        <w:pStyle w:val="SingleTxtGR"/>
      </w:pPr>
      <w:r w:rsidRPr="0058796D">
        <w:t>32.</w:t>
      </w:r>
      <w:r w:rsidRPr="0058796D">
        <w:tab/>
        <w:t>Несколько делегаций высказали мнение, что термин «автофургон», и</w:t>
      </w:r>
      <w:r w:rsidRPr="0058796D">
        <w:t>с</w:t>
      </w:r>
      <w:r w:rsidRPr="0058796D">
        <w:t>пользуемый в последнем абзаце пункта 9.2.2.2.2, также охватывает транспор</w:t>
      </w:r>
      <w:r w:rsidRPr="0058796D">
        <w:t>т</w:t>
      </w:r>
      <w:r w:rsidRPr="0058796D">
        <w:t>ные средства массой более 3,5 т и что в поправке, предложенной представит</w:t>
      </w:r>
      <w:r w:rsidRPr="0058796D">
        <w:t>е</w:t>
      </w:r>
      <w:r w:rsidRPr="0058796D">
        <w:t>лем Швейцарии, нет необходимости.</w:t>
      </w:r>
    </w:p>
    <w:p w:rsidR="0058796D" w:rsidRPr="0058796D" w:rsidRDefault="0058796D" w:rsidP="0058796D">
      <w:pPr>
        <w:pStyle w:val="SingleTxtGR"/>
      </w:pPr>
      <w:r w:rsidRPr="0058796D">
        <w:t>33.</w:t>
      </w:r>
      <w:r w:rsidRPr="0058796D">
        <w:tab/>
        <w:t xml:space="preserve">Ряд делегаций сочли, однако, что имеет смысл более четко определить тип транспортного средства, которого касается данный пункт, </w:t>
      </w:r>
      <w:proofErr w:type="gramStart"/>
      <w:r w:rsidRPr="0058796D">
        <w:t>использовав</w:t>
      </w:r>
      <w:proofErr w:type="gramEnd"/>
      <w:r w:rsidRPr="0058796D">
        <w:t xml:space="preserve"> в нем, по возможности, те термины, которые уже определены в ДОПОГ либо в других правилах или стандартах.</w:t>
      </w:r>
    </w:p>
    <w:p w:rsidR="0058796D" w:rsidRPr="0058796D" w:rsidRDefault="0058796D" w:rsidP="0058796D">
      <w:pPr>
        <w:pStyle w:val="SingleTxtGR"/>
      </w:pPr>
      <w:r w:rsidRPr="0058796D">
        <w:t>34.</w:t>
      </w:r>
      <w:r w:rsidRPr="0058796D">
        <w:tab/>
        <w:t>Представитель Швейцарии передаст дополнительную информацию о предлагаемой терминологии на следующей сессии.</w:t>
      </w:r>
    </w:p>
    <w:p w:rsidR="0058796D" w:rsidRPr="0058796D" w:rsidRDefault="0058796D" w:rsidP="00034D7E">
      <w:pPr>
        <w:pStyle w:val="H23GR"/>
      </w:pPr>
      <w:r w:rsidRPr="0058796D">
        <w:tab/>
        <w:t>3.</w:t>
      </w:r>
      <w:r w:rsidRPr="0058796D">
        <w:tab/>
        <w:t>Дополнение применимых положений, указанных в таблице, приведенной в</w:t>
      </w:r>
      <w:r w:rsidRPr="0058796D">
        <w:rPr>
          <w:lang w:val="en-US"/>
        </w:rPr>
        <w:t> </w:t>
      </w:r>
      <w:r w:rsidRPr="0058796D">
        <w:t>пункте 9.2.1.1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Документ:</w:t>
      </w:r>
      <w:r w:rsidRPr="0058796D">
        <w:tab/>
        <w:t>ECE/TRANS/WP.15/2017/15 (Швейцария)</w:t>
      </w:r>
    </w:p>
    <w:p w:rsidR="0058796D" w:rsidRPr="0058796D" w:rsidRDefault="0058796D" w:rsidP="0058796D">
      <w:pPr>
        <w:pStyle w:val="SingleTxtGR"/>
      </w:pPr>
      <w:r w:rsidRPr="0058796D">
        <w:t>35.</w:t>
      </w:r>
      <w:r w:rsidRPr="0058796D">
        <w:tab/>
        <w:t>Рабочая группа с интересом восприняла идею подготовки сводной табл</w:t>
      </w:r>
      <w:r w:rsidRPr="0058796D">
        <w:t>и</w:t>
      </w:r>
      <w:r w:rsidRPr="0058796D">
        <w:t xml:space="preserve">цы применимых положений части 9, которая позволила бы быстро проверять, </w:t>
      </w:r>
      <w:r w:rsidRPr="0058796D">
        <w:lastRenderedPageBreak/>
        <w:t>каким требованиям должно отвечать транспортное средство, чтобы его можно было использовать для перевозки опасных грузов.</w:t>
      </w:r>
    </w:p>
    <w:p w:rsidR="0058796D" w:rsidRPr="0058796D" w:rsidRDefault="0058796D" w:rsidP="0058796D">
      <w:pPr>
        <w:pStyle w:val="SingleTxtGR"/>
      </w:pPr>
      <w:r w:rsidRPr="0058796D">
        <w:t>36.</w:t>
      </w:r>
      <w:r w:rsidRPr="0058796D">
        <w:tab/>
        <w:t>Вместе с тем Рабочая группа отметила, что положения главы 9.2, прив</w:t>
      </w:r>
      <w:r w:rsidRPr="0058796D">
        <w:t>е</w:t>
      </w:r>
      <w:r w:rsidRPr="0058796D">
        <w:t>денные в таблице в пункте 9.2.1.1, применяются к базовому транспортному средству и затрагивают главным образом изготовителей транспортных средств, в то время как главы 9.3–9.8 применяются только к некоторым типам тран</w:t>
      </w:r>
      <w:r w:rsidRPr="0058796D">
        <w:t>с</w:t>
      </w:r>
      <w:r w:rsidRPr="0058796D">
        <w:t>портных средств и касаются также укомплектования транспортных средств. Объединение этих положений в рамках единой таблицы в ДОПОГ потребует реструктуризации части 9.</w:t>
      </w:r>
    </w:p>
    <w:p w:rsidR="0058796D" w:rsidRPr="0058796D" w:rsidRDefault="0058796D" w:rsidP="0058796D">
      <w:pPr>
        <w:pStyle w:val="SingleTxtGR"/>
      </w:pPr>
      <w:r w:rsidRPr="0058796D">
        <w:t>37.</w:t>
      </w:r>
      <w:r w:rsidRPr="0058796D">
        <w:tab/>
        <w:t>Рабочая группа согласилась с тем, что всеобъемлющая сводная таблица может быть подготовлена на одной из будущих сессий и представлена в форме руководящих принципов на веб-сайте ЕЭК ООН, а не в рамках ДОПОГ.</w:t>
      </w:r>
    </w:p>
    <w:p w:rsidR="0058796D" w:rsidRPr="0058796D" w:rsidRDefault="0058796D" w:rsidP="0058796D">
      <w:pPr>
        <w:pStyle w:val="SingleTxtGR"/>
      </w:pPr>
      <w:r w:rsidRPr="0058796D">
        <w:t>38.</w:t>
      </w:r>
      <w:r w:rsidRPr="0058796D">
        <w:tab/>
        <w:t>Представитель Румынии указал, что в его стране для целей технического осмотра транспортных средств уже используется контрольный перечень, с</w:t>
      </w:r>
      <w:r w:rsidRPr="0058796D">
        <w:t>о</w:t>
      </w:r>
      <w:r w:rsidRPr="0058796D">
        <w:t xml:space="preserve">держащий применимые положения части 9, и что он представит этот перечень на следующей сессии Рабочей группы. </w:t>
      </w:r>
    </w:p>
    <w:p w:rsidR="0058796D" w:rsidRPr="0058796D" w:rsidRDefault="0058796D" w:rsidP="00034D7E">
      <w:pPr>
        <w:pStyle w:val="H23GR"/>
      </w:pPr>
      <w:r w:rsidRPr="0058796D">
        <w:tab/>
        <w:t>4.</w:t>
      </w:r>
      <w:r w:rsidRPr="0058796D">
        <w:tab/>
        <w:t>Пункт 9.2.2.2.1 – Кабели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Документ:</w:t>
      </w:r>
      <w:r w:rsidRPr="0058796D">
        <w:tab/>
        <w:t>ECE/TRANS/WP.15/2017/19 (Германия)</w:t>
      </w:r>
    </w:p>
    <w:p w:rsidR="0058796D" w:rsidRPr="0058796D" w:rsidRDefault="0058796D" w:rsidP="0058796D">
      <w:pPr>
        <w:pStyle w:val="SingleTxtGR"/>
      </w:pPr>
      <w:r w:rsidRPr="0058796D">
        <w:t>39.</w:t>
      </w:r>
      <w:r w:rsidRPr="0058796D">
        <w:tab/>
        <w:t>Рабочая группа высказалась за то, чтобы сохранить второй абзац пун</w:t>
      </w:r>
      <w:r w:rsidRPr="0058796D">
        <w:t>к</w:t>
      </w:r>
      <w:r w:rsidRPr="0058796D">
        <w:t>та</w:t>
      </w:r>
      <w:r w:rsidRPr="0058796D">
        <w:rPr>
          <w:lang w:val="en-US"/>
        </w:rPr>
        <w:t> </w:t>
      </w:r>
      <w:r w:rsidRPr="0058796D">
        <w:t xml:space="preserve">9.2.2.2.1, но при этом приняла предложение Германии исключить ссылку на стандарты </w:t>
      </w:r>
      <w:proofErr w:type="spellStart"/>
      <w:r w:rsidRPr="0058796D">
        <w:t>ISO</w:t>
      </w:r>
      <w:proofErr w:type="spellEnd"/>
      <w:r w:rsidRPr="0058796D">
        <w:t xml:space="preserve"> 16750-4:2010 и </w:t>
      </w:r>
      <w:proofErr w:type="spellStart"/>
      <w:r w:rsidRPr="0058796D">
        <w:t>ISO</w:t>
      </w:r>
      <w:proofErr w:type="spellEnd"/>
      <w:r w:rsidRPr="0058796D">
        <w:t xml:space="preserve"> 16750-5:2010 в данном пункте (см. прилож</w:t>
      </w:r>
      <w:r w:rsidRPr="0058796D">
        <w:t>е</w:t>
      </w:r>
      <w:r w:rsidRPr="0058796D">
        <w:t>ние I).</w:t>
      </w:r>
    </w:p>
    <w:p w:rsidR="0058796D" w:rsidRPr="0058796D" w:rsidRDefault="0058796D" w:rsidP="00034D7E">
      <w:pPr>
        <w:pStyle w:val="H23GR"/>
      </w:pPr>
      <w:r w:rsidRPr="0058796D">
        <w:tab/>
        <w:t>5.</w:t>
      </w:r>
      <w:r w:rsidRPr="0058796D">
        <w:tab/>
        <w:t xml:space="preserve">Условия для использования транспортных средств c электродвигателями, предназначенных для перевозки опасных грузов 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Документ:</w:t>
      </w:r>
      <w:r w:rsidRPr="0058796D">
        <w:tab/>
        <w:t>ECE/TRANS/WP.15/2017/16 (Швейцария)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Неофициальный документ:</w:t>
      </w:r>
      <w:r w:rsidRPr="0058796D">
        <w:tab/>
        <w:t>INF.6 (Нидерланды)</w:t>
      </w:r>
    </w:p>
    <w:p w:rsidR="0058796D" w:rsidRPr="0058796D" w:rsidRDefault="0058796D" w:rsidP="0058796D">
      <w:pPr>
        <w:pStyle w:val="SingleTxtGR"/>
      </w:pPr>
      <w:r w:rsidRPr="0058796D">
        <w:t>40.</w:t>
      </w:r>
      <w:r w:rsidRPr="0058796D">
        <w:tab/>
        <w:t>Рабочая группа приветствовала инициативу представителей Швейцарии и Нидерландов обсудить условия использования транспортных средств с эле</w:t>
      </w:r>
      <w:r w:rsidRPr="0058796D">
        <w:t>к</w:t>
      </w:r>
      <w:r w:rsidRPr="0058796D">
        <w:t xml:space="preserve">тродвигателями, предназначенных для перевозки опасных грузов. </w:t>
      </w:r>
    </w:p>
    <w:p w:rsidR="0058796D" w:rsidRPr="0058796D" w:rsidRDefault="0058796D" w:rsidP="0058796D">
      <w:pPr>
        <w:pStyle w:val="SingleTxtGR"/>
      </w:pPr>
      <w:r w:rsidRPr="0058796D">
        <w:t>41.</w:t>
      </w:r>
      <w:r w:rsidRPr="0058796D">
        <w:tab/>
        <w:t>Рабочая группа согласилась с тем, что нынешние положения раздела 9.2.2 не были разработаны с учетом использования электрических транспортных средств и что, возможно, их потребуется изменить. Рабочая группа высказалась за то, чтобы продолжить изучение вопросов, сформулированных в документе, представленном Швейцарией, и предложений Нидерландов на следующей се</w:t>
      </w:r>
      <w:r w:rsidRPr="0058796D">
        <w:t>с</w:t>
      </w:r>
      <w:r w:rsidRPr="0058796D">
        <w:t>сии. Документ Швейцарии будет сохранен в повестке дня, и представителя Н</w:t>
      </w:r>
      <w:r w:rsidRPr="0058796D">
        <w:t>и</w:t>
      </w:r>
      <w:r w:rsidRPr="0058796D">
        <w:t>дерландов попросили представить свое предложение в качестве официального документа.</w:t>
      </w:r>
    </w:p>
    <w:p w:rsidR="0058796D" w:rsidRPr="00034D7E" w:rsidRDefault="0058796D" w:rsidP="00034D7E">
      <w:pPr>
        <w:pStyle w:val="H23GR"/>
        <w:rPr>
          <w:bCs/>
        </w:rPr>
      </w:pPr>
      <w:r w:rsidRPr="0058796D">
        <w:tab/>
        <w:t>6.</w:t>
      </w:r>
      <w:r w:rsidRPr="0058796D">
        <w:tab/>
        <w:t>Уточнение требований пункта 9.3.4.2, предъявляемых к транс</w:t>
      </w:r>
      <w:r w:rsidRPr="00034D7E">
        <w:rPr>
          <w:bCs/>
        </w:rPr>
        <w:t xml:space="preserve">портным средствам </w:t>
      </w:r>
      <w:proofErr w:type="spellStart"/>
      <w:r w:rsidRPr="00034D7E">
        <w:rPr>
          <w:bCs/>
        </w:rPr>
        <w:t>EX</w:t>
      </w:r>
      <w:proofErr w:type="spellEnd"/>
      <w:r w:rsidRPr="00034D7E">
        <w:rPr>
          <w:bCs/>
        </w:rPr>
        <w:t>/</w:t>
      </w:r>
      <w:proofErr w:type="spellStart"/>
      <w:r w:rsidRPr="00034D7E">
        <w:rPr>
          <w:bCs/>
        </w:rPr>
        <w:t>III</w:t>
      </w:r>
      <w:proofErr w:type="spellEnd"/>
      <w:r w:rsidRPr="00034D7E">
        <w:rPr>
          <w:bCs/>
        </w:rPr>
        <w:t xml:space="preserve"> </w:t>
      </w:r>
    </w:p>
    <w:p w:rsidR="0058796D" w:rsidRPr="0058796D" w:rsidRDefault="0058796D" w:rsidP="0058796D">
      <w:pPr>
        <w:pStyle w:val="SingleTxtGR"/>
      </w:pPr>
      <w:r w:rsidRPr="0058796D">
        <w:rPr>
          <w:i/>
        </w:rPr>
        <w:t>Докумен</w:t>
      </w:r>
      <w:r w:rsidRPr="0054145C">
        <w:rPr>
          <w:i/>
        </w:rPr>
        <w:t>т:</w:t>
      </w:r>
      <w:r w:rsidRPr="0058796D">
        <w:tab/>
        <w:t>ECE/TRANS/WP.15/2017/20 (Германия)</w:t>
      </w:r>
    </w:p>
    <w:p w:rsidR="0058796D" w:rsidRPr="0058796D" w:rsidRDefault="0058796D" w:rsidP="00034D7E">
      <w:pPr>
        <w:pStyle w:val="SingleTxtGR"/>
        <w:jc w:val="left"/>
      </w:pPr>
      <w:r w:rsidRPr="0058796D">
        <w:rPr>
          <w:i/>
        </w:rPr>
        <w:t>Неофициальные документ</w:t>
      </w:r>
      <w:r w:rsidRPr="0054145C">
        <w:rPr>
          <w:i/>
        </w:rPr>
        <w:t>ы:</w:t>
      </w:r>
      <w:r w:rsidRPr="0058796D">
        <w:tab/>
        <w:t>INF.5 (Германия), INF.21 (Финляндия),</w:t>
      </w:r>
      <w:r w:rsidRPr="0058796D">
        <w:br/>
      </w:r>
      <w:r w:rsidRPr="0058796D">
        <w:tab/>
      </w:r>
      <w:r w:rsidRPr="0058796D">
        <w:tab/>
      </w:r>
      <w:r w:rsidRPr="0058796D">
        <w:tab/>
      </w:r>
      <w:r w:rsidRPr="0058796D">
        <w:tab/>
      </w:r>
      <w:r w:rsidRPr="0058796D">
        <w:tab/>
        <w:t>INF.26 (</w:t>
      </w:r>
      <w:proofErr w:type="spellStart"/>
      <w:r w:rsidRPr="0058796D">
        <w:t>МАИАКП</w:t>
      </w:r>
      <w:proofErr w:type="spellEnd"/>
      <w:r w:rsidRPr="0058796D">
        <w:t>), INF.27 (Германия)</w:t>
      </w:r>
    </w:p>
    <w:p w:rsidR="0058796D" w:rsidRPr="0058796D" w:rsidRDefault="0058796D" w:rsidP="0058796D">
      <w:pPr>
        <w:pStyle w:val="SingleTxtGR"/>
      </w:pPr>
      <w:r w:rsidRPr="0058796D">
        <w:t>42.</w:t>
      </w:r>
      <w:r w:rsidRPr="0058796D">
        <w:tab/>
        <w:t>Выступившие делегации согласились с тем, что необходимо уточнить требования пункта 9.3.4.2, но большинство высказались за использование более общего и менее описательного подхода. Ряд делегаций также сочли, что следует уточнить первый абзац пункта 9.3.4.2 и что любое предложение о поправке должно предусматривать возможность дальнейшего использования транспор</w:t>
      </w:r>
      <w:r w:rsidRPr="0058796D">
        <w:t>т</w:t>
      </w:r>
      <w:r w:rsidRPr="0058796D">
        <w:t xml:space="preserve">ных средств, отвечающих нынешним требованиям. </w:t>
      </w:r>
    </w:p>
    <w:p w:rsidR="0058796D" w:rsidRPr="0058796D" w:rsidRDefault="00034D7E" w:rsidP="0058796D">
      <w:pPr>
        <w:pStyle w:val="SingleTxtGR"/>
      </w:pPr>
      <w:r>
        <w:br w:type="page"/>
      </w:r>
      <w:r w:rsidR="0058796D" w:rsidRPr="0058796D">
        <w:lastRenderedPageBreak/>
        <w:t>43.</w:t>
      </w:r>
      <w:r w:rsidR="0058796D" w:rsidRPr="0058796D">
        <w:tab/>
        <w:t>В итоге было решено создать неофициальную рабочую группу под рук</w:t>
      </w:r>
      <w:r w:rsidR="0058796D" w:rsidRPr="0058796D">
        <w:t>о</w:t>
      </w:r>
      <w:r w:rsidR="0058796D" w:rsidRPr="0058796D">
        <w:t>водством Германии, которой будет предоставлен следующий мандат:</w:t>
      </w:r>
    </w:p>
    <w:p w:rsidR="0058796D" w:rsidRPr="0058796D" w:rsidRDefault="0058796D" w:rsidP="00034D7E">
      <w:pPr>
        <w:pStyle w:val="Bullet1GR"/>
      </w:pPr>
      <w:r w:rsidRPr="0058796D">
        <w:t>изучить опасности, которым подвергаются взрывчатые вещества и изд</w:t>
      </w:r>
      <w:r w:rsidRPr="0058796D">
        <w:t>е</w:t>
      </w:r>
      <w:r w:rsidRPr="0058796D">
        <w:t>лия во время перевозки, определить надлежащие меры для уменьшения этих опасностей и прояснить вопросы, поднятые в ходе 103-й сессии Р</w:t>
      </w:r>
      <w:r w:rsidRPr="0058796D">
        <w:t>а</w:t>
      </w:r>
      <w:r w:rsidRPr="0058796D">
        <w:t>бочей группы, а именно:</w:t>
      </w:r>
    </w:p>
    <w:p w:rsidR="0058796D" w:rsidRPr="0058796D" w:rsidRDefault="0058796D" w:rsidP="00034D7E">
      <w:pPr>
        <w:pStyle w:val="Bullet2GR"/>
      </w:pPr>
      <w:r w:rsidRPr="0058796D">
        <w:t>минимальная толщина материала, если необходимо;</w:t>
      </w:r>
    </w:p>
    <w:p w:rsidR="0058796D" w:rsidRPr="0058796D" w:rsidRDefault="0058796D" w:rsidP="00034D7E">
      <w:pPr>
        <w:pStyle w:val="Bullet2GR"/>
      </w:pPr>
      <w:r w:rsidRPr="0058796D">
        <w:t>определение материалов, отвечающих требованиям станда</w:t>
      </w:r>
      <w:r w:rsidRPr="0058796D">
        <w:t>р</w:t>
      </w:r>
      <w:r w:rsidRPr="0058796D">
        <w:t>та</w:t>
      </w:r>
      <w:r w:rsidRPr="0058796D">
        <w:rPr>
          <w:lang w:val="en-US"/>
        </w:rPr>
        <w:t> </w:t>
      </w:r>
      <w:proofErr w:type="spellStart"/>
      <w:r w:rsidRPr="0058796D">
        <w:t>EN</w:t>
      </w:r>
      <w:proofErr w:type="spellEnd"/>
      <w:r w:rsidRPr="0058796D">
        <w:rPr>
          <w:lang w:val="en-US"/>
        </w:rPr>
        <w:t> </w:t>
      </w:r>
      <w:r w:rsidRPr="0058796D">
        <w:t>13501;</w:t>
      </w:r>
    </w:p>
    <w:p w:rsidR="0058796D" w:rsidRPr="0058796D" w:rsidRDefault="0058796D" w:rsidP="00034D7E">
      <w:pPr>
        <w:pStyle w:val="Bullet2GR"/>
      </w:pPr>
      <w:r w:rsidRPr="0058796D">
        <w:t>требования безопасности, касающиеся источников тепла снаружи транспортного средства;</w:t>
      </w:r>
    </w:p>
    <w:p w:rsidR="0058796D" w:rsidRPr="0058796D" w:rsidRDefault="0058796D" w:rsidP="00034D7E">
      <w:pPr>
        <w:pStyle w:val="Bullet2GR"/>
      </w:pPr>
      <w:r w:rsidRPr="0058796D">
        <w:t>материалы, которые разрешается использовать внутри грузового отделения;</w:t>
      </w:r>
    </w:p>
    <w:p w:rsidR="0058796D" w:rsidRPr="0058796D" w:rsidRDefault="0058796D" w:rsidP="00034D7E">
      <w:pPr>
        <w:pStyle w:val="Bullet2GR"/>
      </w:pPr>
      <w:r w:rsidRPr="0058796D">
        <w:t>разработать или изменить формулировку требований с целью уто</w:t>
      </w:r>
      <w:r w:rsidRPr="0058796D">
        <w:t>ч</w:t>
      </w:r>
      <w:r w:rsidRPr="0058796D">
        <w:t>нения пункта 9.3.4.2 в виде эксплуатационных требований.</w:t>
      </w:r>
    </w:p>
    <w:p w:rsidR="0058796D" w:rsidRPr="0058796D" w:rsidRDefault="0058796D" w:rsidP="0058796D">
      <w:pPr>
        <w:pStyle w:val="SingleTxtGR"/>
      </w:pPr>
      <w:r w:rsidRPr="0058796D">
        <w:t>44.</w:t>
      </w:r>
      <w:r w:rsidRPr="0058796D">
        <w:tab/>
        <w:t>Неофициальная рабочая группа проведет свое совещание в первой пол</w:t>
      </w:r>
      <w:r w:rsidRPr="0058796D">
        <w:t>о</w:t>
      </w:r>
      <w:r w:rsidRPr="0058796D">
        <w:t>вине января 2018 года.</w:t>
      </w:r>
    </w:p>
    <w:p w:rsidR="0058796D" w:rsidRPr="0058796D" w:rsidRDefault="0058796D" w:rsidP="0058796D">
      <w:pPr>
        <w:pStyle w:val="SingleTxtGR"/>
      </w:pPr>
      <w:r w:rsidRPr="0058796D">
        <w:t>45.</w:t>
      </w:r>
      <w:r w:rsidRPr="0058796D">
        <w:tab/>
        <w:t>Представитель Германии пожелал узнать мнение Рабочей группы относ</w:t>
      </w:r>
      <w:r w:rsidRPr="0058796D">
        <w:t>и</w:t>
      </w:r>
      <w:r w:rsidRPr="0058796D">
        <w:t>тельно возможности использования многослойных панелей, описываемых в н</w:t>
      </w:r>
      <w:r w:rsidRPr="0058796D">
        <w:t>е</w:t>
      </w:r>
      <w:r w:rsidRPr="0058796D">
        <w:t>официальном документе INF.6, представленном на 102-й сессии. Участники не высказали каких-либо возражений против утверждения о том, что использов</w:t>
      </w:r>
      <w:r w:rsidRPr="0058796D">
        <w:t>а</w:t>
      </w:r>
      <w:r w:rsidRPr="0058796D">
        <w:t>ние многослойных панелей, если они характеризуются такой же тепло- и огн</w:t>
      </w:r>
      <w:r w:rsidRPr="0058796D">
        <w:t>е</w:t>
      </w:r>
      <w:r w:rsidRPr="0058796D">
        <w:t>стойкостью, как и материалы класса B-s3-d2 в соответствии со станда</w:t>
      </w:r>
      <w:r w:rsidRPr="0058796D">
        <w:t>р</w:t>
      </w:r>
      <w:r w:rsidRPr="0058796D">
        <w:t>том </w:t>
      </w:r>
      <w:proofErr w:type="spellStart"/>
      <w:r w:rsidRPr="0058796D">
        <w:t>EN</w:t>
      </w:r>
      <w:proofErr w:type="spellEnd"/>
      <w:r w:rsidRPr="0058796D">
        <w:t> 13501-1:2007 + A1:2009, уже разрешено.</w:t>
      </w:r>
    </w:p>
    <w:p w:rsidR="0058796D" w:rsidRPr="0058796D" w:rsidRDefault="0058796D" w:rsidP="00412CD1">
      <w:pPr>
        <w:pStyle w:val="H1GR"/>
      </w:pPr>
      <w:r w:rsidRPr="0058796D">
        <w:tab/>
        <w:t>B.</w:t>
      </w:r>
      <w:r w:rsidRPr="0058796D">
        <w:tab/>
        <w:t>Различные предложения</w:t>
      </w:r>
    </w:p>
    <w:p w:rsidR="0058796D" w:rsidRPr="0058796D" w:rsidRDefault="0058796D" w:rsidP="00412CD1">
      <w:pPr>
        <w:pStyle w:val="H23GR"/>
      </w:pPr>
      <w:r w:rsidRPr="0058796D">
        <w:tab/>
        <w:t>1.</w:t>
      </w:r>
      <w:r w:rsidRPr="0058796D">
        <w:tab/>
        <w:t>Изменение дополнительного положения CV36 раздела 7.5.11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Документ:</w:t>
      </w:r>
      <w:r w:rsidRPr="0058796D">
        <w:tab/>
        <w:t>ECE/TRANS/WP.15/2017/13 (Швейцария)</w:t>
      </w:r>
    </w:p>
    <w:p w:rsidR="0058796D" w:rsidRPr="0058796D" w:rsidRDefault="0058796D" w:rsidP="0058796D">
      <w:pPr>
        <w:pStyle w:val="SingleTxtGR"/>
      </w:pPr>
      <w:r w:rsidRPr="0058796D">
        <w:t>46.</w:t>
      </w:r>
      <w:r w:rsidRPr="0058796D">
        <w:tab/>
        <w:t>Предложение 1, внесенное Швейцарией, было поддержано большинством выступивших делегаций. Рабочая группа согласилась с тем, что данное предл</w:t>
      </w:r>
      <w:r w:rsidRPr="0058796D">
        <w:t>о</w:t>
      </w:r>
      <w:r w:rsidRPr="0058796D">
        <w:t xml:space="preserve">жение имеет </w:t>
      </w:r>
      <w:proofErr w:type="spellStart"/>
      <w:r w:rsidRPr="0058796D">
        <w:t>мультимодальный</w:t>
      </w:r>
      <w:proofErr w:type="spellEnd"/>
      <w:r w:rsidRPr="0058796D">
        <w:t xml:space="preserve"> охват и должно обсуждаться в рамках Совмес</w:t>
      </w:r>
      <w:r w:rsidRPr="0058796D">
        <w:t>т</w:t>
      </w:r>
      <w:r w:rsidRPr="0058796D">
        <w:t xml:space="preserve">ного совещания </w:t>
      </w:r>
      <w:proofErr w:type="spellStart"/>
      <w:r w:rsidRPr="0058796D">
        <w:t>МПОГ</w:t>
      </w:r>
      <w:proofErr w:type="spellEnd"/>
      <w:r w:rsidRPr="0058796D">
        <w:t>/</w:t>
      </w:r>
      <w:proofErr w:type="spellStart"/>
      <w:r w:rsidRPr="0058796D">
        <w:t>ДОПОГ</w:t>
      </w:r>
      <w:proofErr w:type="spellEnd"/>
      <w:r w:rsidRPr="0058796D">
        <w:t>/</w:t>
      </w:r>
      <w:proofErr w:type="spellStart"/>
      <w:r w:rsidRPr="0058796D">
        <w:t>ВОПОГ</w:t>
      </w:r>
      <w:proofErr w:type="spellEnd"/>
      <w:r w:rsidRPr="0058796D">
        <w:t>.</w:t>
      </w:r>
    </w:p>
    <w:p w:rsidR="0058796D" w:rsidRPr="0058796D" w:rsidRDefault="0058796D" w:rsidP="0058796D">
      <w:pPr>
        <w:pStyle w:val="SingleTxtGR"/>
      </w:pPr>
      <w:r w:rsidRPr="0058796D">
        <w:t>47.</w:t>
      </w:r>
      <w:r w:rsidRPr="0058796D">
        <w:tab/>
        <w:t>Что касается предложения 2, то Рабочая группа подтвердила, что форм</w:t>
      </w:r>
      <w:r w:rsidRPr="0058796D">
        <w:t>у</w:t>
      </w:r>
      <w:r w:rsidRPr="0058796D">
        <w:t>лировки, использованные в первом абзаце дополнительного положения CV36 раздела 7.5.11 в тексте на французском языке, следует привести в соответствие с английским вариантом. Рабочая группа приняла измененную формулировку, предложенную устно представителем Франци</w:t>
      </w:r>
      <w:r w:rsidR="00412CD1">
        <w:t>и в ходе сессии (см. прилож</w:t>
      </w:r>
      <w:r w:rsidR="00412CD1">
        <w:t>е</w:t>
      </w:r>
      <w:r w:rsidR="00412CD1">
        <w:t>ние</w:t>
      </w:r>
      <w:r w:rsidR="00412CD1">
        <w:rPr>
          <w:lang w:val="en-US"/>
        </w:rPr>
        <w:t> </w:t>
      </w:r>
      <w:r w:rsidRPr="0058796D">
        <w:t>I).</w:t>
      </w:r>
    </w:p>
    <w:p w:rsidR="0058796D" w:rsidRPr="0058796D" w:rsidRDefault="0058796D" w:rsidP="00412CD1">
      <w:pPr>
        <w:pStyle w:val="H23GR"/>
      </w:pPr>
      <w:r w:rsidRPr="0058796D">
        <w:tab/>
        <w:t>2.</w:t>
      </w:r>
      <w:r w:rsidRPr="0058796D">
        <w:tab/>
        <w:t>Онлайновая переподготовка водителей, осуществляющих перевозку опасных грузов</w:t>
      </w:r>
    </w:p>
    <w:p w:rsidR="0058796D" w:rsidRPr="0058796D" w:rsidRDefault="0058796D" w:rsidP="0058796D">
      <w:pPr>
        <w:pStyle w:val="SingleTxtGR"/>
      </w:pPr>
      <w:r w:rsidRPr="0058796D">
        <w:rPr>
          <w:i/>
        </w:rPr>
        <w:t>Документ</w:t>
      </w:r>
      <w:r w:rsidRPr="0054145C">
        <w:rPr>
          <w:i/>
          <w:iCs/>
        </w:rPr>
        <w:t>:</w:t>
      </w:r>
      <w:r w:rsidRPr="0058796D">
        <w:tab/>
        <w:t>ECE/TRANS/WP.15/2017/17 (Швейцария)</w:t>
      </w:r>
    </w:p>
    <w:p w:rsidR="0058796D" w:rsidRPr="0058796D" w:rsidRDefault="0058796D" w:rsidP="0058796D">
      <w:pPr>
        <w:pStyle w:val="SingleTxtGR"/>
      </w:pPr>
      <w:r w:rsidRPr="0058796D">
        <w:t>48.</w:t>
      </w:r>
      <w:r w:rsidRPr="0058796D">
        <w:tab/>
        <w:t>Ряд делегаций согласились с тем, что было бы целесообразно внести и</w:t>
      </w:r>
      <w:r w:rsidRPr="0058796D">
        <w:t>з</w:t>
      </w:r>
      <w:r w:rsidRPr="0058796D">
        <w:t xml:space="preserve">менения в ДОПОГ, с </w:t>
      </w:r>
      <w:proofErr w:type="gramStart"/>
      <w:r w:rsidRPr="0058796D">
        <w:t>тем</w:t>
      </w:r>
      <w:proofErr w:type="gramEnd"/>
      <w:r w:rsidRPr="0058796D">
        <w:t xml:space="preserve"> чтобы в будущем можно было применять новые мет</w:t>
      </w:r>
      <w:r w:rsidRPr="0058796D">
        <w:t>о</w:t>
      </w:r>
      <w:r w:rsidRPr="0058796D">
        <w:t>ды обучения, такие как онлайновые курсы и курсы в режиме видеоконфере</w:t>
      </w:r>
      <w:r w:rsidRPr="0058796D">
        <w:t>н</w:t>
      </w:r>
      <w:r w:rsidRPr="0058796D">
        <w:t>ции.</w:t>
      </w:r>
    </w:p>
    <w:p w:rsidR="0058796D" w:rsidRPr="0058796D" w:rsidRDefault="0058796D" w:rsidP="0058796D">
      <w:pPr>
        <w:pStyle w:val="SingleTxtGR"/>
      </w:pPr>
      <w:r w:rsidRPr="0058796D">
        <w:t>49.</w:t>
      </w:r>
      <w:r w:rsidRPr="0058796D">
        <w:tab/>
        <w:t>Мнения разделились по вопросу о том, запрещает ли ДОПОГ в его н</w:t>
      </w:r>
      <w:r w:rsidRPr="0058796D">
        <w:t>ы</w:t>
      </w:r>
      <w:r w:rsidRPr="0058796D">
        <w:t>нешнем виде использование онлайновых курсов или дистанционного обучения в рамках переподготовки. Большинство выступивших делегаций сочли, однако, что очное участие в соответствующей части курсов должно оставаться обяз</w:t>
      </w:r>
      <w:r w:rsidRPr="0058796D">
        <w:t>а</w:t>
      </w:r>
      <w:r w:rsidRPr="0058796D">
        <w:lastRenderedPageBreak/>
        <w:t>тельны</w:t>
      </w:r>
      <w:r w:rsidR="00AF6516">
        <w:t>м. Очные курсы по-прежнему являю</w:t>
      </w:r>
      <w:r w:rsidRPr="0058796D">
        <w:t>тся наилучшим вариантом, поскол</w:t>
      </w:r>
      <w:r w:rsidRPr="0058796D">
        <w:t>ь</w:t>
      </w:r>
      <w:r w:rsidRPr="0058796D">
        <w:t>ку они обеспечивают полезное взаимодействие между участниками и инстру</w:t>
      </w:r>
      <w:r w:rsidRPr="0058796D">
        <w:t>к</w:t>
      </w:r>
      <w:r w:rsidRPr="0058796D">
        <w:t>торами.</w:t>
      </w:r>
    </w:p>
    <w:p w:rsidR="0058796D" w:rsidRPr="0058796D" w:rsidRDefault="0058796D" w:rsidP="0058796D">
      <w:pPr>
        <w:pStyle w:val="SingleTxtGR"/>
      </w:pPr>
      <w:r w:rsidRPr="0058796D">
        <w:t>50.</w:t>
      </w:r>
      <w:r w:rsidRPr="0058796D">
        <w:tab/>
        <w:t>Рабочая группа отметила, что Нидерланды и Российская Федерация уже реализуют возможность прохождения онлайнового курса по теоретической ч</w:t>
      </w:r>
      <w:r w:rsidRPr="0058796D">
        <w:t>а</w:t>
      </w:r>
      <w:r w:rsidRPr="0058796D">
        <w:t>сти программы переподготовки. Было также отмечено, что такая подготовка, осуществлявшаяся в Австрии, была прекращена в связи с большим числом н</w:t>
      </w:r>
      <w:r w:rsidRPr="0058796D">
        <w:t>е</w:t>
      </w:r>
      <w:r w:rsidRPr="0058796D">
        <w:t>удач на экзаменах. Рабочая группа предложила представителям указанных трех стран сообщить о своем опыте в письменном виде на одной из будущих сессий.</w:t>
      </w:r>
    </w:p>
    <w:p w:rsidR="0058796D" w:rsidRPr="0058796D" w:rsidRDefault="0058796D" w:rsidP="0058796D">
      <w:pPr>
        <w:pStyle w:val="SingleTxtGR"/>
      </w:pPr>
      <w:r w:rsidRPr="0058796D">
        <w:t>51.</w:t>
      </w:r>
      <w:r w:rsidRPr="0058796D">
        <w:tab/>
        <w:t xml:space="preserve">Рабочая группа отметила, что этот вопрос касается также подготовки экспертов, предусмотренной в главе 8.2 </w:t>
      </w:r>
      <w:proofErr w:type="spellStart"/>
      <w:r w:rsidRPr="0058796D">
        <w:t>ВОПОГ</w:t>
      </w:r>
      <w:proofErr w:type="spellEnd"/>
      <w:r w:rsidRPr="0058796D">
        <w:t>, и что его необходимо предст</w:t>
      </w:r>
      <w:r w:rsidRPr="0058796D">
        <w:t>а</w:t>
      </w:r>
      <w:r w:rsidRPr="0058796D">
        <w:t>вить на рассмотрение Совместного совещания с учетом замечаний, высказа</w:t>
      </w:r>
      <w:r w:rsidRPr="0058796D">
        <w:t>н</w:t>
      </w:r>
      <w:r w:rsidRPr="0058796D">
        <w:t xml:space="preserve">ных в ходе сессии. </w:t>
      </w:r>
    </w:p>
    <w:p w:rsidR="0058796D" w:rsidRPr="0058796D" w:rsidRDefault="0058796D" w:rsidP="00412CD1">
      <w:pPr>
        <w:pStyle w:val="H23GR"/>
      </w:pPr>
      <w:r w:rsidRPr="0058796D">
        <w:tab/>
        <w:t>3.</w:t>
      </w:r>
      <w:r w:rsidRPr="0058796D">
        <w:tab/>
        <w:t xml:space="preserve">Ссылка на Кодекс практики </w:t>
      </w:r>
      <w:proofErr w:type="spellStart"/>
      <w:r w:rsidRPr="0058796D">
        <w:t>ИМО</w:t>
      </w:r>
      <w:proofErr w:type="spellEnd"/>
      <w:r w:rsidRPr="0058796D">
        <w:t>/МОТ/</w:t>
      </w:r>
      <w:proofErr w:type="spellStart"/>
      <w:r w:rsidRPr="0058796D">
        <w:t>ЕЭК</w:t>
      </w:r>
      <w:proofErr w:type="spellEnd"/>
      <w:r w:rsidRPr="0058796D">
        <w:t xml:space="preserve"> ООН по укладке грузов </w:t>
      </w:r>
      <w:r w:rsidR="00412CD1">
        <w:t>в</w:t>
      </w:r>
      <w:r w:rsidR="00412CD1">
        <w:rPr>
          <w:lang w:val="en-US"/>
        </w:rPr>
        <w:t> </w:t>
      </w:r>
      <w:r w:rsidRPr="0058796D">
        <w:t xml:space="preserve">грузовые транспортные единицы (Кодекс </w:t>
      </w:r>
      <w:proofErr w:type="spellStart"/>
      <w:r w:rsidRPr="0058796D">
        <w:t>ГТЕ</w:t>
      </w:r>
      <w:proofErr w:type="spellEnd"/>
      <w:r w:rsidRPr="0058796D">
        <w:t>)</w:t>
      </w:r>
    </w:p>
    <w:p w:rsidR="0058796D" w:rsidRPr="0058796D" w:rsidRDefault="0058796D" w:rsidP="0058796D">
      <w:pPr>
        <w:pStyle w:val="SingleTxtGR"/>
      </w:pPr>
      <w:r w:rsidRPr="0058796D">
        <w:rPr>
          <w:i/>
        </w:rPr>
        <w:t>Докумен</w:t>
      </w:r>
      <w:r w:rsidRPr="0054145C">
        <w:rPr>
          <w:i/>
        </w:rPr>
        <w:t>т:</w:t>
      </w:r>
      <w:r w:rsidRPr="0058796D">
        <w:tab/>
        <w:t>ECE/TRANS/WP.15/2017/21 (Германия)</w:t>
      </w:r>
    </w:p>
    <w:p w:rsidR="0058796D" w:rsidRPr="0058796D" w:rsidRDefault="0058796D" w:rsidP="0058796D">
      <w:pPr>
        <w:pStyle w:val="SingleTxtGR"/>
      </w:pPr>
      <w:r w:rsidRPr="0058796D">
        <w:t>52.</w:t>
      </w:r>
      <w:r w:rsidRPr="0058796D">
        <w:tab/>
        <w:t>Предложение об изменении формулировки сноски 1 к пункту 7.5.7.1 было принято (см. приложение I).</w:t>
      </w:r>
    </w:p>
    <w:p w:rsidR="0058796D" w:rsidRPr="0058796D" w:rsidRDefault="0058796D" w:rsidP="0058796D">
      <w:pPr>
        <w:pStyle w:val="SingleTxtGR"/>
      </w:pPr>
      <w:r w:rsidRPr="0058796D">
        <w:t>53.</w:t>
      </w:r>
      <w:r w:rsidRPr="0058796D">
        <w:tab/>
        <w:t xml:space="preserve">Ввиду внесения поправок в пункт 7.5.7.1 Рабочая группа согласилась с тем, что ссылка на Кодекс </w:t>
      </w:r>
      <w:proofErr w:type="spellStart"/>
      <w:r w:rsidRPr="0058796D">
        <w:t>ГТЕ</w:t>
      </w:r>
      <w:proofErr w:type="spellEnd"/>
      <w:r w:rsidRPr="0058796D">
        <w:t xml:space="preserve"> в примечании к пункту 7.5.7.6.1 становится и</w:t>
      </w:r>
      <w:r w:rsidRPr="0058796D">
        <w:t>з</w:t>
      </w:r>
      <w:r w:rsidRPr="0058796D">
        <w:t>лишней. Рабочая группа приняла устное предложение Соединенного Короле</w:t>
      </w:r>
      <w:r w:rsidRPr="0058796D">
        <w:t>в</w:t>
      </w:r>
      <w:r w:rsidRPr="0058796D">
        <w:t>ства исключить данную ссылку (см. приложение I).</w:t>
      </w:r>
    </w:p>
    <w:p w:rsidR="0058796D" w:rsidRPr="0058796D" w:rsidRDefault="0058796D" w:rsidP="00412CD1">
      <w:pPr>
        <w:pStyle w:val="H23GR"/>
      </w:pPr>
      <w:r w:rsidRPr="0058796D">
        <w:tab/>
        <w:t>4.</w:t>
      </w:r>
      <w:r w:rsidRPr="0058796D">
        <w:tab/>
        <w:t>Свидетельство о допущении к перевозке транспортных средств</w:t>
      </w:r>
    </w:p>
    <w:p w:rsidR="0058796D" w:rsidRPr="0058796D" w:rsidRDefault="0058796D" w:rsidP="0058796D">
      <w:pPr>
        <w:pStyle w:val="SingleTxtGR"/>
      </w:pPr>
      <w:r w:rsidRPr="0058796D">
        <w:rPr>
          <w:i/>
        </w:rPr>
        <w:t>Неофициальный докумен</w:t>
      </w:r>
      <w:r w:rsidRPr="0054145C">
        <w:rPr>
          <w:i/>
        </w:rPr>
        <w:t>т:</w:t>
      </w:r>
      <w:r w:rsidRPr="0058796D">
        <w:tab/>
        <w:t>INF.11 (Германия)</w:t>
      </w:r>
    </w:p>
    <w:p w:rsidR="0058796D" w:rsidRPr="0058796D" w:rsidRDefault="0058796D" w:rsidP="0058796D">
      <w:pPr>
        <w:pStyle w:val="SingleTxtGR"/>
      </w:pPr>
      <w:r w:rsidRPr="0058796D">
        <w:t>54.</w:t>
      </w:r>
      <w:r w:rsidRPr="0058796D">
        <w:tab/>
        <w:t>Предложение Германии получило незначительную поддержку. Несколько делегаций выразили, в частности, мнение о том, что информация, требуемая для маркировки цистерн, является достаточной и что предложение Германии может усложнить административные процедуры. У делегаций не было дост</w:t>
      </w:r>
      <w:r w:rsidRPr="0058796D">
        <w:t>а</w:t>
      </w:r>
      <w:r w:rsidRPr="0058796D">
        <w:t>точного времени для рассмотрения указанного неофициального документа, представленного с запозданием. Представитель Германии внесет официальное предложение на следующей сессии.</w:t>
      </w:r>
    </w:p>
    <w:p w:rsidR="0058796D" w:rsidRPr="0058796D" w:rsidRDefault="0058796D" w:rsidP="00412CD1">
      <w:pPr>
        <w:pStyle w:val="H23GR"/>
      </w:pPr>
      <w:r w:rsidRPr="0058796D">
        <w:tab/>
        <w:t>5.</w:t>
      </w:r>
      <w:r w:rsidRPr="0058796D">
        <w:tab/>
        <w:t>Переходные меры</w:t>
      </w:r>
    </w:p>
    <w:p w:rsidR="0058796D" w:rsidRPr="0058796D" w:rsidRDefault="0058796D" w:rsidP="0058796D">
      <w:pPr>
        <w:pStyle w:val="SingleTxtGR"/>
      </w:pPr>
      <w:r w:rsidRPr="0058796D">
        <w:rPr>
          <w:i/>
        </w:rPr>
        <w:t>Неофициальный документ</w:t>
      </w:r>
      <w:r w:rsidRPr="0054145C">
        <w:rPr>
          <w:i/>
          <w:iCs/>
        </w:rPr>
        <w:t>:</w:t>
      </w:r>
      <w:r w:rsidRPr="0058796D">
        <w:tab/>
        <w:t>INF.15 (секретариат)</w:t>
      </w:r>
    </w:p>
    <w:p w:rsidR="0058796D" w:rsidRPr="0058796D" w:rsidRDefault="0058796D" w:rsidP="0058796D">
      <w:pPr>
        <w:pStyle w:val="SingleTxtGR"/>
      </w:pPr>
      <w:r w:rsidRPr="0058796D">
        <w:t>55.</w:t>
      </w:r>
      <w:r w:rsidRPr="0058796D">
        <w:tab/>
        <w:t>Рабочая группа подтвердила, что переходные меры 1.6.1.21 и 1.6.1.35 м</w:t>
      </w:r>
      <w:r w:rsidRPr="0058796D">
        <w:t>о</w:t>
      </w:r>
      <w:r w:rsidRPr="0058796D">
        <w:t>гут быть исключены (см. приложение I).</w:t>
      </w:r>
    </w:p>
    <w:p w:rsidR="0058796D" w:rsidRPr="0058796D" w:rsidRDefault="0058796D" w:rsidP="0058796D">
      <w:pPr>
        <w:pStyle w:val="SingleTxtGR"/>
      </w:pPr>
      <w:r w:rsidRPr="0058796D">
        <w:t>56.</w:t>
      </w:r>
      <w:r w:rsidRPr="0058796D">
        <w:tab/>
        <w:t>В соответствии с пунктом 8.2.2.8.2 а) могут еще существовать свидетел</w:t>
      </w:r>
      <w:r w:rsidRPr="0058796D">
        <w:t>ь</w:t>
      </w:r>
      <w:r w:rsidRPr="0058796D">
        <w:t>ства, выданные до 1 января 2014 года, которые будут по-прежнему действ</w:t>
      </w:r>
      <w:r w:rsidRPr="0058796D">
        <w:t>и</w:t>
      </w:r>
      <w:r w:rsidRPr="0058796D">
        <w:t>тельны в течение 2019 года. Вследствие этого переходная мера 1.6.1.36 будет сохранена в ДОПОГ 2019 года.</w:t>
      </w:r>
    </w:p>
    <w:p w:rsidR="0058796D" w:rsidRPr="0058796D" w:rsidRDefault="0058796D" w:rsidP="0058796D">
      <w:pPr>
        <w:pStyle w:val="SingleTxtGR"/>
      </w:pPr>
      <w:r w:rsidRPr="0058796D">
        <w:t>57.</w:t>
      </w:r>
      <w:r w:rsidRPr="0058796D">
        <w:tab/>
        <w:t>На основе устного предложения Франции Рабочая группа также приняла поправки к переходной мере 1.6.5.4 (см. приложение I).</w:t>
      </w:r>
    </w:p>
    <w:p w:rsidR="0058796D" w:rsidRPr="0058796D" w:rsidRDefault="0058796D" w:rsidP="00412CD1">
      <w:pPr>
        <w:pStyle w:val="H23GR"/>
      </w:pPr>
      <w:r w:rsidRPr="0058796D">
        <w:tab/>
        <w:t>6.</w:t>
      </w:r>
      <w:r w:rsidRPr="0058796D">
        <w:tab/>
        <w:t>Положения, касающиеся перевозки отработавших емкостей малых, содержащих газ (№ ООН 2037)</w:t>
      </w:r>
    </w:p>
    <w:p w:rsidR="0058796D" w:rsidRPr="0058796D" w:rsidRDefault="0058796D" w:rsidP="0058796D">
      <w:pPr>
        <w:pStyle w:val="SingleTxtGR"/>
      </w:pPr>
      <w:r w:rsidRPr="0058796D">
        <w:rPr>
          <w:i/>
        </w:rPr>
        <w:t>Неофициальный документ</w:t>
      </w:r>
      <w:r w:rsidRPr="0054145C">
        <w:rPr>
          <w:i/>
          <w:iCs/>
        </w:rPr>
        <w:t>:</w:t>
      </w:r>
      <w:r w:rsidRPr="0058796D">
        <w:tab/>
        <w:t>INF.18 (Ирландия)</w:t>
      </w:r>
    </w:p>
    <w:p w:rsidR="0058796D" w:rsidRPr="0058796D" w:rsidRDefault="0058796D" w:rsidP="0058796D">
      <w:pPr>
        <w:pStyle w:val="SingleTxtGR"/>
      </w:pPr>
      <w:r w:rsidRPr="0058796D">
        <w:t>58.</w:t>
      </w:r>
      <w:r w:rsidRPr="0058796D">
        <w:tab/>
        <w:t xml:space="preserve">Поскольку дискуссии по этому вопросу имеют </w:t>
      </w:r>
      <w:proofErr w:type="spellStart"/>
      <w:r w:rsidRPr="0058796D">
        <w:t>мультимодальный</w:t>
      </w:r>
      <w:proofErr w:type="spellEnd"/>
      <w:r w:rsidRPr="0058796D">
        <w:t xml:space="preserve"> охват, Рабочая группа предложила представителю Ирландии передать свое предлож</w:t>
      </w:r>
      <w:r w:rsidRPr="0058796D">
        <w:t>е</w:t>
      </w:r>
      <w:r w:rsidRPr="0058796D">
        <w:t>ние в Подкомитет экспертов по перевозке опасных грузов.</w:t>
      </w:r>
    </w:p>
    <w:p w:rsidR="0058796D" w:rsidRPr="0058796D" w:rsidRDefault="0058796D" w:rsidP="00412CD1">
      <w:pPr>
        <w:pStyle w:val="HChGR"/>
      </w:pPr>
      <w:r w:rsidRPr="0058796D">
        <w:lastRenderedPageBreak/>
        <w:tab/>
      </w:r>
      <w:proofErr w:type="spellStart"/>
      <w:r w:rsidRPr="0058796D">
        <w:t>VII</w:t>
      </w:r>
      <w:proofErr w:type="spellEnd"/>
      <w:r w:rsidRPr="0058796D">
        <w:t>.</w:t>
      </w:r>
      <w:r w:rsidRPr="0058796D">
        <w:tab/>
        <w:t>Толкование ДОПОГ (пункт 6 повестки дня)</w:t>
      </w:r>
    </w:p>
    <w:p w:rsidR="0058796D" w:rsidRPr="0058796D" w:rsidRDefault="0058796D" w:rsidP="00412CD1">
      <w:pPr>
        <w:pStyle w:val="H1GR"/>
        <w:rPr>
          <w:i/>
        </w:rPr>
      </w:pPr>
      <w:r w:rsidRPr="0058796D">
        <w:tab/>
        <w:t>А.</w:t>
      </w:r>
      <w:r w:rsidRPr="0058796D">
        <w:tab/>
        <w:t>Требования, касающиеся мер предосторожности против электростатических зарядов, разделы 7.5.10, 9.7.4 и 9.8.3</w:t>
      </w:r>
    </w:p>
    <w:p w:rsidR="0058796D" w:rsidRPr="0058796D" w:rsidRDefault="0058796D" w:rsidP="0058796D">
      <w:pPr>
        <w:pStyle w:val="SingleTxtGR"/>
      </w:pPr>
      <w:r w:rsidRPr="0054145C">
        <w:rPr>
          <w:i/>
        </w:rPr>
        <w:t>Неофициальный документ:</w:t>
      </w:r>
      <w:r w:rsidRPr="0058796D">
        <w:tab/>
        <w:t>INF.4 (Швеция)</w:t>
      </w:r>
    </w:p>
    <w:p w:rsidR="0058796D" w:rsidRPr="0058796D" w:rsidRDefault="0058796D" w:rsidP="0058796D">
      <w:pPr>
        <w:pStyle w:val="SingleTxtGR"/>
      </w:pPr>
      <w:r w:rsidRPr="0058796D">
        <w:t>59.</w:t>
      </w:r>
      <w:r w:rsidRPr="0058796D">
        <w:tab/>
      </w:r>
      <w:proofErr w:type="gramStart"/>
      <w:r w:rsidRPr="0058796D">
        <w:t>Касаясь первого случая, представленного в неофициальном докуме</w:t>
      </w:r>
      <w:r w:rsidRPr="0058796D">
        <w:t>н</w:t>
      </w:r>
      <w:r w:rsidRPr="0058796D">
        <w:t>те INF.4, Рабочая группа подтвердила толкование Швеции, а именно то, что для выполнения требований раздела 7.5.10 заземление шасси транспортного сре</w:t>
      </w:r>
      <w:r w:rsidRPr="0058796D">
        <w:t>д</w:t>
      </w:r>
      <w:r w:rsidRPr="0058796D">
        <w:t>ства должно быть обеспечено до наполнения или опорожнения цистерн либо путем непосредственного заземления транспортного средства или цистерны, либо путем соединения транспортного средства или цистерны с резервуаром-хранилищем, который сам заземлен.</w:t>
      </w:r>
      <w:proofErr w:type="gramEnd"/>
    </w:p>
    <w:p w:rsidR="0058796D" w:rsidRPr="0058796D" w:rsidRDefault="0058796D" w:rsidP="0058796D">
      <w:pPr>
        <w:pStyle w:val="SingleTxtGR"/>
      </w:pPr>
      <w:r w:rsidRPr="0058796D">
        <w:t>60.</w:t>
      </w:r>
      <w:r w:rsidRPr="0058796D">
        <w:tab/>
        <w:t>Что касается второго случая, то Рабочая группа подтвердила, что пол</w:t>
      </w:r>
      <w:r w:rsidRPr="0058796D">
        <w:t>о</w:t>
      </w:r>
      <w:r w:rsidRPr="0058796D">
        <w:t>жения, содержащиеся в разделах 9.7.4 и 9.8.3, предписывают эквипотенциал</w:t>
      </w:r>
      <w:r w:rsidRPr="0058796D">
        <w:t>ь</w:t>
      </w:r>
      <w:r w:rsidRPr="0058796D">
        <w:t>ное соединение, в то время как в названиях этих разделов говорится о заземл</w:t>
      </w:r>
      <w:r w:rsidRPr="0058796D">
        <w:t>е</w:t>
      </w:r>
      <w:r w:rsidRPr="0058796D">
        <w:t>нии. В целях уточнения текста представитель Швеции может предложить изм</w:t>
      </w:r>
      <w:r w:rsidRPr="0058796D">
        <w:t>е</w:t>
      </w:r>
      <w:r w:rsidRPr="0058796D">
        <w:t>нения к используемым терминам на следующей сессии.</w:t>
      </w:r>
    </w:p>
    <w:p w:rsidR="0058796D" w:rsidRPr="0058796D" w:rsidRDefault="0058796D" w:rsidP="00412CD1">
      <w:pPr>
        <w:pStyle w:val="H1GR"/>
      </w:pPr>
      <w:r w:rsidRPr="0058796D">
        <w:tab/>
        <w:t>В.</w:t>
      </w:r>
      <w:r w:rsidRPr="0058796D">
        <w:tab/>
        <w:t>Обеспечение безопасности и наблюдение за транспортными средствами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Неофициальный документ:</w:t>
      </w:r>
      <w:r w:rsidRPr="0058796D">
        <w:tab/>
        <w:t>INF.7 (Швеция)</w:t>
      </w:r>
    </w:p>
    <w:p w:rsidR="0058796D" w:rsidRPr="0058796D" w:rsidRDefault="0058796D" w:rsidP="0058796D">
      <w:pPr>
        <w:pStyle w:val="SingleTxtGR"/>
      </w:pPr>
      <w:r w:rsidRPr="0058796D">
        <w:t>61.</w:t>
      </w:r>
      <w:r w:rsidRPr="0058796D">
        <w:tab/>
        <w:t>Мнения разделились по вопросу о том, должно ли транспортное сре</w:t>
      </w:r>
      <w:r w:rsidRPr="0058796D">
        <w:t>д</w:t>
      </w:r>
      <w:r w:rsidRPr="0058796D">
        <w:t>ство, поставленное на стоянку в соответствии с вариантами, предусмотренн</w:t>
      </w:r>
      <w:r w:rsidRPr="0058796D">
        <w:t>ы</w:t>
      </w:r>
      <w:r w:rsidRPr="0058796D">
        <w:t>ми в подпункте b) или c) пункта 8.4.1, находиться под наблюдением.</w:t>
      </w:r>
    </w:p>
    <w:p w:rsidR="0058796D" w:rsidRPr="0058796D" w:rsidRDefault="0058796D" w:rsidP="0058796D">
      <w:pPr>
        <w:pStyle w:val="SingleTxtGR"/>
      </w:pPr>
      <w:r w:rsidRPr="0058796D">
        <w:t>62.</w:t>
      </w:r>
      <w:r w:rsidRPr="0058796D">
        <w:tab/>
        <w:t>Кроме того, мнения разделились по вопросу о том, как выполнить обяз</w:t>
      </w:r>
      <w:r w:rsidRPr="0058796D">
        <w:t>а</w:t>
      </w:r>
      <w:r w:rsidRPr="0058796D">
        <w:t>тельство осуществлять постоянное наблюдение за транспортными средствами и грузами, предусмотренное требованиями S1 и S16 главы 8.5.</w:t>
      </w:r>
    </w:p>
    <w:p w:rsidR="0058796D" w:rsidRPr="0058796D" w:rsidRDefault="0058796D" w:rsidP="0058796D">
      <w:pPr>
        <w:pStyle w:val="SingleTxtGR"/>
      </w:pPr>
      <w:r w:rsidRPr="0058796D">
        <w:t>63.</w:t>
      </w:r>
      <w:r w:rsidRPr="0058796D">
        <w:tab/>
        <w:t>Участникам напомнили, что требования глав 8.4 и 8.5 были разработаны задолго до введения в ДОПОГ главы 1.10 и понятия обеспечения безопасности.</w:t>
      </w:r>
    </w:p>
    <w:p w:rsidR="0058796D" w:rsidRPr="0058796D" w:rsidRDefault="0058796D" w:rsidP="0058796D">
      <w:pPr>
        <w:pStyle w:val="SingleTxtGR"/>
      </w:pPr>
      <w:r w:rsidRPr="0058796D">
        <w:t>64.</w:t>
      </w:r>
      <w:r w:rsidRPr="0058796D">
        <w:tab/>
        <w:t>Рабочая группа согласилась с тем, что эти главы можно было бы пер</w:t>
      </w:r>
      <w:r w:rsidRPr="0058796D">
        <w:t>е</w:t>
      </w:r>
      <w:r w:rsidRPr="0058796D">
        <w:t>смотреть не только с целью уточнения, но и с целью учета достижений техн</w:t>
      </w:r>
      <w:r w:rsidRPr="0058796D">
        <w:t>и</w:t>
      </w:r>
      <w:r w:rsidRPr="0058796D">
        <w:t xml:space="preserve">ческого прогресса, таких как применение </w:t>
      </w:r>
      <w:proofErr w:type="spellStart"/>
      <w:r w:rsidRPr="0058796D">
        <w:t>телематики</w:t>
      </w:r>
      <w:proofErr w:type="spellEnd"/>
      <w:r w:rsidRPr="0058796D">
        <w:t xml:space="preserve"> для наблюдения за тран</w:t>
      </w:r>
      <w:r w:rsidRPr="0058796D">
        <w:t>с</w:t>
      </w:r>
      <w:r w:rsidRPr="0058796D">
        <w:t xml:space="preserve">портными средствами и местами стоянки. </w:t>
      </w:r>
    </w:p>
    <w:p w:rsidR="0058796D" w:rsidRDefault="0058796D" w:rsidP="0058796D">
      <w:pPr>
        <w:pStyle w:val="SingleTxtGR"/>
      </w:pPr>
      <w:r w:rsidRPr="0058796D">
        <w:t>65.</w:t>
      </w:r>
      <w:r w:rsidRPr="0058796D">
        <w:tab/>
        <w:t>Представитель Швеции заявила, что в ее стране проводятся межотрасл</w:t>
      </w:r>
      <w:r w:rsidRPr="0058796D">
        <w:t>е</w:t>
      </w:r>
      <w:r w:rsidRPr="0058796D">
        <w:t>вые консультации по вопросу о транспортных средствах, используемых в пр</w:t>
      </w:r>
      <w:r w:rsidRPr="0058796D">
        <w:t>е</w:t>
      </w:r>
      <w:r w:rsidRPr="0058796D">
        <w:t>ступных целях. Она приняла к сведению различные варианты, которые были упомянуты в ходе обсуждения, и сможет вернуться к данному вопросу в дал</w:t>
      </w:r>
      <w:r w:rsidRPr="0058796D">
        <w:t>ь</w:t>
      </w:r>
      <w:r w:rsidRPr="0058796D">
        <w:t>нейшем в зависимости от прогресса в этой работе.</w:t>
      </w:r>
    </w:p>
    <w:p w:rsidR="0058796D" w:rsidRPr="0058796D" w:rsidRDefault="0058796D" w:rsidP="00412CD1">
      <w:pPr>
        <w:pStyle w:val="HChGR"/>
        <w:rPr>
          <w:i/>
        </w:rPr>
      </w:pPr>
      <w:r w:rsidRPr="0058796D">
        <w:tab/>
      </w:r>
      <w:proofErr w:type="spellStart"/>
      <w:r w:rsidRPr="0058796D">
        <w:t>VIII</w:t>
      </w:r>
      <w:proofErr w:type="spellEnd"/>
      <w:r w:rsidRPr="0058796D">
        <w:t>.</w:t>
      </w:r>
      <w:r w:rsidRPr="0058796D">
        <w:tab/>
        <w:t>Программа работы (пункт 7 повестки дня)</w:t>
      </w:r>
    </w:p>
    <w:p w:rsidR="0058796D" w:rsidRPr="0058796D" w:rsidRDefault="0058796D" w:rsidP="00412CD1">
      <w:pPr>
        <w:pStyle w:val="H1GR"/>
      </w:pPr>
      <w:r w:rsidRPr="0058796D">
        <w:tab/>
        <w:t>A.</w:t>
      </w:r>
      <w:r w:rsidRPr="0058796D">
        <w:tab/>
        <w:t>Поправки 2019 года</w:t>
      </w:r>
    </w:p>
    <w:p w:rsidR="0058796D" w:rsidRPr="0058796D" w:rsidRDefault="0058796D" w:rsidP="00412CD1">
      <w:pPr>
        <w:pStyle w:val="SingleTxtGR"/>
      </w:pPr>
      <w:r w:rsidRPr="0058796D">
        <w:t>66.</w:t>
      </w:r>
      <w:r w:rsidRPr="0058796D">
        <w:tab/>
        <w:t xml:space="preserve">Рабочая группа просила секретариат подготовить сводный перечень всех принятых ею поправок, которые вступят в силу 1 января 2019 года, с </w:t>
      </w:r>
      <w:proofErr w:type="gramStart"/>
      <w:r w:rsidRPr="0058796D">
        <w:t>тем</w:t>
      </w:r>
      <w:proofErr w:type="gramEnd"/>
      <w:r w:rsidRPr="0058796D">
        <w:t xml:space="preserve"> чтобы в соответствии с процедурой, предусмотренной в статье 14 ДОПОГ, их можно было изложить в официальном предложении, которое, согласно установивше</w:t>
      </w:r>
      <w:r w:rsidRPr="0058796D">
        <w:t>й</w:t>
      </w:r>
      <w:r w:rsidRPr="0058796D">
        <w:t>ся практике, Председатель препроводит депозитарию через правительство св</w:t>
      </w:r>
      <w:r w:rsidRPr="0058796D">
        <w:t>о</w:t>
      </w:r>
      <w:r w:rsidRPr="0058796D">
        <w:t xml:space="preserve">ей страны. Соответствующее уведомление должно быть направлено не позднее 1 июля 2018 года с упоминанием предусмотренной даты вступления в силу – </w:t>
      </w:r>
      <w:r w:rsidRPr="0058796D">
        <w:lastRenderedPageBreak/>
        <w:t>1</w:t>
      </w:r>
      <w:r w:rsidR="00412CD1">
        <w:rPr>
          <w:lang w:val="en-US"/>
        </w:rPr>
        <w:t> </w:t>
      </w:r>
      <w:r w:rsidRPr="0058796D">
        <w:t>января 2019 года. Этот документ будет распространен под условным обозн</w:t>
      </w:r>
      <w:r w:rsidRPr="0058796D">
        <w:t>а</w:t>
      </w:r>
      <w:r w:rsidRPr="0058796D">
        <w:t>чением ECE/TRANS/WP.15/240.</w:t>
      </w:r>
    </w:p>
    <w:p w:rsidR="0058796D" w:rsidRPr="0058796D" w:rsidRDefault="0058796D" w:rsidP="0058796D">
      <w:pPr>
        <w:pStyle w:val="SingleTxtGR"/>
      </w:pPr>
      <w:r w:rsidRPr="0058796D">
        <w:t>67.</w:t>
      </w:r>
      <w:r w:rsidRPr="0058796D">
        <w:tab/>
        <w:t xml:space="preserve">Кроме того, Рабочая группа просила секретариат опубликовать сводный текст ДОПОГ с поправками, действующими с 1 января 2019 года, достаточно заблаговременно, с </w:t>
      </w:r>
      <w:proofErr w:type="gramStart"/>
      <w:r w:rsidRPr="0058796D">
        <w:t>тем</w:t>
      </w:r>
      <w:proofErr w:type="gramEnd"/>
      <w:r w:rsidRPr="0058796D">
        <w:t xml:space="preserve"> чтобы подготовиться к его эффективному применению до вступления в силу указанных поправок.</w:t>
      </w:r>
    </w:p>
    <w:p w:rsidR="0058796D" w:rsidRPr="0058796D" w:rsidRDefault="0058796D" w:rsidP="00412CD1">
      <w:pPr>
        <w:pStyle w:val="H1GR"/>
      </w:pPr>
      <w:r w:rsidRPr="0058796D">
        <w:tab/>
        <w:t>В.</w:t>
      </w:r>
      <w:r w:rsidRPr="0058796D">
        <w:tab/>
        <w:t>104-я сессия</w:t>
      </w:r>
    </w:p>
    <w:p w:rsidR="0058796D" w:rsidRPr="0058796D" w:rsidRDefault="0058796D" w:rsidP="0058796D">
      <w:pPr>
        <w:pStyle w:val="SingleTxtGR"/>
      </w:pPr>
      <w:r w:rsidRPr="0058796D">
        <w:t>68.</w:t>
      </w:r>
      <w:r w:rsidRPr="0058796D">
        <w:tab/>
        <w:t xml:space="preserve">В повестку дня следующей сессии (14–18 мая 2018 года) будут включены следующие пункты: </w:t>
      </w:r>
    </w:p>
    <w:p w:rsidR="0058796D" w:rsidRPr="0058796D" w:rsidRDefault="0058796D" w:rsidP="00412CD1">
      <w:pPr>
        <w:pStyle w:val="Bullet1GR"/>
      </w:pPr>
      <w:r w:rsidRPr="0058796D">
        <w:t>утверждение повестки дня;</w:t>
      </w:r>
    </w:p>
    <w:p w:rsidR="0058796D" w:rsidRPr="0058796D" w:rsidRDefault="0058796D" w:rsidP="00412CD1">
      <w:pPr>
        <w:pStyle w:val="Bullet1GR"/>
      </w:pPr>
      <w:r w:rsidRPr="0058796D">
        <w:t>восьмидесятая сессия Комитета по внутреннему транспорту;</w:t>
      </w:r>
    </w:p>
    <w:p w:rsidR="0058796D" w:rsidRPr="0058796D" w:rsidRDefault="0058796D" w:rsidP="00412CD1">
      <w:pPr>
        <w:pStyle w:val="Bullet1GR"/>
      </w:pPr>
      <w:r w:rsidRPr="0058796D">
        <w:t>состояние Европейского соглашения о международной дорожной пер</w:t>
      </w:r>
      <w:r w:rsidRPr="0058796D">
        <w:t>е</w:t>
      </w:r>
      <w:r w:rsidRPr="0058796D">
        <w:t>возке опасных грузов (ДОПОГ) и связанные с этим вопросы;</w:t>
      </w:r>
    </w:p>
    <w:p w:rsidR="0058796D" w:rsidRPr="0058796D" w:rsidRDefault="0058796D" w:rsidP="00412CD1">
      <w:pPr>
        <w:pStyle w:val="Bullet1GR"/>
      </w:pPr>
      <w:r w:rsidRPr="0058796D">
        <w:t xml:space="preserve">работа Совместного совещания </w:t>
      </w:r>
      <w:proofErr w:type="spellStart"/>
      <w:r w:rsidRPr="0058796D">
        <w:t>МПОГ</w:t>
      </w:r>
      <w:proofErr w:type="spellEnd"/>
      <w:r w:rsidRPr="0058796D">
        <w:t>/</w:t>
      </w:r>
      <w:proofErr w:type="spellStart"/>
      <w:r w:rsidRPr="0058796D">
        <w:t>ДОПОГ</w:t>
      </w:r>
      <w:proofErr w:type="spellEnd"/>
      <w:r w:rsidRPr="0058796D">
        <w:t>/</w:t>
      </w:r>
      <w:proofErr w:type="spellStart"/>
      <w:r w:rsidRPr="0058796D">
        <w:t>ВОПОГ</w:t>
      </w:r>
      <w:proofErr w:type="spellEnd"/>
      <w:r w:rsidRPr="0058796D">
        <w:t>;</w:t>
      </w:r>
    </w:p>
    <w:p w:rsidR="0058796D" w:rsidRPr="0058796D" w:rsidRDefault="0058796D" w:rsidP="00412CD1">
      <w:pPr>
        <w:pStyle w:val="Bullet1GR"/>
      </w:pPr>
      <w:r w:rsidRPr="0058796D">
        <w:t>предложения о внесении поправок в приложения A и B к ДОПОГ;</w:t>
      </w:r>
    </w:p>
    <w:p w:rsidR="0058796D" w:rsidRPr="0058796D" w:rsidRDefault="0058796D" w:rsidP="00412CD1">
      <w:pPr>
        <w:pStyle w:val="Bullet1GR"/>
      </w:pPr>
      <w:r w:rsidRPr="0058796D">
        <w:t>толкование ДОПОГ;</w:t>
      </w:r>
    </w:p>
    <w:p w:rsidR="0058796D" w:rsidRPr="0058796D" w:rsidRDefault="0058796D" w:rsidP="00412CD1">
      <w:pPr>
        <w:pStyle w:val="Bullet1GR"/>
      </w:pPr>
      <w:r w:rsidRPr="0058796D">
        <w:t>программа работы;</w:t>
      </w:r>
    </w:p>
    <w:p w:rsidR="0058796D" w:rsidRPr="0058796D" w:rsidRDefault="0058796D" w:rsidP="00412CD1">
      <w:pPr>
        <w:pStyle w:val="Bullet1GR"/>
      </w:pPr>
      <w:r w:rsidRPr="0058796D">
        <w:t>прочие вопросы;</w:t>
      </w:r>
    </w:p>
    <w:p w:rsidR="0058796D" w:rsidRPr="0058796D" w:rsidRDefault="0058796D" w:rsidP="00412CD1">
      <w:pPr>
        <w:pStyle w:val="Bullet1GR"/>
      </w:pPr>
      <w:r w:rsidRPr="0058796D">
        <w:t>утверждение доклада.</w:t>
      </w:r>
    </w:p>
    <w:p w:rsidR="0058796D" w:rsidRPr="0058796D" w:rsidRDefault="0058796D" w:rsidP="00412CD1">
      <w:pPr>
        <w:pStyle w:val="H1GR"/>
      </w:pPr>
      <w:r w:rsidRPr="0058796D">
        <w:tab/>
        <w:t>С.</w:t>
      </w:r>
      <w:r w:rsidRPr="0058796D">
        <w:tab/>
        <w:t>Двухгодичные оценки</w:t>
      </w:r>
    </w:p>
    <w:p w:rsidR="0058796D" w:rsidRPr="0058796D" w:rsidRDefault="0058796D" w:rsidP="00412CD1">
      <w:pPr>
        <w:pStyle w:val="SingleTxtGR"/>
        <w:tabs>
          <w:tab w:val="left" w:pos="2552"/>
        </w:tabs>
        <w:jc w:val="left"/>
      </w:pPr>
      <w:r w:rsidRPr="0058796D">
        <w:rPr>
          <w:i/>
          <w:iCs/>
        </w:rPr>
        <w:t>Документы</w:t>
      </w:r>
      <w:r w:rsidRPr="0054145C">
        <w:rPr>
          <w:i/>
          <w:iCs/>
        </w:rPr>
        <w:t xml:space="preserve">: </w:t>
      </w:r>
      <w:r w:rsidRPr="0058796D">
        <w:tab/>
        <w:t>ECE/TRANS/WP.15/2017/18 (Германия)</w:t>
      </w:r>
      <w:r w:rsidR="00412CD1" w:rsidRPr="004F20A7">
        <w:br/>
      </w:r>
      <w:r w:rsidR="00412CD1" w:rsidRPr="004F20A7">
        <w:tab/>
      </w:r>
      <w:r w:rsidRPr="0058796D">
        <w:tab/>
      </w:r>
      <w:r w:rsidRPr="0058796D">
        <w:tab/>
        <w:t xml:space="preserve">ECE/TRANS/WP.15/2017/22 (секретариат) </w:t>
      </w:r>
    </w:p>
    <w:p w:rsidR="0058796D" w:rsidRPr="0058796D" w:rsidRDefault="0058796D" w:rsidP="0058796D">
      <w:pPr>
        <w:pStyle w:val="SingleTxtGR"/>
      </w:pPr>
      <w:r w:rsidRPr="0058796D">
        <w:t>69.</w:t>
      </w:r>
      <w:r w:rsidRPr="0058796D">
        <w:tab/>
        <w:t>Рабочая группа подтвердила оценку результативности за 2016–2017 годы и обновила цели и показатели достижения результатов на 2018–2019 годы, по</w:t>
      </w:r>
      <w:r w:rsidRPr="0058796D">
        <w:t>д</w:t>
      </w:r>
      <w:r w:rsidRPr="0058796D">
        <w:t xml:space="preserve">готовленные секретариатом (см. приложения </w:t>
      </w:r>
      <w:r w:rsidRPr="0058796D">
        <w:rPr>
          <w:lang w:val="fr-FR"/>
        </w:rPr>
        <w:t>II</w:t>
      </w:r>
      <w:r w:rsidRPr="0058796D">
        <w:t xml:space="preserve"> и </w:t>
      </w:r>
      <w:r w:rsidRPr="0058796D">
        <w:rPr>
          <w:lang w:val="fr-FR"/>
        </w:rPr>
        <w:t>III</w:t>
      </w:r>
      <w:r w:rsidRPr="0058796D">
        <w:t>).</w:t>
      </w:r>
    </w:p>
    <w:p w:rsidR="0058796D" w:rsidRPr="0058796D" w:rsidRDefault="0058796D" w:rsidP="0058796D">
      <w:pPr>
        <w:pStyle w:val="SingleTxtGR"/>
      </w:pPr>
      <w:r w:rsidRPr="0058796D">
        <w:t>70.</w:t>
      </w:r>
      <w:r w:rsidRPr="0058796D">
        <w:tab/>
        <w:t>Рабочая группа предложила странам, которые еще не сделали этого, с</w:t>
      </w:r>
      <w:r w:rsidRPr="0058796D">
        <w:t>о</w:t>
      </w:r>
      <w:r w:rsidRPr="0058796D">
        <w:t>общить секретариату ЕЭК ООН сведения о компетентных органах в соотве</w:t>
      </w:r>
      <w:r w:rsidRPr="0058796D">
        <w:t>т</w:t>
      </w:r>
      <w:r w:rsidRPr="0058796D">
        <w:t>ствии с требованиями раздела 1.8.4. Рабочая группа отметила, что для облегч</w:t>
      </w:r>
      <w:r w:rsidRPr="0058796D">
        <w:t>е</w:t>
      </w:r>
      <w:r w:rsidRPr="0058796D">
        <w:t xml:space="preserve">ния связи между Договаривающимися сторонами было бы полезно </w:t>
      </w:r>
      <w:proofErr w:type="gramStart"/>
      <w:r w:rsidRPr="0058796D">
        <w:t>указывать</w:t>
      </w:r>
      <w:proofErr w:type="gramEnd"/>
      <w:r w:rsidRPr="0058796D">
        <w:t xml:space="preserve"> по крайней мере адрес электронной почты.</w:t>
      </w:r>
    </w:p>
    <w:p w:rsidR="0058796D" w:rsidRPr="0058796D" w:rsidRDefault="0058796D" w:rsidP="0058796D">
      <w:pPr>
        <w:pStyle w:val="SingleTxtGR"/>
      </w:pPr>
      <w:r w:rsidRPr="0058796D">
        <w:t>71.</w:t>
      </w:r>
      <w:r w:rsidRPr="0058796D">
        <w:tab/>
        <w:t>Рабочая группа также предложила странам, которые еще не сделали эт</w:t>
      </w:r>
      <w:r w:rsidRPr="0058796D">
        <w:t>о</w:t>
      </w:r>
      <w:r w:rsidRPr="0058796D">
        <w:t>го, прислать официальные переводы письменных инструкций согласно образцу, приведенному в разделе 5.4.3, и образцы выдаваемых ими свидетельств ДОПОГ о подготовке водителя или, в соответствующих случаях, подтвердить, что такие свидетельства в этих странах не выдаются.</w:t>
      </w:r>
    </w:p>
    <w:p w:rsidR="0058796D" w:rsidRDefault="0058796D" w:rsidP="0058796D">
      <w:pPr>
        <w:pStyle w:val="SingleTxtGR"/>
      </w:pPr>
      <w:r w:rsidRPr="0058796D">
        <w:t>72.</w:t>
      </w:r>
      <w:r w:rsidRPr="0058796D">
        <w:tab/>
        <w:t>По предложению представителя Германии Рабочая группа поручила се</w:t>
      </w:r>
      <w:r w:rsidRPr="0058796D">
        <w:t>к</w:t>
      </w:r>
      <w:r w:rsidRPr="0058796D">
        <w:t>ретариату передать письменный запрос представителям стран, по которым о</w:t>
      </w:r>
      <w:r w:rsidRPr="0058796D">
        <w:t>т</w:t>
      </w:r>
      <w:r w:rsidRPr="0058796D">
        <w:t>сутствует информация.</w:t>
      </w:r>
    </w:p>
    <w:p w:rsidR="0058796D" w:rsidRPr="0058796D" w:rsidRDefault="00412CD1" w:rsidP="00412CD1">
      <w:pPr>
        <w:pStyle w:val="HChGR"/>
      </w:pPr>
      <w:r>
        <w:br w:type="page"/>
      </w:r>
      <w:r w:rsidR="0058796D" w:rsidRPr="0058796D">
        <w:lastRenderedPageBreak/>
        <w:tab/>
      </w:r>
      <w:proofErr w:type="spellStart"/>
      <w:r w:rsidR="0058796D" w:rsidRPr="0058796D">
        <w:t>IX</w:t>
      </w:r>
      <w:proofErr w:type="spellEnd"/>
      <w:r w:rsidR="0058796D" w:rsidRPr="0058796D">
        <w:t>.</w:t>
      </w:r>
      <w:r w:rsidR="0058796D" w:rsidRPr="0058796D">
        <w:tab/>
        <w:t xml:space="preserve">Шестидесятая годовщина ДОПОГ </w:t>
      </w:r>
      <w:r w:rsidR="0058796D" w:rsidRPr="0058796D">
        <w:br/>
        <w:t>(пункт 8 повестки дня)</w:t>
      </w:r>
    </w:p>
    <w:p w:rsidR="0058796D" w:rsidRPr="0058796D" w:rsidRDefault="0058796D" w:rsidP="00412CD1">
      <w:pPr>
        <w:pStyle w:val="SingleTxtGR"/>
        <w:jc w:val="left"/>
      </w:pPr>
      <w:r w:rsidRPr="0058796D">
        <w:rPr>
          <w:i/>
          <w:iCs/>
        </w:rPr>
        <w:t>Неофициальные документы</w:t>
      </w:r>
      <w:r w:rsidRPr="0054145C">
        <w:rPr>
          <w:i/>
          <w:iCs/>
        </w:rPr>
        <w:t>:</w:t>
      </w:r>
      <w:r w:rsidRPr="0058796D">
        <w:tab/>
        <w:t xml:space="preserve">INF.8 (секретариат), INF.9 (МСАТ/секретариат), </w:t>
      </w:r>
      <w:r w:rsidRPr="0058796D">
        <w:tab/>
      </w:r>
      <w:r w:rsidRPr="0058796D">
        <w:tab/>
      </w:r>
      <w:r w:rsidRPr="0058796D">
        <w:tab/>
      </w:r>
      <w:r w:rsidRPr="0058796D">
        <w:tab/>
      </w:r>
      <w:r w:rsidRPr="0058796D">
        <w:tab/>
        <w:t>INF.19 (Нидерланды)</w:t>
      </w:r>
    </w:p>
    <w:p w:rsidR="0058796D" w:rsidRPr="0058796D" w:rsidRDefault="0058796D" w:rsidP="0058796D">
      <w:pPr>
        <w:pStyle w:val="SingleTxtGR"/>
      </w:pPr>
      <w:r w:rsidRPr="0058796D">
        <w:t>73.</w:t>
      </w:r>
      <w:r w:rsidRPr="0058796D">
        <w:tab/>
      </w:r>
      <w:proofErr w:type="gramStart"/>
      <w:r w:rsidRPr="0058796D">
        <w:t>По случаю шестидесятой годовщины ДОПОГ участники Рабочей группы приняли участие в обсуждении возможных изменений в ДОПОГ и деятельности Группы в последующие десятилетия, а также в обсуждении того, как она может помочь странам в достижении целей в области устойчивого развития (</w:t>
      </w:r>
      <w:proofErr w:type="spellStart"/>
      <w:r w:rsidRPr="0058796D">
        <w:t>ЦУР</w:t>
      </w:r>
      <w:proofErr w:type="spellEnd"/>
      <w:r w:rsidRPr="0058796D">
        <w:t>) П</w:t>
      </w:r>
      <w:r w:rsidRPr="0058796D">
        <w:t>о</w:t>
      </w:r>
      <w:r w:rsidRPr="0058796D">
        <w:t xml:space="preserve">вестки дня в области устойчивого развития на период до 2030 года, принятой Организацией Объединенных Наций. </w:t>
      </w:r>
      <w:proofErr w:type="gramEnd"/>
    </w:p>
    <w:p w:rsidR="0058796D" w:rsidRPr="0058796D" w:rsidRDefault="0058796D" w:rsidP="0058796D">
      <w:pPr>
        <w:pStyle w:val="SingleTxtGR"/>
      </w:pPr>
      <w:r w:rsidRPr="0058796D">
        <w:t>74.</w:t>
      </w:r>
      <w:r w:rsidRPr="0058796D">
        <w:tab/>
        <w:t>Напомнив о важности ДОПОГ для улучшения охраны, безопасности и защиты окружающей среды, а также о его роли в облегчении перевозок, Раб</w:t>
      </w:r>
      <w:r w:rsidRPr="0058796D">
        <w:t>о</w:t>
      </w:r>
      <w:r w:rsidRPr="0058796D">
        <w:t xml:space="preserve">чая группа подтвердила, что ее работа и требования </w:t>
      </w:r>
      <w:proofErr w:type="gramStart"/>
      <w:r w:rsidRPr="0058796D">
        <w:t>ДОПОГ</w:t>
      </w:r>
      <w:proofErr w:type="gramEnd"/>
      <w:r w:rsidRPr="0058796D">
        <w:t xml:space="preserve"> по сути направл</w:t>
      </w:r>
      <w:r w:rsidRPr="0058796D">
        <w:t>е</w:t>
      </w:r>
      <w:r w:rsidRPr="0058796D">
        <w:t xml:space="preserve">ны на достижение </w:t>
      </w:r>
      <w:proofErr w:type="spellStart"/>
      <w:r w:rsidRPr="0058796D">
        <w:t>ЦУР</w:t>
      </w:r>
      <w:proofErr w:type="spellEnd"/>
      <w:r w:rsidRPr="0058796D">
        <w:t>, перечисленных в неофициальном документе INF.8 се</w:t>
      </w:r>
      <w:r w:rsidRPr="0058796D">
        <w:t>к</w:t>
      </w:r>
      <w:r w:rsidRPr="0058796D">
        <w:t>ретариата. Например, ведущаяся в рамках Рабочей группы работа, направле</w:t>
      </w:r>
      <w:r w:rsidRPr="0058796D">
        <w:t>н</w:t>
      </w:r>
      <w:r w:rsidRPr="0058796D">
        <w:t>ная на то, чтобы разрешить использование гибридных и электрических тран</w:t>
      </w:r>
      <w:r w:rsidRPr="0058796D">
        <w:t>с</w:t>
      </w:r>
      <w:r w:rsidRPr="0058796D">
        <w:t>портных сре</w:t>
      </w:r>
      <w:proofErr w:type="gramStart"/>
      <w:r w:rsidRPr="0058796D">
        <w:t>дств дл</w:t>
      </w:r>
      <w:proofErr w:type="gramEnd"/>
      <w:r w:rsidRPr="0058796D">
        <w:t xml:space="preserve">я перевозки опасных грузов, способствует реализации </w:t>
      </w:r>
      <w:proofErr w:type="spellStart"/>
      <w:r w:rsidRPr="0058796D">
        <w:t>ЦУР</w:t>
      </w:r>
      <w:proofErr w:type="spellEnd"/>
      <w:r w:rsidRPr="0058796D">
        <w:t> 9, 11 и 12.</w:t>
      </w:r>
    </w:p>
    <w:p w:rsidR="0058796D" w:rsidRPr="0058796D" w:rsidRDefault="0058796D" w:rsidP="0058796D">
      <w:pPr>
        <w:pStyle w:val="SingleTxtGR"/>
      </w:pPr>
      <w:r w:rsidRPr="0058796D">
        <w:t>75.</w:t>
      </w:r>
      <w:r w:rsidRPr="0058796D">
        <w:tab/>
        <w:t>Несколько делегаций представили предложения, направленные на расш</w:t>
      </w:r>
      <w:r w:rsidRPr="0058796D">
        <w:t>и</w:t>
      </w:r>
      <w:r w:rsidRPr="0058796D">
        <w:t>рение охвата и улучшение осуществления ДОПОГ и деятельности Рабочей группы. Эти предложения вписываются в усилия, предпринимаемые в интер</w:t>
      </w:r>
      <w:r w:rsidRPr="0058796D">
        <w:t>е</w:t>
      </w:r>
      <w:r w:rsidRPr="0058796D">
        <w:t>сах поддержания высокого уровня надежности и безопасности на основе те</w:t>
      </w:r>
      <w:r w:rsidRPr="0058796D">
        <w:t>х</w:t>
      </w:r>
      <w:r w:rsidRPr="0058796D">
        <w:t>нического прогресса и адаптации к изменениям, касающимся проблем, практ</w:t>
      </w:r>
      <w:r w:rsidRPr="0058796D">
        <w:t>и</w:t>
      </w:r>
      <w:r w:rsidRPr="0058796D">
        <w:t>ки и имеющихся технических решений.</w:t>
      </w:r>
    </w:p>
    <w:p w:rsidR="0058796D" w:rsidRPr="0058796D" w:rsidRDefault="0058796D" w:rsidP="0058796D">
      <w:pPr>
        <w:pStyle w:val="SingleTxtGR"/>
      </w:pPr>
      <w:r w:rsidRPr="0058796D">
        <w:t>76.</w:t>
      </w:r>
      <w:r w:rsidRPr="0058796D">
        <w:tab/>
        <w:t>Рабочая группа согласилась с тем, что обсуждение может быть продо</w:t>
      </w:r>
      <w:r w:rsidRPr="0058796D">
        <w:t>л</w:t>
      </w:r>
      <w:r w:rsidRPr="0058796D">
        <w:t>жено на следующей сессии с учетом различных выступлений. В этой связи Р</w:t>
      </w:r>
      <w:r w:rsidRPr="0058796D">
        <w:t>а</w:t>
      </w:r>
      <w:r w:rsidRPr="0058796D">
        <w:t>бочая группа просила секретариат подготовить резюме обсуждения в виде н</w:t>
      </w:r>
      <w:r w:rsidRPr="0058796D">
        <w:t>е</w:t>
      </w:r>
      <w:r w:rsidRPr="0058796D">
        <w:t>официального документа для следующей сессии.</w:t>
      </w:r>
    </w:p>
    <w:p w:rsidR="0058796D" w:rsidRPr="00DE7421" w:rsidRDefault="0058796D" w:rsidP="0058796D">
      <w:pPr>
        <w:pStyle w:val="SingleTxtGR"/>
      </w:pPr>
      <w:r w:rsidRPr="0058796D">
        <w:t>77.</w:t>
      </w:r>
      <w:r w:rsidRPr="0058796D">
        <w:tab/>
        <w:t>Рабочая группа может также принять во внимание доклад об оценке, по</w:t>
      </w:r>
      <w:r w:rsidRPr="0058796D">
        <w:t>д</w:t>
      </w:r>
      <w:r w:rsidRPr="0058796D">
        <w:t>готовленный консультантом в рамках оценки глобального и регионального вл</w:t>
      </w:r>
      <w:r w:rsidRPr="0058796D">
        <w:t>и</w:t>
      </w:r>
      <w:r w:rsidRPr="0058796D">
        <w:t>яния правил ЕЭК ООН и Рекомендаций Организации Объединенных Наций по перевозке опасных грузов, и ответ секретариата на данный доклад. С этими д</w:t>
      </w:r>
      <w:r w:rsidRPr="0058796D">
        <w:t>о</w:t>
      </w:r>
      <w:r w:rsidRPr="0058796D">
        <w:t xml:space="preserve">кументами можно ознакомиться на веб-сайте </w:t>
      </w:r>
      <w:proofErr w:type="spellStart"/>
      <w:r w:rsidRPr="0058796D">
        <w:t>ЕЭК</w:t>
      </w:r>
      <w:proofErr w:type="spellEnd"/>
      <w:r w:rsidRPr="0058796D">
        <w:t xml:space="preserve"> ООН по следующему адресу: </w:t>
      </w:r>
      <w:hyperlink r:id="rId9" w:history="1">
        <w:r w:rsidRPr="00DE7421">
          <w:rPr>
            <w:rStyle w:val="af1"/>
            <w:color w:val="auto"/>
            <w:lang w:val="fr-FR"/>
          </w:rPr>
          <w:t>www</w:t>
        </w:r>
        <w:r w:rsidRPr="00DE7421">
          <w:rPr>
            <w:rStyle w:val="af1"/>
            <w:color w:val="auto"/>
          </w:rPr>
          <w:t>.</w:t>
        </w:r>
        <w:proofErr w:type="spellStart"/>
        <w:r w:rsidRPr="00DE7421">
          <w:rPr>
            <w:rStyle w:val="af1"/>
            <w:color w:val="auto"/>
            <w:lang w:val="fr-FR"/>
          </w:rPr>
          <w:t>unece</w:t>
        </w:r>
        <w:proofErr w:type="spellEnd"/>
        <w:r w:rsidRPr="00DE7421">
          <w:rPr>
            <w:rStyle w:val="af1"/>
            <w:color w:val="auto"/>
          </w:rPr>
          <w:t>.</w:t>
        </w:r>
        <w:proofErr w:type="spellStart"/>
        <w:r w:rsidRPr="00DE7421">
          <w:rPr>
            <w:rStyle w:val="af1"/>
            <w:color w:val="auto"/>
            <w:lang w:val="fr-FR"/>
          </w:rPr>
          <w:t>org</w:t>
        </w:r>
        <w:proofErr w:type="spellEnd"/>
        <w:r w:rsidRPr="00DE7421">
          <w:rPr>
            <w:rStyle w:val="af1"/>
            <w:color w:val="auto"/>
          </w:rPr>
          <w:t>/</w:t>
        </w:r>
        <w:r w:rsidRPr="00DE7421">
          <w:rPr>
            <w:rStyle w:val="af1"/>
            <w:color w:val="auto"/>
            <w:lang w:val="fr-FR"/>
          </w:rPr>
          <w:t>info</w:t>
        </w:r>
        <w:r w:rsidRPr="00DE7421">
          <w:rPr>
            <w:rStyle w:val="af1"/>
            <w:color w:val="auto"/>
          </w:rPr>
          <w:t>/</w:t>
        </w:r>
        <w:r w:rsidRPr="00DE7421">
          <w:rPr>
            <w:rStyle w:val="af1"/>
            <w:color w:val="auto"/>
            <w:lang w:val="fr-FR"/>
          </w:rPr>
          <w:t>open</w:t>
        </w:r>
        <w:r w:rsidRPr="00DE7421">
          <w:rPr>
            <w:rStyle w:val="af1"/>
            <w:color w:val="auto"/>
          </w:rPr>
          <w:t>-</w:t>
        </w:r>
        <w:proofErr w:type="spellStart"/>
        <w:r w:rsidRPr="00DE7421">
          <w:rPr>
            <w:rStyle w:val="af1"/>
            <w:color w:val="auto"/>
            <w:lang w:val="fr-FR"/>
          </w:rPr>
          <w:t>unece</w:t>
        </w:r>
        <w:proofErr w:type="spellEnd"/>
        <w:r w:rsidRPr="00DE7421">
          <w:rPr>
            <w:rStyle w:val="af1"/>
            <w:color w:val="auto"/>
          </w:rPr>
          <w:t>/</w:t>
        </w:r>
        <w:proofErr w:type="spellStart"/>
        <w:r w:rsidRPr="00DE7421">
          <w:rPr>
            <w:rStyle w:val="af1"/>
            <w:color w:val="auto"/>
            <w:lang w:val="fr-FR"/>
          </w:rPr>
          <w:t>evaluation</w:t>
        </w:r>
        <w:proofErr w:type="spellEnd"/>
        <w:r w:rsidRPr="00DE7421">
          <w:rPr>
            <w:rStyle w:val="af1"/>
            <w:color w:val="auto"/>
          </w:rPr>
          <w:t>.</w:t>
        </w:r>
        <w:r w:rsidRPr="00DE7421">
          <w:rPr>
            <w:rStyle w:val="af1"/>
            <w:color w:val="auto"/>
            <w:lang w:val="fr-FR"/>
          </w:rPr>
          <w:t>html</w:t>
        </w:r>
      </w:hyperlink>
      <w:r w:rsidRPr="00DE7421">
        <w:t>.</w:t>
      </w:r>
    </w:p>
    <w:p w:rsidR="0058796D" w:rsidRPr="0058796D" w:rsidRDefault="0058796D" w:rsidP="003A2433">
      <w:pPr>
        <w:pStyle w:val="HChGR"/>
      </w:pPr>
      <w:r w:rsidRPr="0058796D">
        <w:tab/>
        <w:t>X.</w:t>
      </w:r>
      <w:r w:rsidRPr="0058796D">
        <w:tab/>
        <w:t>Прочие вопросы (пункт 9 повестки дня)</w:t>
      </w:r>
    </w:p>
    <w:p w:rsidR="0058796D" w:rsidRPr="0058796D" w:rsidRDefault="0058796D" w:rsidP="003A2433">
      <w:pPr>
        <w:pStyle w:val="H1GR"/>
      </w:pPr>
      <w:r w:rsidRPr="0058796D">
        <w:tab/>
        <w:t>A.</w:t>
      </w:r>
      <w:r w:rsidRPr="0058796D">
        <w:tab/>
        <w:t>Указание гражданства в свидетельстве ДОПОГ о подготовке водителя</w:t>
      </w:r>
    </w:p>
    <w:p w:rsidR="0058796D" w:rsidRPr="0058796D" w:rsidRDefault="0058796D" w:rsidP="0058796D">
      <w:pPr>
        <w:pStyle w:val="SingleTxtGR"/>
      </w:pPr>
      <w:r w:rsidRPr="0058796D">
        <w:t>78.</w:t>
      </w:r>
      <w:r w:rsidRPr="0058796D">
        <w:tab/>
        <w:t>В связи с устной просьбой представителя Бельгии встал вопрос о том, как заполнять пункт 5 (Гражданство) свидетельства ДОПОГ о подготовке вод</w:t>
      </w:r>
      <w:r w:rsidRPr="0058796D">
        <w:t>и</w:t>
      </w:r>
      <w:r w:rsidRPr="0058796D">
        <w:t>теля в случае водителей, которые не имеют гражданства или имеют гражда</w:t>
      </w:r>
      <w:r w:rsidRPr="0058796D">
        <w:t>н</w:t>
      </w:r>
      <w:r w:rsidRPr="0058796D">
        <w:t xml:space="preserve">ство нескольких стран. </w:t>
      </w:r>
    </w:p>
    <w:p w:rsidR="0058796D" w:rsidRPr="0058796D" w:rsidRDefault="0058796D" w:rsidP="0058796D">
      <w:pPr>
        <w:pStyle w:val="SingleTxtGR"/>
      </w:pPr>
      <w:r w:rsidRPr="0058796D">
        <w:t>79.</w:t>
      </w:r>
      <w:r w:rsidRPr="0058796D">
        <w:tab/>
        <w:t>Было отмечено, что этот вопрос может касаться других официальных д</w:t>
      </w:r>
      <w:r w:rsidRPr="0058796D">
        <w:t>о</w:t>
      </w:r>
      <w:r w:rsidRPr="0058796D">
        <w:t>кументов, и было предложено обратиться к другим органам за информацией о применимой практике. Секретариат свяжется с Договорной секцией Управл</w:t>
      </w:r>
      <w:r w:rsidRPr="0058796D">
        <w:t>е</w:t>
      </w:r>
      <w:r w:rsidRPr="0058796D">
        <w:t>ния ООН по правовым вопросам, Управлением Верховного комиссара Орган</w:t>
      </w:r>
      <w:r w:rsidRPr="0058796D">
        <w:t>и</w:t>
      </w:r>
      <w:r w:rsidRPr="0058796D">
        <w:t>зации Объединенных Наций по делам беженцев</w:t>
      </w:r>
      <w:r w:rsidR="00C05A4D">
        <w:t xml:space="preserve"> (</w:t>
      </w:r>
      <w:proofErr w:type="spellStart"/>
      <w:r w:rsidR="00C05A4D">
        <w:t>УВКБ</w:t>
      </w:r>
      <w:proofErr w:type="spellEnd"/>
      <w:r w:rsidR="00C05A4D">
        <w:t>)</w:t>
      </w:r>
      <w:r w:rsidRPr="0058796D">
        <w:t xml:space="preserve"> и Управлением Ве</w:t>
      </w:r>
      <w:r w:rsidRPr="0058796D">
        <w:t>р</w:t>
      </w:r>
      <w:r w:rsidRPr="0058796D">
        <w:t>ховного комиссара Организации Объединенных Наций по правам человека (УВКПЧ). Представителю Бельгии было предложено параллельно связаться с представителем Европейского союза, чтобы выяснить, предусмотрены ли п</w:t>
      </w:r>
      <w:r w:rsidRPr="0058796D">
        <w:t>о</w:t>
      </w:r>
      <w:r w:rsidRPr="0058796D">
        <w:lastRenderedPageBreak/>
        <w:t>добные слу</w:t>
      </w:r>
      <w:r w:rsidR="00C05A4D">
        <w:t>чаи, например</w:t>
      </w:r>
      <w:r w:rsidRPr="0058796D">
        <w:t xml:space="preserve"> при выдаче водительских удостоверений в странах-членах.</w:t>
      </w:r>
    </w:p>
    <w:p w:rsidR="0058796D" w:rsidRPr="0058796D" w:rsidRDefault="0058796D" w:rsidP="003A2433">
      <w:pPr>
        <w:pStyle w:val="H1GR"/>
      </w:pPr>
      <w:r w:rsidRPr="0058796D">
        <w:tab/>
        <w:t>В.</w:t>
      </w:r>
      <w:r w:rsidRPr="0058796D">
        <w:tab/>
        <w:t>Дорожно-транспортные происшествия при перевозке опасных грузов</w:t>
      </w:r>
    </w:p>
    <w:p w:rsidR="0058796D" w:rsidRPr="0058796D" w:rsidRDefault="0058796D" w:rsidP="0058796D">
      <w:pPr>
        <w:pStyle w:val="SingleTxtGR"/>
      </w:pPr>
      <w:r w:rsidRPr="0058796D">
        <w:rPr>
          <w:i/>
          <w:iCs/>
        </w:rPr>
        <w:t>Неофициальные документы:</w:t>
      </w:r>
      <w:r w:rsidRPr="0058796D">
        <w:t xml:space="preserve"> </w:t>
      </w:r>
      <w:r w:rsidRPr="0058796D">
        <w:tab/>
        <w:t>INF.12/Rev.1 (Румыния), INF.22 (Франция)</w:t>
      </w:r>
    </w:p>
    <w:p w:rsidR="0058796D" w:rsidRPr="0058796D" w:rsidRDefault="0058796D" w:rsidP="0058796D">
      <w:pPr>
        <w:pStyle w:val="SingleTxtGR"/>
      </w:pPr>
      <w:r w:rsidRPr="0058796D">
        <w:t>80.</w:t>
      </w:r>
      <w:r w:rsidRPr="0058796D">
        <w:tab/>
        <w:t>Представитель Франции и представитель Румынии проинформировали Рабочую группу об обстоятельствах и последствиях произошедших в их стр</w:t>
      </w:r>
      <w:r w:rsidRPr="0058796D">
        <w:t>а</w:t>
      </w:r>
      <w:r w:rsidRPr="0058796D">
        <w:t>нах дорожно-транспортных происшествий при перевозке газовых баллонов.</w:t>
      </w:r>
    </w:p>
    <w:p w:rsidR="0058796D" w:rsidRPr="0058796D" w:rsidRDefault="0058796D" w:rsidP="0058796D">
      <w:pPr>
        <w:pStyle w:val="SingleTxtGR"/>
      </w:pPr>
      <w:r w:rsidRPr="0058796D">
        <w:t>81.</w:t>
      </w:r>
      <w:r w:rsidRPr="0058796D">
        <w:tab/>
        <w:t>В обоих случаях причиной ДТП являлась техническая проблема на транспортном средстве.</w:t>
      </w:r>
    </w:p>
    <w:p w:rsidR="0058796D" w:rsidRPr="0058796D" w:rsidRDefault="0058796D" w:rsidP="0058796D">
      <w:pPr>
        <w:pStyle w:val="SingleTxtGR"/>
      </w:pPr>
      <w:r w:rsidRPr="0058796D">
        <w:t>82.</w:t>
      </w:r>
      <w:r w:rsidRPr="0058796D">
        <w:tab/>
        <w:t xml:space="preserve">Рабочая группа отметила предложенные способы избежать повторения подобных происшествий и решила продолжить рассмотрение данного вопроса. Возможность предписать средства активной защиты для транспортных средств, перевозящих опасные грузы, с тем чтобы, например, избежать перегрева осей или тормозов или обеспечить контроль давления в шинах, может быть изучена совместно с </w:t>
      </w:r>
      <w:r w:rsidRPr="0058796D">
        <w:rPr>
          <w:lang w:val="en-US"/>
        </w:rPr>
        <w:t>WP</w:t>
      </w:r>
      <w:r w:rsidRPr="0058796D">
        <w:t xml:space="preserve">.29. Рабочая группа просила секретариат проинформировать об этом секретариат </w:t>
      </w:r>
      <w:r w:rsidRPr="0058796D">
        <w:rPr>
          <w:lang w:val="en-US"/>
        </w:rPr>
        <w:t>WP</w:t>
      </w:r>
      <w:r w:rsidRPr="0058796D">
        <w:t>.29.</w:t>
      </w:r>
    </w:p>
    <w:p w:rsidR="0058796D" w:rsidRPr="00C05A4D" w:rsidRDefault="0058796D" w:rsidP="0058796D">
      <w:pPr>
        <w:pStyle w:val="SingleTxtGR"/>
      </w:pPr>
      <w:r w:rsidRPr="0058796D">
        <w:t>83.</w:t>
      </w:r>
      <w:r w:rsidRPr="0058796D">
        <w:tab/>
        <w:t>Представитель Франции сообщила, что она представит на одной из п</w:t>
      </w:r>
      <w:r w:rsidRPr="0058796D">
        <w:t>о</w:t>
      </w:r>
      <w:r w:rsidRPr="0058796D">
        <w:t xml:space="preserve">следующих сессий соответствующее предложение, с </w:t>
      </w:r>
      <w:proofErr w:type="gramStart"/>
      <w:r w:rsidRPr="0058796D">
        <w:t>тем</w:t>
      </w:r>
      <w:proofErr w:type="gramEnd"/>
      <w:r w:rsidRPr="0058796D">
        <w:t xml:space="preserve"> чтобы предписать а</w:t>
      </w:r>
      <w:r w:rsidRPr="0058796D">
        <w:t>в</w:t>
      </w:r>
      <w:r w:rsidRPr="0058796D">
        <w:t xml:space="preserve">томатические системы пожаротушения для моторных отсеков транспортных средств, используемых для перевозки газов в баллонах, как это уже сделано в случае </w:t>
      </w:r>
      <w:proofErr w:type="spellStart"/>
      <w:r w:rsidRPr="0058796D">
        <w:t>MEMU</w:t>
      </w:r>
      <w:proofErr w:type="spellEnd"/>
      <w:r w:rsidRPr="0058796D">
        <w:t xml:space="preserve"> и автоцистерн </w:t>
      </w:r>
      <w:proofErr w:type="spellStart"/>
      <w:r w:rsidRPr="0058796D">
        <w:t>EX</w:t>
      </w:r>
      <w:proofErr w:type="spellEnd"/>
      <w:r w:rsidRPr="0058796D">
        <w:t>/</w:t>
      </w:r>
      <w:proofErr w:type="spellStart"/>
      <w:r w:rsidRPr="0058796D">
        <w:t>II</w:t>
      </w:r>
      <w:proofErr w:type="spellEnd"/>
      <w:r w:rsidR="00C05A4D">
        <w:rPr>
          <w:lang w:val="en-US"/>
        </w:rPr>
        <w:t>I</w:t>
      </w:r>
      <w:r w:rsidR="00C05A4D">
        <w:t>.</w:t>
      </w:r>
    </w:p>
    <w:p w:rsidR="0058796D" w:rsidRPr="0058796D" w:rsidRDefault="0058796D" w:rsidP="003A2433">
      <w:pPr>
        <w:pStyle w:val="H1GR"/>
      </w:pPr>
      <w:r w:rsidRPr="0058796D">
        <w:tab/>
        <w:t>С.</w:t>
      </w:r>
      <w:r w:rsidRPr="0058796D">
        <w:tab/>
        <w:t>Выражение признательности</w:t>
      </w:r>
    </w:p>
    <w:p w:rsidR="0058796D" w:rsidRPr="0058796D" w:rsidRDefault="0058796D" w:rsidP="003A2433">
      <w:pPr>
        <w:pStyle w:val="H23GR"/>
      </w:pPr>
      <w:r w:rsidRPr="0058796D">
        <w:tab/>
        <w:t>1.</w:t>
      </w:r>
      <w:r w:rsidRPr="0058796D">
        <w:tab/>
        <w:t xml:space="preserve">Выражение признательности Марианне </w:t>
      </w:r>
      <w:proofErr w:type="spellStart"/>
      <w:r w:rsidRPr="0058796D">
        <w:t>Чухаи</w:t>
      </w:r>
      <w:proofErr w:type="spellEnd"/>
    </w:p>
    <w:p w:rsidR="0058796D" w:rsidRPr="0058796D" w:rsidRDefault="0058796D" w:rsidP="0058796D">
      <w:pPr>
        <w:pStyle w:val="SingleTxtGR"/>
      </w:pPr>
      <w:r w:rsidRPr="0058796D">
        <w:t>84.</w:t>
      </w:r>
      <w:r w:rsidRPr="0058796D">
        <w:tab/>
        <w:t xml:space="preserve">Рабочая группа была проинформирована о том, что г-жа </w:t>
      </w:r>
      <w:proofErr w:type="spellStart"/>
      <w:r w:rsidRPr="0058796D">
        <w:t>Чухаи</w:t>
      </w:r>
      <w:proofErr w:type="spellEnd"/>
      <w:r w:rsidRPr="0058796D">
        <w:t xml:space="preserve"> (Венгрия) вышла в отставку 30 октября текущего года. Совместное совещание поблагод</w:t>
      </w:r>
      <w:r w:rsidRPr="0058796D">
        <w:t>а</w:t>
      </w:r>
      <w:r w:rsidRPr="0058796D">
        <w:t>рило ее за длительный вклад в обеспечение безопасности перевозки опасных грузов и пожелало ей долгой и счастливой жизни после выхода в отставку.</w:t>
      </w:r>
    </w:p>
    <w:p w:rsidR="0058796D" w:rsidRPr="0058796D" w:rsidRDefault="0058796D" w:rsidP="003A2433">
      <w:pPr>
        <w:pStyle w:val="H23GR"/>
      </w:pPr>
      <w:r w:rsidRPr="0058796D">
        <w:tab/>
        <w:t>2.</w:t>
      </w:r>
      <w:r w:rsidRPr="0058796D">
        <w:tab/>
        <w:t xml:space="preserve">Выражение признательности Жаку </w:t>
      </w:r>
      <w:proofErr w:type="spellStart"/>
      <w:r w:rsidRPr="0058796D">
        <w:t>Марми</w:t>
      </w:r>
      <w:proofErr w:type="spellEnd"/>
    </w:p>
    <w:p w:rsidR="0058796D" w:rsidRPr="0058796D" w:rsidRDefault="0058796D" w:rsidP="0058796D">
      <w:pPr>
        <w:pStyle w:val="SingleTxtGR"/>
      </w:pPr>
      <w:r w:rsidRPr="0058796D">
        <w:t>85.</w:t>
      </w:r>
      <w:r w:rsidRPr="0058796D">
        <w:tab/>
        <w:t xml:space="preserve">Рабочая группа была проинформирована о том, что г-н Жак </w:t>
      </w:r>
      <w:proofErr w:type="spellStart"/>
      <w:r w:rsidRPr="0058796D">
        <w:t>Марми</w:t>
      </w:r>
      <w:proofErr w:type="spellEnd"/>
      <w:r w:rsidRPr="0058796D">
        <w:t xml:space="preserve"> </w:t>
      </w:r>
      <w:proofErr w:type="gramStart"/>
      <w:r w:rsidRPr="0058796D">
        <w:t>пок</w:t>
      </w:r>
      <w:r w:rsidRPr="0058796D">
        <w:t>и</w:t>
      </w:r>
      <w:r w:rsidRPr="0058796D">
        <w:t xml:space="preserve">нул </w:t>
      </w:r>
      <w:proofErr w:type="spellStart"/>
      <w:r w:rsidRPr="0058796D">
        <w:t>МСАТ</w:t>
      </w:r>
      <w:proofErr w:type="spellEnd"/>
      <w:r w:rsidRPr="0058796D">
        <w:t xml:space="preserve"> и в силу этого более не будет представлять</w:t>
      </w:r>
      <w:proofErr w:type="gramEnd"/>
      <w:r w:rsidRPr="0058796D">
        <w:t xml:space="preserve"> указанную организацию на ее сессиях. Рабочая группа искренне поблагодарила его за внесенный им вклад в ее </w:t>
      </w:r>
      <w:proofErr w:type="gramStart"/>
      <w:r w:rsidRPr="0058796D">
        <w:t>работу</w:t>
      </w:r>
      <w:proofErr w:type="gramEnd"/>
      <w:r w:rsidRPr="0058796D">
        <w:t xml:space="preserve"> и пожелало ему всяческих успехов в новой работе.</w:t>
      </w:r>
    </w:p>
    <w:p w:rsidR="0058796D" w:rsidRPr="0058796D" w:rsidRDefault="0058796D" w:rsidP="003A2433">
      <w:pPr>
        <w:pStyle w:val="H23GR"/>
      </w:pPr>
      <w:r w:rsidRPr="0058796D">
        <w:tab/>
        <w:t>3.</w:t>
      </w:r>
      <w:r w:rsidRPr="0058796D">
        <w:tab/>
        <w:t xml:space="preserve">Выражение признательности Оливье </w:t>
      </w:r>
      <w:proofErr w:type="spellStart"/>
      <w:r w:rsidRPr="0058796D">
        <w:t>Кервелле</w:t>
      </w:r>
      <w:proofErr w:type="spellEnd"/>
    </w:p>
    <w:p w:rsidR="0058796D" w:rsidRPr="0058796D" w:rsidRDefault="0058796D" w:rsidP="0058796D">
      <w:pPr>
        <w:pStyle w:val="SingleTxtGR"/>
      </w:pPr>
      <w:r w:rsidRPr="0058796D">
        <w:t>86.</w:t>
      </w:r>
      <w:r w:rsidRPr="0058796D">
        <w:tab/>
        <w:t xml:space="preserve">Рабочая группа была проинформирована о том, что начальник Секции опасных и специальных грузов Отдела устойчивого транспорта г-н Оливье </w:t>
      </w:r>
      <w:proofErr w:type="spellStart"/>
      <w:r w:rsidRPr="0058796D">
        <w:t>Ке</w:t>
      </w:r>
      <w:r w:rsidRPr="0058796D">
        <w:t>р</w:t>
      </w:r>
      <w:r w:rsidRPr="0058796D">
        <w:t>велла</w:t>
      </w:r>
      <w:proofErr w:type="spellEnd"/>
      <w:r w:rsidRPr="0058796D">
        <w:t xml:space="preserve"> достигнет возраста обязательного выхода на пенсию в 62 года в текущем месяце. Г-н </w:t>
      </w:r>
      <w:proofErr w:type="spellStart"/>
      <w:r w:rsidRPr="0058796D">
        <w:t>Кервелла</w:t>
      </w:r>
      <w:proofErr w:type="spellEnd"/>
      <w:r w:rsidRPr="0058796D">
        <w:t xml:space="preserve"> посвятил всю свою карьеру работе над вопросами, св</w:t>
      </w:r>
      <w:r w:rsidRPr="0058796D">
        <w:t>я</w:t>
      </w:r>
      <w:r w:rsidRPr="0058796D">
        <w:t>занными с перевозкой грузов, в частности опасных грузов, в системе Организ</w:t>
      </w:r>
      <w:r w:rsidRPr="0058796D">
        <w:t>а</w:t>
      </w:r>
      <w:r w:rsidR="000E7E83">
        <w:t>ции Объединенных Наций.</w:t>
      </w:r>
      <w:r w:rsidRPr="0058796D">
        <w:t xml:space="preserve"> Он начал работать в упомянутой секции в октябре 1982 года и после перехода в Международную морскую организацию вернулся в ту же секцию в 1992 году. Он желал бы продолжать работать в течение еще трех лет с учетом резолюции 70/244 Генеральной Ассамблеи, но в этом ему б</w:t>
      </w:r>
      <w:r w:rsidRPr="0058796D">
        <w:t>ы</w:t>
      </w:r>
      <w:r w:rsidRPr="0058796D">
        <w:t>ло отказано, поскольку внутренние правила применения данной резолюции вступают в силу лишь 1 января 2018 года. Председатель выразил глубокое с</w:t>
      </w:r>
      <w:r w:rsidRPr="0058796D">
        <w:t>о</w:t>
      </w:r>
      <w:r w:rsidRPr="0058796D">
        <w:t>жаление по поводу этой ситуация и надежду на то, что данное решение не явл</w:t>
      </w:r>
      <w:r w:rsidRPr="0058796D">
        <w:t>я</w:t>
      </w:r>
      <w:r w:rsidRPr="0058796D">
        <w:t xml:space="preserve">ется окончательным. Рабочая группа выразила искреннюю признательность </w:t>
      </w:r>
      <w:r w:rsidR="003A2433" w:rsidRPr="003A2433">
        <w:br/>
      </w:r>
      <w:r w:rsidRPr="0058796D">
        <w:t xml:space="preserve">г-ну </w:t>
      </w:r>
      <w:proofErr w:type="spellStart"/>
      <w:r w:rsidRPr="0058796D">
        <w:t>Кервелле</w:t>
      </w:r>
      <w:proofErr w:type="spellEnd"/>
      <w:r w:rsidRPr="0058796D">
        <w:t xml:space="preserve"> за всю работу, проделанную им в течение 35 лет, в частности </w:t>
      </w:r>
      <w:r w:rsidRPr="0058796D">
        <w:lastRenderedPageBreak/>
        <w:t>успешное изменение структуры ДОПОГ и согласование правил между разли</w:t>
      </w:r>
      <w:r w:rsidRPr="0058796D">
        <w:t>ч</w:t>
      </w:r>
      <w:r w:rsidRPr="0058796D">
        <w:t>ными видами транспорта. Она пожелала ему всяческих успехов в его будущей деятельности.</w:t>
      </w:r>
    </w:p>
    <w:p w:rsidR="0058796D" w:rsidRPr="0058796D" w:rsidRDefault="0058796D" w:rsidP="003A2433">
      <w:pPr>
        <w:pStyle w:val="H23GR"/>
      </w:pPr>
      <w:r w:rsidRPr="0058796D">
        <w:tab/>
        <w:t>4.</w:t>
      </w:r>
      <w:r w:rsidRPr="0058796D">
        <w:tab/>
        <w:t>Соболезнования</w:t>
      </w:r>
    </w:p>
    <w:p w:rsidR="0058796D" w:rsidRPr="0058796D" w:rsidRDefault="0058796D" w:rsidP="0058796D">
      <w:pPr>
        <w:pStyle w:val="SingleTxtGR"/>
      </w:pPr>
      <w:r w:rsidRPr="0058796D">
        <w:t>87.</w:t>
      </w:r>
      <w:r w:rsidRPr="0058796D">
        <w:tab/>
        <w:t xml:space="preserve">Рабочая группа с глубоким прискорбием узнала о кончине г-на Жана-Даниэля </w:t>
      </w:r>
      <w:proofErr w:type="spellStart"/>
      <w:r w:rsidRPr="0058796D">
        <w:t>Денерво</w:t>
      </w:r>
      <w:proofErr w:type="spellEnd"/>
      <w:r w:rsidRPr="0058796D">
        <w:t>, который, являясь секретарем Межправительственной орган</w:t>
      </w:r>
      <w:r w:rsidRPr="0058796D">
        <w:t>и</w:t>
      </w:r>
      <w:r w:rsidRPr="0058796D">
        <w:t>зации по международным железнодорожным перевозкам (</w:t>
      </w:r>
      <w:proofErr w:type="spellStart"/>
      <w:r w:rsidRPr="0058796D">
        <w:t>ОТИФ</w:t>
      </w:r>
      <w:proofErr w:type="spellEnd"/>
      <w:r w:rsidRPr="0058796D">
        <w:t>), активно участвовал в течение нескольких десятилетий в плодотворной работе Совмес</w:t>
      </w:r>
      <w:r w:rsidRPr="0058796D">
        <w:t>т</w:t>
      </w:r>
      <w:r w:rsidRPr="0058796D">
        <w:t xml:space="preserve">ного совещания </w:t>
      </w:r>
      <w:proofErr w:type="spellStart"/>
      <w:r w:rsidRPr="0058796D">
        <w:t>МПОГ</w:t>
      </w:r>
      <w:proofErr w:type="spellEnd"/>
      <w:r w:rsidRPr="0058796D">
        <w:t>/</w:t>
      </w:r>
      <w:proofErr w:type="spellStart"/>
      <w:r w:rsidRPr="0058796D">
        <w:t>ДОПОГ</w:t>
      </w:r>
      <w:proofErr w:type="spellEnd"/>
      <w:r w:rsidRPr="0058796D">
        <w:t>/</w:t>
      </w:r>
      <w:proofErr w:type="spellStart"/>
      <w:r w:rsidRPr="0058796D">
        <w:t>ВОПОГ</w:t>
      </w:r>
      <w:proofErr w:type="spellEnd"/>
      <w:r w:rsidRPr="0058796D">
        <w:t xml:space="preserve"> и Рабочей группы. Председатель пр</w:t>
      </w:r>
      <w:r w:rsidRPr="0058796D">
        <w:t>о</w:t>
      </w:r>
      <w:r w:rsidRPr="0058796D">
        <w:t xml:space="preserve">сил представителя </w:t>
      </w:r>
      <w:proofErr w:type="spellStart"/>
      <w:r w:rsidRPr="0058796D">
        <w:t>ОТИФ</w:t>
      </w:r>
      <w:proofErr w:type="spellEnd"/>
      <w:r w:rsidRPr="0058796D">
        <w:t xml:space="preserve"> передать семье г-на </w:t>
      </w:r>
      <w:proofErr w:type="spellStart"/>
      <w:r w:rsidRPr="0058796D">
        <w:t>Денерво</w:t>
      </w:r>
      <w:proofErr w:type="spellEnd"/>
      <w:r w:rsidRPr="0058796D">
        <w:t xml:space="preserve"> искренние соболезнов</w:t>
      </w:r>
      <w:r w:rsidRPr="0058796D">
        <w:t>а</w:t>
      </w:r>
      <w:r w:rsidRPr="0058796D">
        <w:t>ния Рабочей группы.</w:t>
      </w:r>
    </w:p>
    <w:p w:rsidR="0058796D" w:rsidRPr="0058796D" w:rsidRDefault="0058796D" w:rsidP="003A2433">
      <w:pPr>
        <w:pStyle w:val="HChGR"/>
      </w:pPr>
      <w:r w:rsidRPr="0058796D">
        <w:tab/>
      </w:r>
      <w:proofErr w:type="spellStart"/>
      <w:r w:rsidRPr="0058796D">
        <w:t>XI</w:t>
      </w:r>
      <w:proofErr w:type="spellEnd"/>
      <w:r w:rsidRPr="0058796D">
        <w:t>.</w:t>
      </w:r>
      <w:r w:rsidRPr="0058796D">
        <w:tab/>
        <w:t xml:space="preserve">Выборы должностных лиц на 2018 год </w:t>
      </w:r>
      <w:r w:rsidR="003A2433" w:rsidRPr="003A2433">
        <w:br/>
      </w:r>
      <w:r w:rsidRPr="0058796D">
        <w:t>(пункт 10 повестки дня)</w:t>
      </w:r>
    </w:p>
    <w:p w:rsidR="0058796D" w:rsidRPr="0058796D" w:rsidRDefault="0058796D" w:rsidP="000E7E83">
      <w:pPr>
        <w:pStyle w:val="SingleTxtGR"/>
      </w:pPr>
      <w:r w:rsidRPr="0058796D">
        <w:t>88.</w:t>
      </w:r>
      <w:r w:rsidRPr="0058796D">
        <w:tab/>
        <w:t xml:space="preserve">По предложению представителя Германии, которого поддержали </w:t>
      </w:r>
      <w:r w:rsidRPr="0058796D">
        <w:br/>
        <w:t>представители Ирландии, Италии, Люксембурга, Нидерландов, Польши, Рум</w:t>
      </w:r>
      <w:r w:rsidRPr="0058796D">
        <w:t>ы</w:t>
      </w:r>
      <w:r w:rsidRPr="0058796D">
        <w:t>нии, Соединенного Королевства, Турции и Швеции, Рабочая группа вновь и</w:t>
      </w:r>
      <w:r w:rsidRPr="0058796D">
        <w:t>з</w:t>
      </w:r>
      <w:r w:rsidRPr="0058796D">
        <w:t>брала г-на Ж.</w:t>
      </w:r>
      <w:r w:rsidR="004B3B46">
        <w:t> </w:t>
      </w:r>
      <w:r w:rsidRPr="0058796D">
        <w:t xml:space="preserve">A. Франку (Португалия) и г-жу А. </w:t>
      </w:r>
      <w:proofErr w:type="spellStart"/>
      <w:r w:rsidRPr="0058796D">
        <w:t>Румье</w:t>
      </w:r>
      <w:proofErr w:type="spellEnd"/>
      <w:r w:rsidRPr="0058796D">
        <w:t xml:space="preserve"> (Франция) соотве</w:t>
      </w:r>
      <w:r w:rsidRPr="0058796D">
        <w:t>т</w:t>
      </w:r>
      <w:r w:rsidRPr="0058796D">
        <w:t>ственно Председателем и заместителем Председателя на 2018 год.</w:t>
      </w:r>
    </w:p>
    <w:p w:rsidR="0058796D" w:rsidRPr="0058796D" w:rsidRDefault="0058796D" w:rsidP="003A2433">
      <w:pPr>
        <w:pStyle w:val="HChGR"/>
      </w:pPr>
      <w:r w:rsidRPr="0058796D">
        <w:tab/>
      </w:r>
      <w:proofErr w:type="spellStart"/>
      <w:r w:rsidRPr="0058796D">
        <w:t>XII</w:t>
      </w:r>
      <w:proofErr w:type="spellEnd"/>
      <w:r w:rsidRPr="0058796D">
        <w:t>.</w:t>
      </w:r>
      <w:r w:rsidRPr="0058796D">
        <w:tab/>
        <w:t>Утверждение доклада (пункт 11 повестки дня)</w:t>
      </w:r>
    </w:p>
    <w:p w:rsidR="0058796D" w:rsidRPr="0058796D" w:rsidRDefault="0058796D" w:rsidP="0058796D">
      <w:pPr>
        <w:pStyle w:val="SingleTxtGR"/>
      </w:pPr>
      <w:r w:rsidRPr="0058796D">
        <w:t>89.</w:t>
      </w:r>
      <w:r w:rsidRPr="0058796D">
        <w:tab/>
        <w:t>Рабочая группа утвердила доклад о работе своей 103-й сессии и прил</w:t>
      </w:r>
      <w:r w:rsidRPr="0058796D">
        <w:t>о</w:t>
      </w:r>
      <w:r w:rsidRPr="0058796D">
        <w:t>жения к нему на основе проекта, подготовленного секретариатом.</w:t>
      </w:r>
    </w:p>
    <w:p w:rsidR="0058796D" w:rsidRPr="0058796D" w:rsidRDefault="0058796D" w:rsidP="003A2433">
      <w:pPr>
        <w:pStyle w:val="HChGR"/>
      </w:pPr>
      <w:r w:rsidRPr="0058796D">
        <w:br w:type="page"/>
      </w:r>
      <w:r w:rsidRPr="0058796D">
        <w:lastRenderedPageBreak/>
        <w:t xml:space="preserve">Приложение </w:t>
      </w:r>
      <w:r w:rsidRPr="0058796D">
        <w:rPr>
          <w:lang w:val="en-US"/>
        </w:rPr>
        <w:t>I</w:t>
      </w:r>
    </w:p>
    <w:p w:rsidR="0058796D" w:rsidRPr="0058796D" w:rsidRDefault="0058796D" w:rsidP="000F5DB1">
      <w:pPr>
        <w:pStyle w:val="HChGR"/>
      </w:pPr>
      <w:r w:rsidRPr="0058796D">
        <w:tab/>
      </w:r>
      <w:r w:rsidRPr="0058796D">
        <w:tab/>
        <w:t>Проекты поправок к приложениям</w:t>
      </w:r>
      <w:proofErr w:type="gramStart"/>
      <w:r w:rsidRPr="0058796D">
        <w:t xml:space="preserve"> А</w:t>
      </w:r>
      <w:proofErr w:type="gramEnd"/>
      <w:r w:rsidRPr="0058796D">
        <w:t xml:space="preserve"> и В к ДОПОГ для вступления в силу 1 января 201</w:t>
      </w:r>
      <w:r w:rsidR="00845F6F">
        <w:t>9</w:t>
      </w:r>
      <w:r w:rsidRPr="0058796D">
        <w:t xml:space="preserve"> года</w:t>
      </w:r>
    </w:p>
    <w:p w:rsidR="0058796D" w:rsidRPr="0058796D" w:rsidRDefault="0058796D" w:rsidP="003A2433">
      <w:pPr>
        <w:pStyle w:val="H1GR"/>
      </w:pPr>
      <w:r w:rsidRPr="0058796D">
        <w:tab/>
      </w:r>
      <w:r w:rsidRPr="0058796D">
        <w:tab/>
        <w:t>Глава 1.6</w:t>
      </w:r>
    </w:p>
    <w:p w:rsidR="0058796D" w:rsidRPr="0058796D" w:rsidRDefault="0058796D" w:rsidP="0058796D">
      <w:pPr>
        <w:pStyle w:val="SingleTxtGR"/>
      </w:pPr>
      <w:r w:rsidRPr="0058796D">
        <w:t>Исключить переходные меры 1.6.1.21 и 1.6.1.35 и включить «</w:t>
      </w:r>
      <w:r w:rsidRPr="0058796D">
        <w:rPr>
          <w:i/>
          <w:iCs/>
        </w:rPr>
        <w:t>(Исключено)</w:t>
      </w:r>
      <w:r w:rsidRPr="0058796D">
        <w:rPr>
          <w:iCs/>
        </w:rPr>
        <w:t>»</w:t>
      </w:r>
      <w:r w:rsidRPr="0058796D">
        <w:t>.</w:t>
      </w:r>
    </w:p>
    <w:p w:rsidR="0058796D" w:rsidRPr="0058796D" w:rsidRDefault="0058796D" w:rsidP="0058796D">
      <w:pPr>
        <w:pStyle w:val="SingleTxtGR"/>
        <w:rPr>
          <w:i/>
          <w:iCs/>
        </w:rPr>
      </w:pPr>
      <w:r w:rsidRPr="0058796D">
        <w:rPr>
          <w:i/>
          <w:iCs/>
        </w:rPr>
        <w:t>(Справочный документ: неофициальный документ INF.15)</w:t>
      </w:r>
    </w:p>
    <w:p w:rsidR="0058796D" w:rsidRPr="0058796D" w:rsidRDefault="0058796D" w:rsidP="0058796D">
      <w:pPr>
        <w:pStyle w:val="SingleTxtGR"/>
        <w:rPr>
          <w:iCs/>
        </w:rPr>
      </w:pPr>
      <w:r w:rsidRPr="0058796D">
        <w:t>1.6.5.4</w:t>
      </w:r>
      <w:proofErr w:type="gramStart"/>
      <w:r w:rsidRPr="0058796D">
        <w:tab/>
        <w:t>В</w:t>
      </w:r>
      <w:proofErr w:type="gramEnd"/>
      <w:r w:rsidRPr="0058796D">
        <w:t xml:space="preserve"> первом предложении после «</w:t>
      </w:r>
      <w:proofErr w:type="spellStart"/>
      <w:r w:rsidRPr="0058796D">
        <w:t>FL</w:t>
      </w:r>
      <w:proofErr w:type="spellEnd"/>
      <w:r w:rsidRPr="0058796D">
        <w:t xml:space="preserve">» исключить «, </w:t>
      </w:r>
      <w:proofErr w:type="spellStart"/>
      <w:r w:rsidRPr="0058796D">
        <w:t>OX</w:t>
      </w:r>
      <w:proofErr w:type="spellEnd"/>
      <w:r w:rsidRPr="0058796D">
        <w:t>». Заменить «31 декабря 2016 года» на «31 декабря 2018 года». Заменить «31 марта 2018 г</w:t>
      </w:r>
      <w:r w:rsidRPr="0058796D">
        <w:t>о</w:t>
      </w:r>
      <w:r w:rsidRPr="0058796D">
        <w:t>да» на «31 марта 2020 года».</w:t>
      </w:r>
    </w:p>
    <w:p w:rsidR="0058796D" w:rsidRPr="0058796D" w:rsidRDefault="0058796D" w:rsidP="003A2433">
      <w:pPr>
        <w:pStyle w:val="H1GR"/>
      </w:pPr>
      <w:r w:rsidRPr="0058796D">
        <w:tab/>
      </w:r>
      <w:r w:rsidRPr="0058796D">
        <w:tab/>
        <w:t>Глава 3.2, таблица A</w:t>
      </w:r>
    </w:p>
    <w:p w:rsidR="0058796D" w:rsidRPr="0058796D" w:rsidRDefault="0058796D" w:rsidP="0058796D">
      <w:pPr>
        <w:pStyle w:val="SingleTxtGR"/>
      </w:pPr>
      <w:r w:rsidRPr="0058796D">
        <w:t>Сопутствующая поправка:</w:t>
      </w:r>
    </w:p>
    <w:p w:rsidR="004F3702" w:rsidRDefault="0058796D" w:rsidP="0058796D">
      <w:pPr>
        <w:pStyle w:val="SingleTxtGR"/>
      </w:pPr>
      <w:r w:rsidRPr="0058796D">
        <w:t>Для № ООН 1043, 3166 и 3171: в колонку 15 добавить</w:t>
      </w:r>
      <w:r w:rsidR="004F3702">
        <w:t>:</w:t>
      </w:r>
    </w:p>
    <w:p w:rsidR="004F3702" w:rsidRDefault="004F3702" w:rsidP="0058796D">
      <w:pPr>
        <w:pStyle w:val="SingleTxtGR"/>
      </w:pPr>
      <w:r>
        <w:t>«</w:t>
      </w:r>
      <w:r w:rsidR="0058796D" w:rsidRPr="0058796D">
        <w:t>-</w:t>
      </w:r>
    </w:p>
    <w:p w:rsidR="0058796D" w:rsidRPr="0058796D" w:rsidRDefault="004F3702" w:rsidP="004F3702">
      <w:pPr>
        <w:pStyle w:val="SingleTxtGR"/>
      </w:pPr>
      <w:r w:rsidRPr="0058796D">
        <w:t>(-)»</w:t>
      </w:r>
      <w:r w:rsidR="0058796D" w:rsidRPr="0058796D">
        <w:t>.</w:t>
      </w:r>
    </w:p>
    <w:p w:rsidR="0058796D" w:rsidRPr="0058796D" w:rsidRDefault="0058796D" w:rsidP="0052074E">
      <w:pPr>
        <w:pStyle w:val="H1GR"/>
      </w:pPr>
      <w:r w:rsidRPr="0058796D">
        <w:tab/>
      </w:r>
      <w:r w:rsidRPr="0058796D">
        <w:tab/>
        <w:t>Глава 4.3</w:t>
      </w:r>
    </w:p>
    <w:p w:rsidR="0058796D" w:rsidRPr="0058796D" w:rsidRDefault="0058796D" w:rsidP="0058796D">
      <w:pPr>
        <w:pStyle w:val="SingleTxtGR"/>
      </w:pPr>
      <w:r w:rsidRPr="0058796D">
        <w:t>4.3.3.5</w:t>
      </w:r>
      <w:r w:rsidRPr="0058796D">
        <w:tab/>
        <w:t>Второй абзац, начинающийся со слов «Контейнеры-ц</w:t>
      </w:r>
      <w:r w:rsidRPr="0058796D">
        <w:rPr>
          <w:lang w:bidi="ru-RU"/>
        </w:rPr>
        <w:t>истерны не должны предъявляться к перевозке</w:t>
      </w:r>
      <w:proofErr w:type="gramStart"/>
      <w:r w:rsidRPr="0058796D">
        <w:rPr>
          <w:lang w:bidi="ru-RU"/>
        </w:rPr>
        <w:t>:»</w:t>
      </w:r>
      <w:proofErr w:type="gramEnd"/>
      <w:r w:rsidRPr="0058796D">
        <w:rPr>
          <w:lang w:bidi="ru-RU"/>
        </w:rPr>
        <w:t>,</w:t>
      </w:r>
      <w:r w:rsidRPr="0058796D">
        <w:t xml:space="preserve"> пронумеровать как 4.3.3.6.</w:t>
      </w:r>
    </w:p>
    <w:p w:rsidR="0058796D" w:rsidRPr="0058796D" w:rsidRDefault="0058796D" w:rsidP="0058796D">
      <w:pPr>
        <w:pStyle w:val="SingleTxtGR"/>
        <w:rPr>
          <w:i/>
        </w:rPr>
      </w:pPr>
      <w:r w:rsidRPr="0058796D">
        <w:rPr>
          <w:i/>
          <w:iCs/>
        </w:rPr>
        <w:t>(Справочный документ: неофициальный документ INF.10 с поправками)</w:t>
      </w:r>
    </w:p>
    <w:p w:rsidR="0058796D" w:rsidRPr="0058796D" w:rsidRDefault="0058796D" w:rsidP="003A2433">
      <w:pPr>
        <w:pStyle w:val="H1GR"/>
      </w:pPr>
      <w:r w:rsidRPr="0058796D">
        <w:tab/>
      </w:r>
      <w:r w:rsidRPr="0058796D">
        <w:tab/>
        <w:t>Глава 7.5</w:t>
      </w:r>
    </w:p>
    <w:p w:rsidR="0058796D" w:rsidRPr="0058796D" w:rsidRDefault="0058796D" w:rsidP="0058796D">
      <w:pPr>
        <w:pStyle w:val="SingleTxtGR"/>
      </w:pPr>
      <w:r w:rsidRPr="0058796D">
        <w:t>7.5.7.6.1</w:t>
      </w:r>
      <w:proofErr w:type="gramStart"/>
      <w:r w:rsidRPr="0058796D">
        <w:tab/>
        <w:t>В</w:t>
      </w:r>
      <w:proofErr w:type="gramEnd"/>
      <w:r w:rsidRPr="0058796D">
        <w:t xml:space="preserve"> примечании после «упомянутым в пункте 7.5.7.1,» исключить «и</w:t>
      </w:r>
      <w:r w:rsidRPr="0058796D">
        <w:rPr>
          <w:lang w:val="en-US"/>
        </w:rPr>
        <w:t> </w:t>
      </w:r>
      <w:r w:rsidR="00E9510E">
        <w:t xml:space="preserve">Кодексу практики </w:t>
      </w:r>
      <w:proofErr w:type="spellStart"/>
      <w:r w:rsidR="00E9510E">
        <w:t>ИМО</w:t>
      </w:r>
      <w:proofErr w:type="spellEnd"/>
      <w:r w:rsidR="00E9510E">
        <w:t>/МОТ/</w:t>
      </w:r>
      <w:proofErr w:type="spellStart"/>
      <w:r w:rsidR="00E9510E">
        <w:t>ЕЭК</w:t>
      </w:r>
      <w:proofErr w:type="spellEnd"/>
      <w:r w:rsidR="00E9510E">
        <w:rPr>
          <w:lang w:val="en-US"/>
        </w:rPr>
        <w:t> </w:t>
      </w:r>
      <w:r w:rsidRPr="0058796D">
        <w:t xml:space="preserve">ООН по укладке грузов в грузовые транспортные единицы (Кодекс </w:t>
      </w:r>
      <w:proofErr w:type="spellStart"/>
      <w:r w:rsidRPr="0058796D">
        <w:t>ГТЕ</w:t>
      </w:r>
      <w:proofErr w:type="spellEnd"/>
      <w:r w:rsidRPr="0058796D">
        <w:t>)».</w:t>
      </w:r>
    </w:p>
    <w:p w:rsidR="0058796D" w:rsidRPr="0058796D" w:rsidRDefault="00CD1E45" w:rsidP="0058796D">
      <w:pPr>
        <w:pStyle w:val="SingleTxtGR"/>
      </w:pPr>
      <w:r>
        <w:t>7.5.11, CV36</w:t>
      </w:r>
      <w:r>
        <w:tab/>
      </w:r>
      <w:r w:rsidR="0058796D" w:rsidRPr="0058796D">
        <w:t xml:space="preserve">Первый абзац читать следующим образом: </w:t>
      </w:r>
    </w:p>
    <w:p w:rsidR="0058796D" w:rsidRPr="0058796D" w:rsidRDefault="0058796D" w:rsidP="0058796D">
      <w:pPr>
        <w:pStyle w:val="SingleTxtGR"/>
      </w:pPr>
      <w:r w:rsidRPr="0058796D">
        <w:t>«Упаковки должны загружаться предпочтительно в открытые или вентилиру</w:t>
      </w:r>
      <w:r w:rsidRPr="0058796D">
        <w:t>е</w:t>
      </w:r>
      <w:r w:rsidRPr="0058796D">
        <w:t xml:space="preserve">мые транспортные средства или в открытые или вентилируемые контейнеры. Если такой возможности </w:t>
      </w:r>
      <w:proofErr w:type="gramStart"/>
      <w:r w:rsidRPr="0058796D">
        <w:t>нет и упаковки перевозятся</w:t>
      </w:r>
      <w:proofErr w:type="gramEnd"/>
      <w:r w:rsidRPr="0058796D">
        <w:t xml:space="preserve"> в других закрытых тран</w:t>
      </w:r>
      <w:r w:rsidRPr="0058796D">
        <w:t>с</w:t>
      </w:r>
      <w:r w:rsidRPr="0058796D">
        <w:t>портных средствах или контейнерах, то на загрузочные двери этих транспор</w:t>
      </w:r>
      <w:r w:rsidRPr="0058796D">
        <w:t>т</w:t>
      </w:r>
      <w:r w:rsidRPr="0058796D">
        <w:t>ных средств или контейнеров наносится следующая надпись, состоящая из букв высотой не менее</w:t>
      </w:r>
      <w:r w:rsidRPr="0058796D">
        <w:rPr>
          <w:lang w:val="en-US"/>
        </w:rPr>
        <w:t> </w:t>
      </w:r>
      <w:r w:rsidRPr="0058796D">
        <w:t xml:space="preserve">25 мм: </w:t>
      </w:r>
      <w:r w:rsidRPr="0058796D">
        <w:rPr>
          <w:i/>
          <w:iCs/>
        </w:rPr>
        <w:t>(далее без изменений)</w:t>
      </w:r>
      <w:r w:rsidRPr="0058796D">
        <w:t>...».</w:t>
      </w:r>
    </w:p>
    <w:p w:rsidR="0058796D" w:rsidRPr="0058796D" w:rsidRDefault="0058796D" w:rsidP="0058796D">
      <w:pPr>
        <w:pStyle w:val="SingleTxtGR"/>
        <w:rPr>
          <w:i/>
          <w:iCs/>
        </w:rPr>
      </w:pPr>
      <w:proofErr w:type="gramStart"/>
      <w:r w:rsidRPr="0058796D">
        <w:rPr>
          <w:i/>
          <w:iCs/>
        </w:rPr>
        <w:t>(Справочный документ:</w:t>
      </w:r>
      <w:proofErr w:type="gramEnd"/>
      <w:r w:rsidRPr="0058796D">
        <w:rPr>
          <w:i/>
          <w:iCs/>
        </w:rPr>
        <w:t xml:space="preserve"> </w:t>
      </w:r>
      <w:proofErr w:type="gramStart"/>
      <w:r w:rsidRPr="0058796D">
        <w:rPr>
          <w:i/>
          <w:iCs/>
        </w:rPr>
        <w:t>ECE/TRANS/WP.15/2017/13 с поправками)</w:t>
      </w:r>
      <w:proofErr w:type="gramEnd"/>
    </w:p>
    <w:p w:rsidR="0058796D" w:rsidRPr="0058796D" w:rsidRDefault="0058796D" w:rsidP="003A2433">
      <w:pPr>
        <w:pStyle w:val="H1GR"/>
      </w:pPr>
      <w:r w:rsidRPr="0058796D">
        <w:tab/>
      </w:r>
      <w:r w:rsidRPr="0058796D">
        <w:tab/>
        <w:t>Глава 9.2</w:t>
      </w:r>
    </w:p>
    <w:p w:rsidR="0058796D" w:rsidRPr="0058796D" w:rsidRDefault="0058796D" w:rsidP="0058796D">
      <w:pPr>
        <w:pStyle w:val="SingleTxtGR"/>
      </w:pPr>
      <w:r w:rsidRPr="00CD1E45">
        <w:rPr>
          <w:spacing w:val="2"/>
          <w:w w:val="101"/>
        </w:rPr>
        <w:t>9.2.2.2.1</w:t>
      </w:r>
      <w:proofErr w:type="gramStart"/>
      <w:r w:rsidRPr="00CD1E45">
        <w:rPr>
          <w:spacing w:val="2"/>
          <w:w w:val="101"/>
        </w:rPr>
        <w:tab/>
        <w:t>В</w:t>
      </w:r>
      <w:proofErr w:type="gramEnd"/>
      <w:r w:rsidRPr="00CD1E45">
        <w:rPr>
          <w:spacing w:val="2"/>
          <w:w w:val="101"/>
        </w:rPr>
        <w:t xml:space="preserve">о втором абзаце исключить «согласно стандартам </w:t>
      </w:r>
      <w:proofErr w:type="spellStart"/>
      <w:r w:rsidRPr="00CD1E45">
        <w:rPr>
          <w:spacing w:val="2"/>
          <w:w w:val="101"/>
        </w:rPr>
        <w:t>ISO</w:t>
      </w:r>
      <w:proofErr w:type="spellEnd"/>
      <w:r w:rsidRPr="00CD1E45">
        <w:rPr>
          <w:spacing w:val="2"/>
          <w:w w:val="101"/>
        </w:rPr>
        <w:t xml:space="preserve"> 16750-4:2010 </w:t>
      </w:r>
      <w:r w:rsidRPr="0058796D">
        <w:t xml:space="preserve">и </w:t>
      </w:r>
      <w:proofErr w:type="spellStart"/>
      <w:r w:rsidRPr="0058796D">
        <w:t>ISO</w:t>
      </w:r>
      <w:proofErr w:type="spellEnd"/>
      <w:r w:rsidRPr="0058796D">
        <w:t xml:space="preserve"> 16750-5:2010,».</w:t>
      </w:r>
    </w:p>
    <w:p w:rsidR="0058796D" w:rsidRDefault="0058796D" w:rsidP="0058796D">
      <w:pPr>
        <w:pStyle w:val="SingleTxtGR"/>
        <w:rPr>
          <w:i/>
        </w:rPr>
      </w:pPr>
      <w:proofErr w:type="gramStart"/>
      <w:r w:rsidRPr="0058796D">
        <w:rPr>
          <w:i/>
          <w:iCs/>
        </w:rPr>
        <w:t>(Справочный документ:</w:t>
      </w:r>
      <w:proofErr w:type="gramEnd"/>
      <w:r w:rsidRPr="0058796D">
        <w:rPr>
          <w:i/>
          <w:iCs/>
        </w:rPr>
        <w:t xml:space="preserve"> </w:t>
      </w:r>
      <w:proofErr w:type="gramStart"/>
      <w:r w:rsidRPr="0058796D">
        <w:rPr>
          <w:i/>
          <w:iCs/>
        </w:rPr>
        <w:t>ECE/TRANS/WP.15/2017/19 с поправками)</w:t>
      </w:r>
      <w:proofErr w:type="gramEnd"/>
    </w:p>
    <w:p w:rsidR="0058796D" w:rsidRPr="0058796D" w:rsidRDefault="0058796D" w:rsidP="003A2433">
      <w:pPr>
        <w:pStyle w:val="H1GR"/>
      </w:pPr>
      <w:r w:rsidRPr="0058796D">
        <w:lastRenderedPageBreak/>
        <w:tab/>
      </w:r>
      <w:r w:rsidRPr="0058796D">
        <w:tab/>
        <w:t xml:space="preserve">Поправки в соответствии с документами </w:t>
      </w:r>
      <w:proofErr w:type="spellStart"/>
      <w:r w:rsidRPr="0058796D">
        <w:t>ECE</w:t>
      </w:r>
      <w:proofErr w:type="spellEnd"/>
      <w:r w:rsidRPr="0058796D">
        <w:t>/</w:t>
      </w:r>
      <w:proofErr w:type="spellStart"/>
      <w:r w:rsidRPr="0058796D">
        <w:t>TRANS</w:t>
      </w:r>
      <w:proofErr w:type="spellEnd"/>
      <w:r w:rsidRPr="0058796D">
        <w:t xml:space="preserve">/WP.15/235, </w:t>
      </w:r>
      <w:proofErr w:type="spellStart"/>
      <w:r w:rsidRPr="0058796D">
        <w:t>ECE</w:t>
      </w:r>
      <w:proofErr w:type="spellEnd"/>
      <w:r w:rsidRPr="0058796D">
        <w:t>/</w:t>
      </w:r>
      <w:proofErr w:type="spellStart"/>
      <w:r w:rsidRPr="0058796D">
        <w:t>TRANS</w:t>
      </w:r>
      <w:proofErr w:type="spellEnd"/>
      <w:r w:rsidRPr="0058796D">
        <w:t xml:space="preserve">/WP.15/237, </w:t>
      </w:r>
      <w:proofErr w:type="spellStart"/>
      <w:r w:rsidRPr="0058796D">
        <w:t>ECE</w:t>
      </w:r>
      <w:proofErr w:type="spellEnd"/>
      <w:r w:rsidRPr="0058796D">
        <w:t>/</w:t>
      </w:r>
      <w:proofErr w:type="spellStart"/>
      <w:r w:rsidRPr="0058796D">
        <w:t>TRANS</w:t>
      </w:r>
      <w:proofErr w:type="spellEnd"/>
      <w:r w:rsidRPr="0058796D">
        <w:t xml:space="preserve">/WP.15/AC.1/146, приложение </w:t>
      </w:r>
      <w:proofErr w:type="spellStart"/>
      <w:r w:rsidRPr="0058796D">
        <w:t>II</w:t>
      </w:r>
      <w:proofErr w:type="spellEnd"/>
      <w:r w:rsidRPr="0058796D">
        <w:t>, и</w:t>
      </w:r>
      <w:r w:rsidRPr="0058796D">
        <w:rPr>
          <w:lang w:val="en-US"/>
        </w:rPr>
        <w:t> </w:t>
      </w:r>
      <w:r w:rsidRPr="0058796D">
        <w:t>ECE/TRANS/WP.15/AC.1/148/Add.1, сведенные в</w:t>
      </w:r>
      <w:r w:rsidRPr="0058796D">
        <w:rPr>
          <w:lang w:val="en-US"/>
        </w:rPr>
        <w:t> </w:t>
      </w:r>
      <w:r w:rsidRPr="0058796D">
        <w:t>неофициальный документ INF.3, приняты со следующими изменениями:</w:t>
      </w:r>
    </w:p>
    <w:p w:rsidR="0058796D" w:rsidRPr="0058796D" w:rsidRDefault="0058796D" w:rsidP="0058796D">
      <w:pPr>
        <w:pStyle w:val="SingleTxtGR"/>
      </w:pPr>
      <w:r w:rsidRPr="0058796D">
        <w:t>Снять квадратные скобки, за исключением квадратных скобок в пун</w:t>
      </w:r>
      <w:r w:rsidRPr="0058796D">
        <w:t>к</w:t>
      </w:r>
      <w:r w:rsidRPr="0058796D">
        <w:t>тах</w:t>
      </w:r>
      <w:r w:rsidRPr="0058796D">
        <w:rPr>
          <w:lang w:val="en-US"/>
        </w:rPr>
        <w:t> </w:t>
      </w:r>
      <w:r w:rsidRPr="0058796D">
        <w:t>5.3.2.1.6 и 6.8.2.1.18.</w:t>
      </w:r>
    </w:p>
    <w:p w:rsidR="0058796D" w:rsidRPr="0058796D" w:rsidRDefault="0058796D" w:rsidP="00F84410">
      <w:pPr>
        <w:pStyle w:val="H1GR"/>
      </w:pPr>
      <w:r w:rsidRPr="0058796D">
        <w:tab/>
      </w:r>
      <w:r w:rsidRPr="0058796D">
        <w:tab/>
        <w:t>Глава 1.6</w:t>
      </w:r>
    </w:p>
    <w:p w:rsidR="0058796D" w:rsidRPr="0058796D" w:rsidRDefault="0058796D" w:rsidP="0058796D">
      <w:pPr>
        <w:pStyle w:val="SingleTxtGR"/>
      </w:pPr>
      <w:r w:rsidRPr="0058796D">
        <w:t>1.6.1.46</w:t>
      </w:r>
      <w:r w:rsidRPr="0058796D">
        <w:tab/>
        <w:t>Данное изменение не касается теста на русском языке.</w:t>
      </w:r>
    </w:p>
    <w:p w:rsidR="0058796D" w:rsidRPr="0058796D" w:rsidRDefault="0058796D" w:rsidP="0058796D">
      <w:pPr>
        <w:pStyle w:val="SingleTxtGR"/>
      </w:pPr>
      <w:r w:rsidRPr="0058796D">
        <w:t>1.6.5</w:t>
      </w:r>
      <w:proofErr w:type="gramStart"/>
      <w:r w:rsidRPr="0058796D">
        <w:tab/>
      </w:r>
      <w:r w:rsidRPr="0058796D">
        <w:tab/>
        <w:t>З</w:t>
      </w:r>
      <w:proofErr w:type="gramEnd"/>
      <w:r w:rsidRPr="0058796D">
        <w:t>аменить «Существующие сноски 1–3 пронумеровать как 2–5» на «Существующие сноски 1–3 пронумеровать как 2–4».</w:t>
      </w:r>
    </w:p>
    <w:p w:rsidR="0058796D" w:rsidRPr="0058796D" w:rsidRDefault="0058796D" w:rsidP="00F84410">
      <w:pPr>
        <w:pStyle w:val="H1GR"/>
      </w:pPr>
      <w:r w:rsidRPr="0058796D">
        <w:tab/>
      </w:r>
      <w:r w:rsidRPr="0058796D">
        <w:tab/>
        <w:t>Глава 1.10</w:t>
      </w:r>
    </w:p>
    <w:p w:rsidR="0058796D" w:rsidRPr="0058796D" w:rsidRDefault="0058796D" w:rsidP="000E155F">
      <w:pPr>
        <w:pStyle w:val="SingleTxtGR"/>
        <w:tabs>
          <w:tab w:val="left" w:pos="3119"/>
        </w:tabs>
      </w:pPr>
      <w:r w:rsidRPr="0058796D">
        <w:t>1.10.3, примечание</w:t>
      </w:r>
      <w:r w:rsidRPr="0058796D">
        <w:tab/>
        <w:t>Данное изменение не касается теста на русском языке.</w:t>
      </w:r>
    </w:p>
    <w:p w:rsidR="0058796D" w:rsidRPr="0058796D" w:rsidRDefault="0058796D" w:rsidP="00F84410">
      <w:pPr>
        <w:pStyle w:val="H1GR"/>
      </w:pPr>
      <w:r w:rsidRPr="0058796D">
        <w:tab/>
      </w:r>
      <w:r w:rsidRPr="0058796D">
        <w:tab/>
        <w:t>Глава 2.1</w:t>
      </w:r>
    </w:p>
    <w:p w:rsidR="0058796D" w:rsidRPr="0058796D" w:rsidRDefault="0058796D" w:rsidP="0058796D">
      <w:pPr>
        <w:pStyle w:val="SingleTxtGR"/>
      </w:pPr>
      <w:r w:rsidRPr="0058796D">
        <w:t>2.1.3.5.5</w:t>
      </w:r>
      <w:r w:rsidRPr="0058796D">
        <w:tab/>
        <w:t>Данную поправку читать следующим образом:</w:t>
      </w:r>
    </w:p>
    <w:p w:rsidR="0058796D" w:rsidRPr="0058796D" w:rsidRDefault="0058796D" w:rsidP="0058796D">
      <w:pPr>
        <w:pStyle w:val="SingleTxtGR"/>
      </w:pPr>
      <w:proofErr w:type="gramStart"/>
      <w:r w:rsidRPr="0058796D">
        <w:rPr>
          <w:lang w:val="en-US"/>
        </w:rPr>
        <w:t>«2.1.3.5.5</w:t>
      </w:r>
      <w:r w:rsidRPr="0058796D">
        <w:rPr>
          <w:lang w:val="en-US"/>
        </w:rPr>
        <w:tab/>
      </w:r>
      <w:r w:rsidRPr="0058796D">
        <w:t>В</w:t>
      </w:r>
      <w:r w:rsidRPr="0058796D">
        <w:rPr>
          <w:lang w:val="en-US"/>
        </w:rPr>
        <w:t xml:space="preserve"> </w:t>
      </w:r>
      <w:r w:rsidRPr="0058796D">
        <w:t>сноске</w:t>
      </w:r>
      <w:r w:rsidRPr="0058796D">
        <w:rPr>
          <w:lang w:val="en-US"/>
        </w:rPr>
        <w:t xml:space="preserve"> 2 </w:t>
      </w:r>
      <w:r w:rsidRPr="0058796D">
        <w:t>после</w:t>
      </w:r>
      <w:r w:rsidRPr="0058796D">
        <w:rPr>
          <w:lang w:val="en-US"/>
        </w:rPr>
        <w:t xml:space="preserve"> "(Official Journal of the European Communities</w:t>
      </w:r>
      <w:r w:rsidRPr="0058796D">
        <w:rPr>
          <w:lang w:val="en-US"/>
        </w:rPr>
        <w:br/>
        <w:t>No.</w:t>
      </w:r>
      <w:proofErr w:type="gramEnd"/>
      <w:r w:rsidRPr="0058796D">
        <w:rPr>
          <w:lang w:val="en-US"/>
        </w:rPr>
        <w:t xml:space="preserve"> </w:t>
      </w:r>
      <w:proofErr w:type="gramStart"/>
      <w:r w:rsidRPr="0058796D">
        <w:rPr>
          <w:lang w:val="en-US"/>
        </w:rPr>
        <w:t xml:space="preserve">L 226 </w:t>
      </w:r>
      <w:r w:rsidRPr="0058796D">
        <w:rPr>
          <w:lang w:val="en-GB"/>
        </w:rPr>
        <w:t>of 6 September 2000, page</w:t>
      </w:r>
      <w:r w:rsidRPr="0058796D">
        <w:rPr>
          <w:lang w:val="en-US"/>
        </w:rPr>
        <w:t xml:space="preserve"> </w:t>
      </w:r>
      <w:r w:rsidRPr="0058796D">
        <w:rPr>
          <w:lang w:val="en-GB"/>
        </w:rPr>
        <w:t>3)</w:t>
      </w:r>
      <w:r w:rsidRPr="0058796D">
        <w:rPr>
          <w:lang w:val="en-US"/>
        </w:rPr>
        <w:t xml:space="preserve">" </w:t>
      </w:r>
      <w:r w:rsidRPr="0058796D">
        <w:t>и</w:t>
      </w:r>
      <w:r w:rsidRPr="0058796D">
        <w:rPr>
          <w:lang w:val="en-US"/>
        </w:rPr>
        <w:t xml:space="preserve"> </w:t>
      </w:r>
      <w:r w:rsidRPr="0058796D">
        <w:t>после</w:t>
      </w:r>
      <w:r w:rsidRPr="0058796D">
        <w:rPr>
          <w:lang w:val="en-US"/>
        </w:rPr>
        <w:t xml:space="preserve"> "(Official Journal of the European Union No.</w:t>
      </w:r>
      <w:proofErr w:type="gramEnd"/>
      <w:r w:rsidRPr="0058796D">
        <w:rPr>
          <w:lang w:val="en-US"/>
        </w:rPr>
        <w:t xml:space="preserve"> L</w:t>
      </w:r>
      <w:r w:rsidRPr="0058796D">
        <w:t xml:space="preserve"> 312 </w:t>
      </w:r>
      <w:r w:rsidRPr="0058796D">
        <w:rPr>
          <w:lang w:val="en-US"/>
        </w:rPr>
        <w:t>of</w:t>
      </w:r>
      <w:r w:rsidRPr="0058796D">
        <w:t xml:space="preserve"> 22 </w:t>
      </w:r>
      <w:r w:rsidRPr="0058796D">
        <w:rPr>
          <w:lang w:val="en-US"/>
        </w:rPr>
        <w:t>November</w:t>
      </w:r>
      <w:r w:rsidRPr="0058796D">
        <w:t xml:space="preserve"> 2008, </w:t>
      </w:r>
      <w:r w:rsidRPr="0058796D">
        <w:rPr>
          <w:lang w:val="en-US"/>
        </w:rPr>
        <w:t>pages</w:t>
      </w:r>
      <w:r w:rsidRPr="0058796D">
        <w:t xml:space="preserve"> 3–30)" добавить "с поправками"</w:t>
      </w:r>
      <w:proofErr w:type="gramStart"/>
      <w:r w:rsidRPr="0058796D">
        <w:t>.»</w:t>
      </w:r>
      <w:proofErr w:type="gramEnd"/>
      <w:r w:rsidRPr="0058796D">
        <w:t>.</w:t>
      </w:r>
    </w:p>
    <w:p w:rsidR="0058796D" w:rsidRPr="0058796D" w:rsidRDefault="0058796D" w:rsidP="0058796D">
      <w:pPr>
        <w:pStyle w:val="SingleTxtGR"/>
        <w:rPr>
          <w:i/>
        </w:rPr>
      </w:pPr>
      <w:r w:rsidRPr="0058796D">
        <w:rPr>
          <w:i/>
          <w:iCs/>
        </w:rPr>
        <w:t>(Справочный документ: неофициальный документ INF.14)</w:t>
      </w:r>
    </w:p>
    <w:p w:rsidR="0058796D" w:rsidRPr="0058796D" w:rsidRDefault="0058796D" w:rsidP="0058796D">
      <w:pPr>
        <w:pStyle w:val="SingleTxtGR"/>
      </w:pPr>
      <w:r w:rsidRPr="0058796D">
        <w:t>2.1.5</w:t>
      </w:r>
      <w:proofErr w:type="gramStart"/>
      <w:r w:rsidRPr="0058796D">
        <w:tab/>
      </w:r>
      <w:r w:rsidRPr="0058796D">
        <w:tab/>
        <w:t>В</w:t>
      </w:r>
      <w:proofErr w:type="gramEnd"/>
      <w:r w:rsidRPr="0058796D">
        <w:t xml:space="preserve"> примечании 1 после «В отношении изделий, не имеющих» и</w:t>
      </w:r>
      <w:r w:rsidRPr="0058796D">
        <w:t>с</w:t>
      </w:r>
      <w:r w:rsidRPr="0058796D">
        <w:t>ключить «существующего». После «надлежащего отгрузочного наименования» добавить «, за исключением № ООН 3537–3548,». Исключить примечание 2.</w:t>
      </w:r>
    </w:p>
    <w:p w:rsidR="0058796D" w:rsidRPr="0058796D" w:rsidRDefault="0058796D" w:rsidP="0058796D">
      <w:pPr>
        <w:pStyle w:val="SingleTxtGR"/>
        <w:rPr>
          <w:i/>
        </w:rPr>
      </w:pPr>
      <w:r w:rsidRPr="0058796D">
        <w:rPr>
          <w:i/>
          <w:iCs/>
        </w:rPr>
        <w:t>(Справочный документ: неофициальный документ INF.25)</w:t>
      </w:r>
    </w:p>
    <w:p w:rsidR="0058796D" w:rsidRPr="0058796D" w:rsidRDefault="0058796D" w:rsidP="00F84410">
      <w:pPr>
        <w:pStyle w:val="H1GR"/>
      </w:pPr>
      <w:r w:rsidRPr="0058796D">
        <w:tab/>
      </w:r>
      <w:r w:rsidRPr="0058796D">
        <w:tab/>
        <w:t>Глава 3.2, таблица A</w:t>
      </w:r>
    </w:p>
    <w:p w:rsidR="0058796D" w:rsidRPr="0058796D" w:rsidRDefault="0058796D" w:rsidP="0058796D">
      <w:pPr>
        <w:pStyle w:val="SingleTxtGR"/>
      </w:pPr>
      <w:r w:rsidRPr="0058796D">
        <w:t>Третью поправку читать следующим образом:</w:t>
      </w:r>
    </w:p>
    <w:p w:rsidR="0058796D" w:rsidRPr="0058796D" w:rsidRDefault="0058796D" w:rsidP="0058796D">
      <w:pPr>
        <w:pStyle w:val="SingleTxtGR"/>
      </w:pPr>
      <w:r w:rsidRPr="0058796D">
        <w:t>«Для № ООН 1002, 1006, 1013, 1046, 1056, 1058, 1065, 1066, 1080, 1952, 1956, 2036, 3070, 3163, 3297, 3298 и 3299: включить "660" в колонку 6.».</w:t>
      </w:r>
    </w:p>
    <w:p w:rsidR="0058796D" w:rsidRPr="0058796D" w:rsidRDefault="0058796D" w:rsidP="0058796D">
      <w:pPr>
        <w:pStyle w:val="SingleTxtGR"/>
        <w:rPr>
          <w:i/>
        </w:rPr>
      </w:pPr>
      <w:r w:rsidRPr="0058796D">
        <w:rPr>
          <w:i/>
          <w:iCs/>
        </w:rPr>
        <w:t>(Справочный документ: неофициальный документ INF.20)</w:t>
      </w:r>
    </w:p>
    <w:p w:rsidR="0058796D" w:rsidRPr="0058796D" w:rsidRDefault="0058796D" w:rsidP="0058796D">
      <w:pPr>
        <w:pStyle w:val="SingleTxtGR"/>
      </w:pPr>
      <w:r w:rsidRPr="0058796D">
        <w:t>В новых позициях для № ООН 3536 заменить «9A» на «9» в колонке 5.</w:t>
      </w:r>
    </w:p>
    <w:p w:rsidR="0058796D" w:rsidRPr="0058796D" w:rsidRDefault="0058796D" w:rsidP="00F84410">
      <w:pPr>
        <w:pStyle w:val="H1GR"/>
      </w:pPr>
      <w:r w:rsidRPr="0058796D">
        <w:tab/>
      </w:r>
      <w:r w:rsidRPr="0058796D">
        <w:tab/>
        <w:t>Глава 3.3</w:t>
      </w:r>
    </w:p>
    <w:p w:rsidR="0058796D" w:rsidRPr="0058796D" w:rsidRDefault="0058796D" w:rsidP="0058796D">
      <w:pPr>
        <w:pStyle w:val="SingleTxtGR"/>
      </w:pPr>
      <w:r w:rsidRPr="0058796D">
        <w:t>Специальное положение 392</w:t>
      </w:r>
      <w:r w:rsidRPr="0058796D">
        <w:tab/>
        <w:t>Данное изменение не касается теста на русском языке.</w:t>
      </w:r>
    </w:p>
    <w:p w:rsidR="0058796D" w:rsidRPr="0058796D" w:rsidRDefault="0058796D" w:rsidP="00F84410">
      <w:pPr>
        <w:pStyle w:val="H1GR"/>
      </w:pPr>
      <w:r w:rsidRPr="0058796D">
        <w:tab/>
      </w:r>
      <w:r w:rsidRPr="0058796D">
        <w:tab/>
        <w:t>Глава 7.1</w:t>
      </w:r>
    </w:p>
    <w:p w:rsidR="0058796D" w:rsidRPr="0058796D" w:rsidRDefault="0058796D" w:rsidP="0052074E">
      <w:pPr>
        <w:pStyle w:val="SingleTxtGR"/>
        <w:tabs>
          <w:tab w:val="left" w:pos="2552"/>
        </w:tabs>
      </w:pPr>
      <w:r w:rsidRPr="0058796D">
        <w:t>7.1.7.4.5 b) i)</w:t>
      </w:r>
      <w:r w:rsidRPr="0058796D">
        <w:tab/>
        <w:t>Исключить «возможной» после «достаточный резерв на сл</w:t>
      </w:r>
      <w:r w:rsidRPr="0058796D">
        <w:t>у</w:t>
      </w:r>
      <w:r w:rsidRPr="0058796D">
        <w:t>чай».</w:t>
      </w:r>
    </w:p>
    <w:p w:rsidR="0058796D" w:rsidRPr="0058796D" w:rsidRDefault="0058796D" w:rsidP="0058796D">
      <w:pPr>
        <w:pStyle w:val="SingleTxtGR"/>
      </w:pPr>
      <w:r w:rsidRPr="0058796D">
        <w:t>7.1.7.4.5 e)</w:t>
      </w:r>
      <w:r w:rsidRPr="0058796D">
        <w:tab/>
        <w:t>Данное изменение не касается теста на русском языке.</w:t>
      </w:r>
    </w:p>
    <w:p w:rsidR="0058796D" w:rsidRPr="0058796D" w:rsidRDefault="0058796D" w:rsidP="00F84410">
      <w:pPr>
        <w:pStyle w:val="H1GR"/>
      </w:pPr>
      <w:r w:rsidRPr="0058796D">
        <w:lastRenderedPageBreak/>
        <w:tab/>
      </w:r>
      <w:r w:rsidRPr="0058796D">
        <w:tab/>
        <w:t>Глава 7.5</w:t>
      </w:r>
    </w:p>
    <w:p w:rsidR="0058796D" w:rsidRPr="0058796D" w:rsidRDefault="0058796D" w:rsidP="0058796D">
      <w:pPr>
        <w:pStyle w:val="SingleTxtGR"/>
      </w:pPr>
      <w:r w:rsidRPr="0058796D">
        <w:t>7.5.7.1</w:t>
      </w:r>
      <w:proofErr w:type="gramStart"/>
      <w:r w:rsidRPr="0058796D">
        <w:tab/>
        <w:t>В</w:t>
      </w:r>
      <w:proofErr w:type="gramEnd"/>
      <w:r w:rsidRPr="0058796D">
        <w:t xml:space="preserve"> сноске 1 после «Руководящие указания в отношении укладки опасных грузов содержатся в» исключить «главах 9 и 10» и добавить «(см.,</w:t>
      </w:r>
      <w:r w:rsidRPr="0058796D">
        <w:rPr>
          <w:lang w:val="en-US"/>
        </w:rPr>
        <w:t> </w:t>
      </w:r>
      <w:r w:rsidRPr="0058796D">
        <w:t xml:space="preserve">например, главу 9 "Укладка грузов в </w:t>
      </w:r>
      <w:proofErr w:type="spellStart"/>
      <w:r w:rsidRPr="0058796D">
        <w:t>ГТЕ</w:t>
      </w:r>
      <w:proofErr w:type="spellEnd"/>
      <w:r w:rsidRPr="0058796D">
        <w:t>" и главу 10 "Дополнительные рекомендации по укладке опасных грузов")».</w:t>
      </w:r>
    </w:p>
    <w:p w:rsidR="0058796D" w:rsidRPr="0058796D" w:rsidRDefault="0058796D" w:rsidP="0058796D">
      <w:pPr>
        <w:pStyle w:val="SingleTxtGR"/>
        <w:rPr>
          <w:i/>
          <w:iCs/>
        </w:rPr>
      </w:pPr>
      <w:proofErr w:type="gramStart"/>
      <w:r w:rsidRPr="0058796D">
        <w:rPr>
          <w:i/>
          <w:iCs/>
        </w:rPr>
        <w:t>(Справочный документ:</w:t>
      </w:r>
      <w:proofErr w:type="gramEnd"/>
      <w:r w:rsidRPr="0058796D">
        <w:rPr>
          <w:i/>
          <w:iCs/>
        </w:rPr>
        <w:t xml:space="preserve"> </w:t>
      </w:r>
      <w:proofErr w:type="gramStart"/>
      <w:r w:rsidRPr="0058796D">
        <w:rPr>
          <w:i/>
          <w:iCs/>
        </w:rPr>
        <w:t>ECE/TRANS/WP.15/2017/21 с поправками)</w:t>
      </w:r>
      <w:proofErr w:type="gramEnd"/>
    </w:p>
    <w:p w:rsidR="0058796D" w:rsidRPr="0058796D" w:rsidRDefault="0058796D" w:rsidP="004F20A7">
      <w:pPr>
        <w:pStyle w:val="HChGR"/>
      </w:pPr>
      <w:r w:rsidRPr="0058796D">
        <w:rPr>
          <w:i/>
          <w:iCs/>
        </w:rPr>
        <w:br w:type="page"/>
      </w:r>
      <w:r w:rsidRPr="0058796D">
        <w:lastRenderedPageBreak/>
        <w:t xml:space="preserve">Приложение </w:t>
      </w:r>
      <w:proofErr w:type="spellStart"/>
      <w:r w:rsidRPr="0058796D">
        <w:t>II</w:t>
      </w:r>
      <w:proofErr w:type="spellEnd"/>
    </w:p>
    <w:p w:rsidR="0058796D" w:rsidRPr="0058796D" w:rsidRDefault="0058796D" w:rsidP="00DE4669">
      <w:pPr>
        <w:pStyle w:val="HChGR"/>
      </w:pPr>
      <w:r w:rsidRPr="0058796D">
        <w:tab/>
      </w:r>
      <w:r w:rsidRPr="0058796D">
        <w:tab/>
        <w:t xml:space="preserve">Оценка результативности программы </w:t>
      </w:r>
      <w:r w:rsidRPr="0058796D">
        <w:br/>
        <w:t>за 2016–2017 годы</w:t>
      </w:r>
    </w:p>
    <w:p w:rsidR="0058796D" w:rsidRPr="0058796D" w:rsidRDefault="0058796D" w:rsidP="0058796D">
      <w:pPr>
        <w:pStyle w:val="SingleTxtGR"/>
      </w:pPr>
      <w:proofErr w:type="gramStart"/>
      <w:r w:rsidRPr="0058796D">
        <w:rPr>
          <w:i/>
          <w:iCs/>
        </w:rPr>
        <w:t>(Справочный документ:</w:t>
      </w:r>
      <w:proofErr w:type="gramEnd"/>
      <w:r w:rsidRPr="0058796D">
        <w:rPr>
          <w:i/>
          <w:iCs/>
        </w:rPr>
        <w:t xml:space="preserve"> </w:t>
      </w:r>
      <w:r w:rsidRPr="0058796D">
        <w:rPr>
          <w:i/>
          <w:lang w:val="fr-FR"/>
        </w:rPr>
        <w:t>ECE</w:t>
      </w:r>
      <w:r w:rsidRPr="0058796D">
        <w:rPr>
          <w:i/>
        </w:rPr>
        <w:t>/</w:t>
      </w:r>
      <w:r w:rsidRPr="0058796D">
        <w:rPr>
          <w:i/>
          <w:lang w:val="fr-FR"/>
        </w:rPr>
        <w:t>TRANS</w:t>
      </w:r>
      <w:r w:rsidRPr="0058796D">
        <w:rPr>
          <w:i/>
        </w:rPr>
        <w:t>/</w:t>
      </w:r>
      <w:r w:rsidRPr="0058796D">
        <w:rPr>
          <w:i/>
          <w:lang w:val="fr-FR"/>
        </w:rPr>
        <w:t>WP</w:t>
      </w:r>
      <w:r w:rsidRPr="0058796D">
        <w:rPr>
          <w:i/>
        </w:rPr>
        <w:t>.15/2017/22)</w:t>
      </w:r>
    </w:p>
    <w:p w:rsidR="0058796D" w:rsidRPr="0058796D" w:rsidRDefault="0058796D" w:rsidP="00681D6C">
      <w:pPr>
        <w:pStyle w:val="H1GR"/>
      </w:pPr>
      <w:r w:rsidRPr="0058796D">
        <w:tab/>
        <w:t>I.</w:t>
      </w:r>
      <w:r w:rsidRPr="0058796D">
        <w:tab/>
        <w:t>Направление деятельности 9.a</w:t>
      </w:r>
      <w:r w:rsidRPr="0058796D">
        <w:br/>
        <w:t>Перевозка опасных грузов (ЕЭК ООН)</w:t>
      </w:r>
    </w:p>
    <w:p w:rsidR="0058796D" w:rsidRPr="0058796D" w:rsidRDefault="0058796D" w:rsidP="00681D6C">
      <w:pPr>
        <w:pStyle w:val="H23GR"/>
      </w:pPr>
      <w:r w:rsidRPr="0058796D">
        <w:tab/>
        <w:t>A.</w:t>
      </w:r>
      <w:r w:rsidRPr="0058796D">
        <w:tab/>
        <w:t>Ожидаемое достижение (ОД 9.а)</w:t>
      </w:r>
    </w:p>
    <w:p w:rsidR="0058796D" w:rsidRPr="0058796D" w:rsidRDefault="0058796D" w:rsidP="0058796D">
      <w:pPr>
        <w:pStyle w:val="SingleTxtGR"/>
        <w:rPr>
          <w:b/>
        </w:rPr>
      </w:pPr>
      <w:r w:rsidRPr="0058796D">
        <w:t>1.</w:t>
      </w:r>
      <w:r w:rsidRPr="0058796D">
        <w:tab/>
      </w:r>
      <w:proofErr w:type="gramStart"/>
      <w:r w:rsidRPr="0058796D">
        <w:t>Принятие поправок к ДОПОГ</w:t>
      </w:r>
      <w:r w:rsidRPr="0058796D">
        <w:rPr>
          <w:rStyle w:val="aa"/>
        </w:rPr>
        <w:footnoteReference w:id="1"/>
      </w:r>
      <w:r w:rsidRPr="0058796D">
        <w:t xml:space="preserve"> и − на основе деятельности, проводимой совместно с Межправительственной организацией по международным желе</w:t>
      </w:r>
      <w:r w:rsidRPr="0058796D">
        <w:t>з</w:t>
      </w:r>
      <w:r w:rsidRPr="0058796D">
        <w:t>нодорожным перевозкам (</w:t>
      </w:r>
      <w:proofErr w:type="spellStart"/>
      <w:r w:rsidRPr="0058796D">
        <w:t>ОТИФ</w:t>
      </w:r>
      <w:proofErr w:type="spellEnd"/>
      <w:r w:rsidRPr="0058796D">
        <w:t>) и Центральной комиссией судоходства по Рейну (</w:t>
      </w:r>
      <w:proofErr w:type="spellStart"/>
      <w:r w:rsidRPr="0058796D">
        <w:t>ЦКСР</w:t>
      </w:r>
      <w:proofErr w:type="spellEnd"/>
      <w:r w:rsidRPr="0058796D">
        <w:t xml:space="preserve">), − поправок к </w:t>
      </w:r>
      <w:proofErr w:type="spellStart"/>
      <w:r w:rsidRPr="0058796D">
        <w:t>МПОГ</w:t>
      </w:r>
      <w:proofErr w:type="spellEnd"/>
      <w:r w:rsidRPr="0058796D">
        <w:rPr>
          <w:rStyle w:val="aa"/>
        </w:rPr>
        <w:footnoteReference w:id="2"/>
      </w:r>
      <w:r w:rsidRPr="0058796D">
        <w:t xml:space="preserve"> и </w:t>
      </w:r>
      <w:proofErr w:type="spellStart"/>
      <w:r w:rsidRPr="0058796D">
        <w:t>ВОПОГ</w:t>
      </w:r>
      <w:proofErr w:type="spellEnd"/>
      <w:r w:rsidRPr="0058796D">
        <w:rPr>
          <w:rStyle w:val="aa"/>
        </w:rPr>
        <w:footnoteReference w:id="3"/>
      </w:r>
      <w:r w:rsidRPr="0058796D">
        <w:t>, направленных на поддержание необходимого уровня безопасности, защиты и охраны окружающей среды в рамках единообразной, согласованной и последовательной системы правил п</w:t>
      </w:r>
      <w:r w:rsidRPr="0058796D">
        <w:t>е</w:t>
      </w:r>
      <w:r w:rsidRPr="0058796D">
        <w:t>ревозки опасных грузов, основанной на Рекомендациях Организации Объед</w:t>
      </w:r>
      <w:r w:rsidRPr="0058796D">
        <w:t>и</w:t>
      </w:r>
      <w:r w:rsidRPr="0058796D">
        <w:t>ненных Наций по перевозке</w:t>
      </w:r>
      <w:proofErr w:type="gramEnd"/>
      <w:r w:rsidRPr="0058796D">
        <w:t xml:space="preserve"> опасных грузов, и их эффективное применение в рамках международного и национального законодательства.</w:t>
      </w:r>
    </w:p>
    <w:p w:rsidR="0058796D" w:rsidRPr="0058796D" w:rsidRDefault="0058796D" w:rsidP="00681D6C">
      <w:pPr>
        <w:pStyle w:val="H23GR"/>
      </w:pPr>
      <w:r w:rsidRPr="0058796D">
        <w:tab/>
        <w:t>B.</w:t>
      </w:r>
      <w:r w:rsidRPr="0058796D">
        <w:tab/>
        <w:t>Показатели достижения</w:t>
      </w:r>
    </w:p>
    <w:p w:rsidR="0058796D" w:rsidRPr="0058796D" w:rsidRDefault="0058796D" w:rsidP="00DE4669">
      <w:pPr>
        <w:pStyle w:val="H4GR"/>
      </w:pPr>
      <w:r w:rsidRPr="0058796D">
        <w:tab/>
        <w:t>1.</w:t>
      </w:r>
      <w:r w:rsidRPr="0058796D">
        <w:tab/>
      </w:r>
      <w:proofErr w:type="gramStart"/>
      <w:r w:rsidRPr="0058796D">
        <w:t xml:space="preserve">Принятие в 2015 и 2016 годах поправок к </w:t>
      </w:r>
      <w:proofErr w:type="spellStart"/>
      <w:r w:rsidRPr="0058796D">
        <w:t>ДОПОГ</w:t>
      </w:r>
      <w:proofErr w:type="spellEnd"/>
      <w:r w:rsidRPr="0058796D">
        <w:t xml:space="preserve">, </w:t>
      </w:r>
      <w:proofErr w:type="spellStart"/>
      <w:r w:rsidRPr="0058796D">
        <w:t>МПОГ</w:t>
      </w:r>
      <w:proofErr w:type="spellEnd"/>
      <w:r w:rsidRPr="0058796D">
        <w:t xml:space="preserve"> и </w:t>
      </w:r>
      <w:proofErr w:type="spellStart"/>
      <w:r w:rsidRPr="0058796D">
        <w:t>ВОПОГ</w:t>
      </w:r>
      <w:proofErr w:type="spellEnd"/>
      <w:r w:rsidRPr="0058796D">
        <w:t xml:space="preserve">, которые отражают, в частности, Рекомендации Организации Объединенных Наций </w:t>
      </w:r>
      <w:r w:rsidRPr="0058796D">
        <w:br/>
        <w:t xml:space="preserve">по перевозке опасных грузов − Типовые правила 2015 года (девятнадцатое пересмотренное издание), их вступление в силу с 1 января 2017 года </w:t>
      </w:r>
      <w:r w:rsidRPr="0058796D">
        <w:br/>
        <w:t>для международных перевозок и введение в действие для внутренних перевозок во всех странах − членах Европейского союза и в Европейском экономическом</w:t>
      </w:r>
      <w:proofErr w:type="gramEnd"/>
      <w:r w:rsidRPr="0058796D">
        <w:t xml:space="preserve"> </w:t>
      </w:r>
      <w:proofErr w:type="gramStart"/>
      <w:r w:rsidRPr="0058796D">
        <w:t>пространстве</w:t>
      </w:r>
      <w:proofErr w:type="gramEnd"/>
      <w:r w:rsidRPr="0058796D">
        <w:t xml:space="preserve"> с 1 июля 2017 года (</w:t>
      </w:r>
      <w:proofErr w:type="spellStart"/>
      <w:r w:rsidRPr="0058796D">
        <w:t>ПД</w:t>
      </w:r>
      <w:proofErr w:type="spellEnd"/>
      <w:r w:rsidRPr="0058796D">
        <w:t xml:space="preserve"> 9.a а))</w:t>
      </w:r>
    </w:p>
    <w:p w:rsidR="0058796D" w:rsidRPr="0058796D" w:rsidRDefault="0058796D" w:rsidP="00DE4669">
      <w:pPr>
        <w:pStyle w:val="H4GR"/>
      </w:pPr>
      <w:r w:rsidRPr="0058796D">
        <w:tab/>
      </w:r>
      <w:r w:rsidRPr="0058796D">
        <w:tab/>
        <w:t>Показатели результативности:</w:t>
      </w:r>
    </w:p>
    <w:p w:rsidR="0058796D" w:rsidRPr="0058796D" w:rsidRDefault="0058796D" w:rsidP="0058796D">
      <w:pPr>
        <w:pStyle w:val="SingleTxtGR"/>
      </w:pPr>
      <w:r w:rsidRPr="0058796D">
        <w:t>Исходные показатели за 2014–2015 годы: 1</w:t>
      </w:r>
      <w:r w:rsidR="00724658">
        <w:t xml:space="preserve"> набор поправок к </w:t>
      </w:r>
      <w:proofErr w:type="spellStart"/>
      <w:r w:rsidR="00724658">
        <w:t>ДОПОГ</w:t>
      </w:r>
      <w:proofErr w:type="spellEnd"/>
      <w:r w:rsidR="00724658">
        <w:t xml:space="preserve">, </w:t>
      </w:r>
      <w:proofErr w:type="spellStart"/>
      <w:r w:rsidR="00724658">
        <w:t>МПОГ</w:t>
      </w:r>
      <w:proofErr w:type="spellEnd"/>
      <w:r w:rsidR="00724658">
        <w:t xml:space="preserve"> и </w:t>
      </w:r>
      <w:proofErr w:type="spellStart"/>
      <w:r w:rsidR="0057543C">
        <w:t>ВОПОГ</w:t>
      </w:r>
      <w:proofErr w:type="spellEnd"/>
    </w:p>
    <w:p w:rsidR="0058796D" w:rsidRPr="0058796D" w:rsidRDefault="0058796D" w:rsidP="0058796D">
      <w:pPr>
        <w:pStyle w:val="SingleTxtGR"/>
      </w:pPr>
      <w:r w:rsidRPr="0058796D">
        <w:t>Целевые показатели на 2016–2017 годы: 1 набор поправо</w:t>
      </w:r>
      <w:r w:rsidR="0057543C">
        <w:t>к к каждому правовому документу</w:t>
      </w:r>
    </w:p>
    <w:p w:rsidR="0058796D" w:rsidRPr="00724658" w:rsidRDefault="00D42B99" w:rsidP="00D42B99">
      <w:pPr>
        <w:pStyle w:val="H23GR"/>
        <w:keepNext w:val="0"/>
        <w:keepLines w:val="0"/>
      </w:pPr>
      <w:r>
        <w:br w:type="page"/>
      </w:r>
      <w:r w:rsidR="00DE4669" w:rsidRPr="004F20A7">
        <w:lastRenderedPageBreak/>
        <w:tab/>
      </w:r>
      <w:r w:rsidR="00DE4669" w:rsidRPr="004F20A7">
        <w:tab/>
      </w:r>
      <w:proofErr w:type="gramStart"/>
      <w:r w:rsidR="0058796D" w:rsidRPr="00DE4669">
        <w:t>Фактические</w:t>
      </w:r>
      <w:r w:rsidR="0058796D" w:rsidRPr="00724658">
        <w:t xml:space="preserve"> </w:t>
      </w:r>
      <w:r w:rsidR="0058796D" w:rsidRPr="00DE4669">
        <w:t>показатели</w:t>
      </w:r>
      <w:r w:rsidR="0058796D" w:rsidRPr="00724658">
        <w:t xml:space="preserve"> </w:t>
      </w:r>
      <w:r w:rsidR="0058796D" w:rsidRPr="00DE4669">
        <w:t>за</w:t>
      </w:r>
      <w:r w:rsidR="0058796D" w:rsidRPr="00724658">
        <w:t xml:space="preserve"> 2016–2017 </w:t>
      </w:r>
      <w:r w:rsidR="0058796D" w:rsidRPr="00DE4669">
        <w:t>годы</w:t>
      </w:r>
      <w:r w:rsidR="0058796D" w:rsidRPr="00724658">
        <w:t xml:space="preserve">: 1 </w:t>
      </w:r>
      <w:r w:rsidR="0058796D" w:rsidRPr="00DE4669">
        <w:t>набор</w:t>
      </w:r>
      <w:r w:rsidR="0058796D" w:rsidRPr="00724658">
        <w:t xml:space="preserve"> </w:t>
      </w:r>
      <w:r w:rsidR="0058796D" w:rsidRPr="00DE4669">
        <w:t>поправок</w:t>
      </w:r>
      <w:r w:rsidR="0058796D" w:rsidRPr="00724658">
        <w:t xml:space="preserve"> </w:t>
      </w:r>
      <w:r w:rsidR="0058796D" w:rsidRPr="00DE4669">
        <w:t>к</w:t>
      </w:r>
      <w:r w:rsidR="0058796D" w:rsidRPr="00724658">
        <w:t xml:space="preserve"> </w:t>
      </w:r>
      <w:r w:rsidR="0058796D" w:rsidRPr="00DE4669">
        <w:t>каждому</w:t>
      </w:r>
      <w:r w:rsidR="0058796D" w:rsidRPr="00724658">
        <w:t xml:space="preserve"> </w:t>
      </w:r>
      <w:r w:rsidR="0058796D" w:rsidRPr="00DE4669">
        <w:t>правовому</w:t>
      </w:r>
      <w:r w:rsidR="0058796D" w:rsidRPr="00724658">
        <w:t xml:space="preserve"> </w:t>
      </w:r>
      <w:r w:rsidR="0058796D" w:rsidRPr="00DE4669">
        <w:t>документу</w:t>
      </w:r>
      <w:r w:rsidR="0058796D" w:rsidRPr="00724658">
        <w:t xml:space="preserve"> (</w:t>
      </w:r>
      <w:r w:rsidR="0058796D" w:rsidRPr="00DE4669">
        <w:t>уведомления</w:t>
      </w:r>
      <w:r w:rsidR="0058796D" w:rsidRPr="00724658">
        <w:t xml:space="preserve"> </w:t>
      </w:r>
      <w:r w:rsidR="0058796D" w:rsidRPr="00DE4669">
        <w:t>депозитария</w:t>
      </w:r>
      <w:r w:rsidR="0058796D" w:rsidRPr="00724658">
        <w:t xml:space="preserve"> </w:t>
      </w:r>
      <w:r w:rsidR="0058796D" w:rsidRPr="00DE4669">
        <w:t>ООН</w:t>
      </w:r>
      <w:r w:rsidR="0058796D" w:rsidRPr="00724658">
        <w:t xml:space="preserve"> </w:t>
      </w:r>
      <w:r w:rsidR="0058796D" w:rsidRPr="00DE4669">
        <w:rPr>
          <w:lang w:val="en-US"/>
        </w:rPr>
        <w:t>C</w:t>
      </w:r>
      <w:r w:rsidR="0058796D" w:rsidRPr="00724658">
        <w:t>.</w:t>
      </w:r>
      <w:r w:rsidR="0058796D" w:rsidRPr="00DE4669">
        <w:rPr>
          <w:lang w:val="en-US"/>
        </w:rPr>
        <w:t>N</w:t>
      </w:r>
      <w:r w:rsidR="0058796D" w:rsidRPr="00724658">
        <w:t>.443.2016.</w:t>
      </w:r>
      <w:r w:rsidR="0058796D" w:rsidRPr="00DE4669">
        <w:rPr>
          <w:lang w:val="en-US"/>
        </w:rPr>
        <w:t>TREATIES</w:t>
      </w:r>
      <w:r w:rsidR="0058796D" w:rsidRPr="00724658">
        <w:t>.</w:t>
      </w:r>
      <w:r w:rsidR="0058796D" w:rsidRPr="00DE4669">
        <w:rPr>
          <w:lang w:val="en-US"/>
        </w:rPr>
        <w:t>XI</w:t>
      </w:r>
      <w:r w:rsidR="0058796D" w:rsidRPr="00724658">
        <w:t>.</w:t>
      </w:r>
      <w:r w:rsidR="0058796D" w:rsidRPr="00DE4669">
        <w:rPr>
          <w:lang w:val="en-US"/>
        </w:rPr>
        <w:t>B</w:t>
      </w:r>
      <w:r w:rsidR="0058796D" w:rsidRPr="00724658">
        <w:t xml:space="preserve">.14 </w:t>
      </w:r>
      <w:r w:rsidR="0058796D" w:rsidRPr="00DE4669">
        <w:t>и</w:t>
      </w:r>
      <w:r w:rsidR="0058796D" w:rsidRPr="00724658">
        <w:t xml:space="preserve"> </w:t>
      </w:r>
      <w:r w:rsidR="0058796D" w:rsidRPr="00DE4669">
        <w:rPr>
          <w:lang w:val="en-US"/>
        </w:rPr>
        <w:t>C</w:t>
      </w:r>
      <w:r w:rsidR="0058796D" w:rsidRPr="00724658">
        <w:t>.</w:t>
      </w:r>
      <w:r w:rsidR="0058796D" w:rsidRPr="00DE4669">
        <w:rPr>
          <w:lang w:val="en-US"/>
        </w:rPr>
        <w:t>N</w:t>
      </w:r>
      <w:r w:rsidR="0058796D" w:rsidRPr="00724658">
        <w:t>.744.2016.</w:t>
      </w:r>
      <w:r w:rsidR="0058796D" w:rsidRPr="00DE4669">
        <w:rPr>
          <w:lang w:val="en-US"/>
        </w:rPr>
        <w:t>TREATIES</w:t>
      </w:r>
      <w:r w:rsidR="0058796D" w:rsidRPr="00724658">
        <w:t>.</w:t>
      </w:r>
      <w:r w:rsidR="0058796D" w:rsidRPr="00DE4669">
        <w:rPr>
          <w:lang w:val="en-US"/>
        </w:rPr>
        <w:t>XI</w:t>
      </w:r>
      <w:r w:rsidR="0058796D" w:rsidRPr="00724658">
        <w:t>.</w:t>
      </w:r>
      <w:r w:rsidR="0058796D" w:rsidRPr="00DE4669">
        <w:rPr>
          <w:lang w:val="en-US"/>
        </w:rPr>
        <w:t>B</w:t>
      </w:r>
      <w:r w:rsidR="0058796D" w:rsidRPr="00724658">
        <w:t xml:space="preserve">.14; </w:t>
      </w:r>
      <w:r w:rsidR="0058796D" w:rsidRPr="00DE4669">
        <w:rPr>
          <w:lang w:val="en-US"/>
        </w:rPr>
        <w:t>C</w:t>
      </w:r>
      <w:r w:rsidR="0058796D" w:rsidRPr="00724658">
        <w:t>.</w:t>
      </w:r>
      <w:r w:rsidR="0058796D" w:rsidRPr="00DE4669">
        <w:rPr>
          <w:lang w:val="en-US"/>
        </w:rPr>
        <w:t>N</w:t>
      </w:r>
      <w:r w:rsidR="0058796D" w:rsidRPr="00724658">
        <w:t>.444.2016.</w:t>
      </w:r>
      <w:r w:rsidR="0058796D" w:rsidRPr="00DE4669">
        <w:rPr>
          <w:lang w:val="en-US"/>
        </w:rPr>
        <w:t>TREATIES</w:t>
      </w:r>
      <w:r w:rsidR="0058796D" w:rsidRPr="00724658">
        <w:t>-</w:t>
      </w:r>
      <w:r w:rsidR="0058796D" w:rsidRPr="00DE4669">
        <w:rPr>
          <w:lang w:val="en-US"/>
        </w:rPr>
        <w:t>XI</w:t>
      </w:r>
      <w:r w:rsidR="0058796D" w:rsidRPr="00724658">
        <w:t>.</w:t>
      </w:r>
      <w:r w:rsidR="0058796D" w:rsidRPr="00DE4669">
        <w:rPr>
          <w:lang w:val="en-US"/>
        </w:rPr>
        <w:t>D</w:t>
      </w:r>
      <w:r w:rsidR="0058796D" w:rsidRPr="00724658">
        <w:t>.6/</w:t>
      </w:r>
      <w:r w:rsidR="0058796D" w:rsidRPr="00DE4669">
        <w:rPr>
          <w:lang w:val="en-US"/>
        </w:rPr>
        <w:t>C</w:t>
      </w:r>
      <w:r w:rsidR="0058796D" w:rsidRPr="00724658">
        <w:t>.</w:t>
      </w:r>
      <w:r w:rsidR="0058796D" w:rsidRPr="00DE4669">
        <w:rPr>
          <w:lang w:val="en-US"/>
        </w:rPr>
        <w:t>N</w:t>
      </w:r>
      <w:r w:rsidR="0058796D" w:rsidRPr="00724658">
        <w:t>.743.2016.</w:t>
      </w:r>
      <w:r w:rsidR="0058796D" w:rsidRPr="00DE4669">
        <w:rPr>
          <w:lang w:val="en-US"/>
        </w:rPr>
        <w:t>TREATIES</w:t>
      </w:r>
      <w:r w:rsidR="0058796D" w:rsidRPr="00724658">
        <w:t>-</w:t>
      </w:r>
      <w:r w:rsidR="0058796D" w:rsidRPr="00DE4669">
        <w:rPr>
          <w:lang w:val="en-US"/>
        </w:rPr>
        <w:t>XI</w:t>
      </w:r>
      <w:r w:rsidR="0058796D" w:rsidRPr="00724658">
        <w:t>.</w:t>
      </w:r>
      <w:r w:rsidR="0058796D" w:rsidRPr="00DE4669">
        <w:rPr>
          <w:lang w:val="en-US"/>
        </w:rPr>
        <w:t>D</w:t>
      </w:r>
      <w:r w:rsidR="0058796D" w:rsidRPr="00724658">
        <w:t xml:space="preserve">.6 </w:t>
      </w:r>
      <w:r w:rsidR="00724658">
        <w:br/>
      </w:r>
      <w:r w:rsidR="0058796D" w:rsidRPr="00DE4669">
        <w:t>и</w:t>
      </w:r>
      <w:r w:rsidR="0058796D" w:rsidRPr="00724658">
        <w:t xml:space="preserve"> </w:t>
      </w:r>
      <w:r w:rsidR="0058796D" w:rsidRPr="00DE4669">
        <w:rPr>
          <w:lang w:val="en-US"/>
        </w:rPr>
        <w:t>C</w:t>
      </w:r>
      <w:r w:rsidR="0058796D" w:rsidRPr="00724658">
        <w:t>.</w:t>
      </w:r>
      <w:r w:rsidR="0058796D" w:rsidRPr="00DE4669">
        <w:rPr>
          <w:lang w:val="en-US"/>
        </w:rPr>
        <w:t>N</w:t>
      </w:r>
      <w:r w:rsidR="0058796D" w:rsidRPr="00724658">
        <w:t>.607.2016.</w:t>
      </w:r>
      <w:r w:rsidR="0058796D" w:rsidRPr="00DE4669">
        <w:rPr>
          <w:lang w:val="en-US"/>
        </w:rPr>
        <w:t>TREATIES</w:t>
      </w:r>
      <w:r w:rsidR="0058796D" w:rsidRPr="00724658">
        <w:t>-</w:t>
      </w:r>
      <w:r w:rsidR="0058796D" w:rsidRPr="00DE4669">
        <w:rPr>
          <w:lang w:val="en-US"/>
        </w:rPr>
        <w:t>XI</w:t>
      </w:r>
      <w:r w:rsidR="0058796D" w:rsidRPr="00724658">
        <w:t>.</w:t>
      </w:r>
      <w:r w:rsidR="0058796D" w:rsidRPr="00DE4669">
        <w:rPr>
          <w:lang w:val="en-US"/>
        </w:rPr>
        <w:t>D</w:t>
      </w:r>
      <w:r w:rsidR="0058796D" w:rsidRPr="00724658">
        <w:t>.6/</w:t>
      </w:r>
      <w:r w:rsidR="0058796D" w:rsidRPr="00DE4669">
        <w:rPr>
          <w:lang w:val="en-US"/>
        </w:rPr>
        <w:t>C</w:t>
      </w:r>
      <w:r w:rsidR="0058796D" w:rsidRPr="00724658">
        <w:t>.</w:t>
      </w:r>
      <w:r w:rsidR="0058796D" w:rsidRPr="00DE4669">
        <w:rPr>
          <w:lang w:val="en-US"/>
        </w:rPr>
        <w:t>N</w:t>
      </w:r>
      <w:r w:rsidR="0058796D" w:rsidRPr="00724658">
        <w:t>.897.2016.</w:t>
      </w:r>
      <w:r w:rsidR="0058796D" w:rsidRPr="00DE4669">
        <w:rPr>
          <w:lang w:val="en-US"/>
        </w:rPr>
        <w:t>TREATIES</w:t>
      </w:r>
      <w:r w:rsidR="0058796D" w:rsidRPr="00724658">
        <w:t>-</w:t>
      </w:r>
      <w:r w:rsidR="0058796D" w:rsidRPr="00DE4669">
        <w:rPr>
          <w:lang w:val="en-US"/>
        </w:rPr>
        <w:t>XI</w:t>
      </w:r>
      <w:r w:rsidR="0058796D" w:rsidRPr="00724658">
        <w:t>.</w:t>
      </w:r>
      <w:r w:rsidR="0058796D" w:rsidRPr="00DE4669">
        <w:rPr>
          <w:lang w:val="en-US"/>
        </w:rPr>
        <w:t>D</w:t>
      </w:r>
      <w:r w:rsidR="0058796D" w:rsidRPr="00724658">
        <w:t>.6;</w:t>
      </w:r>
      <w:proofErr w:type="gramEnd"/>
      <w:r w:rsidR="0058796D" w:rsidRPr="00724658">
        <w:t xml:space="preserve"> </w:t>
      </w:r>
      <w:r w:rsidR="0058796D" w:rsidRPr="00DE4669">
        <w:t>уведомления</w:t>
      </w:r>
      <w:r w:rsidR="0058796D" w:rsidRPr="00724658">
        <w:t xml:space="preserve"> </w:t>
      </w:r>
      <w:proofErr w:type="spellStart"/>
      <w:r w:rsidR="0058796D" w:rsidRPr="00DE4669">
        <w:t>ОТИФ</w:t>
      </w:r>
      <w:proofErr w:type="spellEnd"/>
      <w:r w:rsidR="0058796D" w:rsidRPr="00724658">
        <w:t xml:space="preserve"> </w:t>
      </w:r>
      <w:r w:rsidR="0058796D" w:rsidRPr="00DE4669">
        <w:rPr>
          <w:lang w:val="en-US"/>
        </w:rPr>
        <w:t>RID</w:t>
      </w:r>
      <w:r w:rsidR="0058796D" w:rsidRPr="00724658">
        <w:t>-16003-</w:t>
      </w:r>
      <w:r w:rsidR="0058796D" w:rsidRPr="00DE4669">
        <w:rPr>
          <w:lang w:val="en-US"/>
        </w:rPr>
        <w:t>CE</w:t>
      </w:r>
      <w:r w:rsidR="0058796D" w:rsidRPr="00724658">
        <w:t xml:space="preserve">54, </w:t>
      </w:r>
      <w:proofErr w:type="spellStart"/>
      <w:r w:rsidR="0058796D" w:rsidRPr="00DE4669">
        <w:rPr>
          <w:lang w:val="en-US"/>
        </w:rPr>
        <w:t>OTIF</w:t>
      </w:r>
      <w:proofErr w:type="spellEnd"/>
      <w:r w:rsidR="0058796D" w:rsidRPr="00724658">
        <w:t>/</w:t>
      </w:r>
      <w:r w:rsidR="0058796D" w:rsidRPr="00DE4669">
        <w:rPr>
          <w:lang w:val="en-US"/>
        </w:rPr>
        <w:t>RID</w:t>
      </w:r>
      <w:r w:rsidR="0058796D" w:rsidRPr="00724658">
        <w:t>/</w:t>
      </w:r>
      <w:r w:rsidR="0058796D" w:rsidRPr="00DE4669">
        <w:rPr>
          <w:lang w:val="en-US"/>
        </w:rPr>
        <w:t>NOT</w:t>
      </w:r>
      <w:r w:rsidR="0058796D" w:rsidRPr="00724658">
        <w:t xml:space="preserve">/2017 </w:t>
      </w:r>
      <w:r w:rsidR="00724658">
        <w:br/>
      </w:r>
      <w:r w:rsidR="0058796D" w:rsidRPr="00DE4669">
        <w:t>и</w:t>
      </w:r>
      <w:r w:rsidR="0058796D" w:rsidRPr="00724658">
        <w:t xml:space="preserve"> </w:t>
      </w:r>
      <w:r w:rsidR="0058796D" w:rsidRPr="00DE4669">
        <w:rPr>
          <w:lang w:val="en-US"/>
        </w:rPr>
        <w:t>RID</w:t>
      </w:r>
      <w:r w:rsidR="0058796D" w:rsidRPr="00724658">
        <w:t>-16009-</w:t>
      </w:r>
      <w:r w:rsidR="0058796D" w:rsidRPr="00DE4669">
        <w:rPr>
          <w:lang w:val="en-US"/>
        </w:rPr>
        <w:t>CE</w:t>
      </w:r>
      <w:r>
        <w:t>54)</w:t>
      </w:r>
    </w:p>
    <w:p w:rsidR="0058796D" w:rsidRPr="0058796D" w:rsidRDefault="0058796D" w:rsidP="00D42B99">
      <w:pPr>
        <w:pStyle w:val="H4GR"/>
        <w:keepNext w:val="0"/>
        <w:keepLines w:val="0"/>
      </w:pPr>
      <w:r w:rsidRPr="00724658">
        <w:tab/>
      </w:r>
      <w:r w:rsidRPr="0058796D">
        <w:t>2.</w:t>
      </w:r>
      <w:r w:rsidRPr="0058796D">
        <w:tab/>
        <w:t xml:space="preserve">Опубликование до конца 2016 года сводных пересмотренных изданий </w:t>
      </w:r>
      <w:proofErr w:type="spellStart"/>
      <w:r w:rsidRPr="0058796D">
        <w:t>ДОПОГ</w:t>
      </w:r>
      <w:proofErr w:type="spellEnd"/>
      <w:r w:rsidRPr="0058796D">
        <w:t xml:space="preserve"> </w:t>
      </w:r>
      <w:r w:rsidRPr="0058796D">
        <w:br/>
        <w:t xml:space="preserve">и </w:t>
      </w:r>
      <w:proofErr w:type="spellStart"/>
      <w:r w:rsidRPr="0058796D">
        <w:t>ВОПОГ</w:t>
      </w:r>
      <w:proofErr w:type="spellEnd"/>
      <w:r w:rsidRPr="0058796D">
        <w:t xml:space="preserve"> 2017 года (</w:t>
      </w:r>
      <w:proofErr w:type="spellStart"/>
      <w:r w:rsidRPr="0058796D">
        <w:t>ПД</w:t>
      </w:r>
      <w:proofErr w:type="spellEnd"/>
      <w:r w:rsidRPr="0058796D">
        <w:t xml:space="preserve"> 9.a b))</w:t>
      </w:r>
    </w:p>
    <w:p w:rsidR="0058796D" w:rsidRPr="0058796D" w:rsidRDefault="0058796D" w:rsidP="00DE4669">
      <w:pPr>
        <w:pStyle w:val="H4GR"/>
      </w:pPr>
      <w:r w:rsidRPr="0058796D">
        <w:tab/>
      </w:r>
      <w:r w:rsidRPr="0058796D">
        <w:tab/>
        <w:t>Показатели результативности:</w:t>
      </w:r>
    </w:p>
    <w:p w:rsidR="0058796D" w:rsidRPr="0058796D" w:rsidRDefault="0058796D" w:rsidP="0058796D">
      <w:pPr>
        <w:pStyle w:val="SingleTxtGR"/>
      </w:pPr>
      <w:r w:rsidRPr="0058796D">
        <w:t xml:space="preserve">Исходные показатели за 2014–2015 годы: 1 </w:t>
      </w:r>
      <w:proofErr w:type="spellStart"/>
      <w:r w:rsidRPr="0058796D">
        <w:t>ДОПОГ</w:t>
      </w:r>
      <w:proofErr w:type="spellEnd"/>
      <w:r w:rsidRPr="0058796D">
        <w:t xml:space="preserve">, 1 </w:t>
      </w:r>
      <w:proofErr w:type="spellStart"/>
      <w:r w:rsidRPr="0058796D">
        <w:t>ВОП</w:t>
      </w:r>
      <w:r w:rsidR="0057543C">
        <w:t>ОГ</w:t>
      </w:r>
      <w:proofErr w:type="spellEnd"/>
    </w:p>
    <w:p w:rsidR="0058796D" w:rsidRPr="0058796D" w:rsidRDefault="0058796D" w:rsidP="0058796D">
      <w:pPr>
        <w:pStyle w:val="SingleTxtGR"/>
      </w:pPr>
      <w:r w:rsidRPr="0058796D">
        <w:t>Целевые показатели на 2</w:t>
      </w:r>
      <w:r w:rsidR="0057543C">
        <w:t xml:space="preserve">016–2017 годы: 1 </w:t>
      </w:r>
      <w:proofErr w:type="spellStart"/>
      <w:r w:rsidR="0057543C">
        <w:t>ДОПОГ</w:t>
      </w:r>
      <w:proofErr w:type="spellEnd"/>
      <w:r w:rsidR="0057543C">
        <w:t xml:space="preserve">, 1 </w:t>
      </w:r>
      <w:proofErr w:type="spellStart"/>
      <w:r w:rsidR="0057543C">
        <w:t>ВОПОГ</w:t>
      </w:r>
      <w:proofErr w:type="spellEnd"/>
    </w:p>
    <w:p w:rsidR="0058796D" w:rsidRPr="0058796D" w:rsidRDefault="00DE4669" w:rsidP="00DE4669">
      <w:pPr>
        <w:pStyle w:val="H23GR"/>
      </w:pPr>
      <w:r w:rsidRPr="004F20A7">
        <w:tab/>
      </w:r>
      <w:r w:rsidRPr="004F20A7">
        <w:tab/>
      </w:r>
      <w:r w:rsidR="0058796D" w:rsidRPr="0058796D">
        <w:t xml:space="preserve">Фактические показатели за 2016–2017 годы: 1 ДОПОГ (ECE/TRANS/257, тома I и </w:t>
      </w:r>
      <w:proofErr w:type="spellStart"/>
      <w:r w:rsidR="0058796D" w:rsidRPr="0058796D">
        <w:t>II</w:t>
      </w:r>
      <w:proofErr w:type="spellEnd"/>
      <w:r w:rsidR="0058796D" w:rsidRPr="0058796D">
        <w:t xml:space="preserve">, в продаже под номером R.16.VIII.1), 1 </w:t>
      </w:r>
      <w:proofErr w:type="spellStart"/>
      <w:r w:rsidR="0058796D" w:rsidRPr="0058796D">
        <w:t>ВОПОГ</w:t>
      </w:r>
      <w:proofErr w:type="spellEnd"/>
      <w:r w:rsidR="0058796D" w:rsidRPr="0058796D">
        <w:t xml:space="preserve"> (</w:t>
      </w:r>
      <w:proofErr w:type="spellStart"/>
      <w:r w:rsidR="0058796D" w:rsidRPr="0058796D">
        <w:t>ECE</w:t>
      </w:r>
      <w:proofErr w:type="spellEnd"/>
      <w:r w:rsidR="0058796D" w:rsidRPr="0058796D">
        <w:t>/</w:t>
      </w:r>
      <w:proofErr w:type="spellStart"/>
      <w:r w:rsidR="0058796D" w:rsidRPr="0058796D">
        <w:t>TRANS</w:t>
      </w:r>
      <w:proofErr w:type="spellEnd"/>
      <w:r w:rsidR="0058796D" w:rsidRPr="0058796D">
        <w:t xml:space="preserve">/258, тома I и </w:t>
      </w:r>
      <w:proofErr w:type="spellStart"/>
      <w:r w:rsidR="0058796D" w:rsidRPr="0058796D">
        <w:t>II</w:t>
      </w:r>
      <w:proofErr w:type="spellEnd"/>
      <w:r w:rsidR="0058796D" w:rsidRPr="0058796D">
        <w:t>, в п</w:t>
      </w:r>
      <w:r w:rsidR="0057543C">
        <w:t>родаже под номером R.16.VIII.3)</w:t>
      </w:r>
    </w:p>
    <w:p w:rsidR="0058796D" w:rsidRPr="0058796D" w:rsidRDefault="0058796D" w:rsidP="00681D6C">
      <w:pPr>
        <w:pStyle w:val="H23GR"/>
      </w:pPr>
      <w:r w:rsidRPr="0058796D">
        <w:tab/>
        <w:t>C.</w:t>
      </w:r>
      <w:r w:rsidRPr="0058796D">
        <w:tab/>
        <w:t>Оценка результативности</w:t>
      </w:r>
    </w:p>
    <w:p w:rsidR="0058796D" w:rsidRPr="0058796D" w:rsidRDefault="0058796D" w:rsidP="0058796D">
      <w:pPr>
        <w:pStyle w:val="SingleTxtGR"/>
      </w:pPr>
      <w:r w:rsidRPr="0058796D">
        <w:t>2.</w:t>
      </w:r>
      <w:r w:rsidRPr="0058796D">
        <w:tab/>
        <w:t>Сознавая необходимость облегчения международных грузовых перев</w:t>
      </w:r>
      <w:r w:rsidRPr="0058796D">
        <w:t>о</w:t>
      </w:r>
      <w:r w:rsidRPr="0058796D">
        <w:t>зок, а также повышения безопасности и защищенности транспорта, Договар</w:t>
      </w:r>
      <w:r w:rsidRPr="0058796D">
        <w:t>и</w:t>
      </w:r>
      <w:r w:rsidRPr="0058796D">
        <w:t xml:space="preserve">вающиеся стороны продолжили работу по обновлению </w:t>
      </w:r>
      <w:proofErr w:type="spellStart"/>
      <w:r w:rsidRPr="0058796D">
        <w:t>ДОПОГ</w:t>
      </w:r>
      <w:proofErr w:type="spellEnd"/>
      <w:r w:rsidRPr="0058796D">
        <w:t xml:space="preserve">, </w:t>
      </w:r>
      <w:proofErr w:type="spellStart"/>
      <w:r w:rsidRPr="0058796D">
        <w:t>МПОГ</w:t>
      </w:r>
      <w:proofErr w:type="spellEnd"/>
      <w:r w:rsidRPr="0058796D">
        <w:t xml:space="preserve"> и </w:t>
      </w:r>
      <w:proofErr w:type="spellStart"/>
      <w:r w:rsidRPr="0058796D">
        <w:t>ВОПОГ</w:t>
      </w:r>
      <w:proofErr w:type="spellEnd"/>
      <w:r w:rsidRPr="0058796D">
        <w:t xml:space="preserve"> с учетом новых технических достижений, требований и потребностей транспортного сектора. </w:t>
      </w:r>
      <w:proofErr w:type="gramStart"/>
      <w:r w:rsidRPr="0058796D">
        <w:t>В целях согласования условий перевозок различными видами транспорта Договаривающиеся стороны приняли поправки для тран</w:t>
      </w:r>
      <w:r w:rsidRPr="0058796D">
        <w:t>с</w:t>
      </w:r>
      <w:r w:rsidRPr="0058796D">
        <w:t>понирования девятнадцатого пересмотренного издания Типовых правил Орг</w:t>
      </w:r>
      <w:r w:rsidRPr="0058796D">
        <w:t>а</w:t>
      </w:r>
      <w:r w:rsidRPr="0058796D">
        <w:t>низации Объединенных Наций (2015 года) без возобновления технических ди</w:t>
      </w:r>
      <w:r w:rsidRPr="0058796D">
        <w:t>с</w:t>
      </w:r>
      <w:r w:rsidRPr="0058796D">
        <w:t xml:space="preserve">куссий (например, в отношении перевозки вязких жидкостей; газов; </w:t>
      </w:r>
      <w:proofErr w:type="spellStart"/>
      <w:r w:rsidRPr="0058796D">
        <w:t>полимер</w:t>
      </w:r>
      <w:r w:rsidRPr="0058796D">
        <w:t>и</w:t>
      </w:r>
      <w:r w:rsidRPr="0058796D">
        <w:t>зующихся</w:t>
      </w:r>
      <w:proofErr w:type="spellEnd"/>
      <w:r w:rsidRPr="0058796D">
        <w:t xml:space="preserve"> веществ; двигателей внутреннего сгорания, работающих на легк</w:t>
      </w:r>
      <w:r w:rsidRPr="0058796D">
        <w:t>о</w:t>
      </w:r>
      <w:r w:rsidRPr="0058796D">
        <w:t>воспламеняющихся жидкостях или газах, или машин с такими двигателями;</w:t>
      </w:r>
      <w:proofErr w:type="gramEnd"/>
      <w:r w:rsidRPr="0058796D">
        <w:t xml:space="preserve"> электромобилей; литиевых батарей; и систем выдачи аммиака). Они сосредот</w:t>
      </w:r>
      <w:r w:rsidRPr="0058796D">
        <w:t>о</w:t>
      </w:r>
      <w:r w:rsidRPr="0058796D">
        <w:t>чили свои усилия на проблемах конкретных видов транспорта.</w:t>
      </w:r>
    </w:p>
    <w:p w:rsidR="0058796D" w:rsidRPr="0058796D" w:rsidRDefault="0058796D" w:rsidP="0058796D">
      <w:pPr>
        <w:pStyle w:val="SingleTxtGR"/>
      </w:pPr>
      <w:r w:rsidRPr="0058796D">
        <w:t>3.</w:t>
      </w:r>
      <w:r w:rsidRPr="0058796D">
        <w:tab/>
        <w:t xml:space="preserve">В области автомобильного транспорта Рабочая группа по перевозкам опасных грузов приняла новые и пересмотренные требования в отношении конструкции транспортных средств; экзаменов для консультантов по вопросам безопасности и водителей транспортных средств, перевозящих опасные грузы; и содержания письменных инструкций, которые должны находиться на борту транспортных средств. Поправки к </w:t>
      </w:r>
      <w:proofErr w:type="spellStart"/>
      <w:r w:rsidRPr="0058796D">
        <w:t>ДОПОГ</w:t>
      </w:r>
      <w:proofErr w:type="spellEnd"/>
      <w:r w:rsidRPr="0058796D">
        <w:t xml:space="preserve"> и </w:t>
      </w:r>
      <w:proofErr w:type="spellStart"/>
      <w:r w:rsidRPr="0058796D">
        <w:t>МПОГ</w:t>
      </w:r>
      <w:proofErr w:type="spellEnd"/>
      <w:r w:rsidRPr="0058796D">
        <w:t xml:space="preserve"> вступили в силу 1 января 2017 года.</w:t>
      </w:r>
    </w:p>
    <w:p w:rsidR="0058796D" w:rsidRPr="0058796D" w:rsidRDefault="0058796D" w:rsidP="0058796D">
      <w:pPr>
        <w:pStyle w:val="SingleTxtGR"/>
      </w:pPr>
      <w:r w:rsidRPr="0058796D">
        <w:t>4.</w:t>
      </w:r>
      <w:r w:rsidRPr="0058796D">
        <w:tab/>
        <w:t xml:space="preserve">Соответствующие поправки к </w:t>
      </w:r>
      <w:proofErr w:type="spellStart"/>
      <w:r w:rsidRPr="0058796D">
        <w:t>ВОПОГ</w:t>
      </w:r>
      <w:proofErr w:type="spellEnd"/>
      <w:r w:rsidRPr="0058796D">
        <w:t xml:space="preserve"> были разработаны Комитетом по безопасности </w:t>
      </w:r>
      <w:proofErr w:type="spellStart"/>
      <w:r w:rsidRPr="0058796D">
        <w:t>ВОПОГ</w:t>
      </w:r>
      <w:proofErr w:type="spellEnd"/>
      <w:r w:rsidRPr="0058796D">
        <w:t xml:space="preserve"> и приняты Административным комитетом </w:t>
      </w:r>
      <w:proofErr w:type="spellStart"/>
      <w:r w:rsidRPr="0058796D">
        <w:t>ВОПОГ</w:t>
      </w:r>
      <w:proofErr w:type="spellEnd"/>
      <w:r w:rsidRPr="0058796D">
        <w:t xml:space="preserve"> вместе с дополнительными поправками, непосредственно касающимися судоходства по внутренним водным путям; они вступили в силу одновременно 1 января 2017 года.</w:t>
      </w:r>
    </w:p>
    <w:p w:rsidR="0058796D" w:rsidRPr="0058796D" w:rsidRDefault="0058796D" w:rsidP="0063614F">
      <w:pPr>
        <w:pStyle w:val="SingleTxtGR"/>
      </w:pPr>
      <w:r w:rsidRPr="0058796D">
        <w:t>5.</w:t>
      </w:r>
      <w:r w:rsidRPr="0058796D">
        <w:tab/>
      </w:r>
      <w:proofErr w:type="gramStart"/>
      <w:r w:rsidRPr="0058796D">
        <w:t>В директиву 2008/68/</w:t>
      </w:r>
      <w:proofErr w:type="spellStart"/>
      <w:r w:rsidRPr="0058796D">
        <w:t>EC</w:t>
      </w:r>
      <w:proofErr w:type="spellEnd"/>
      <w:r w:rsidRPr="0058796D">
        <w:t>, обязывающую государства − члены Европейск</w:t>
      </w:r>
      <w:r w:rsidRPr="0058796D">
        <w:t>о</w:t>
      </w:r>
      <w:r w:rsidRPr="0058796D">
        <w:t xml:space="preserve">го союза и Европейского экономического пространства применять приложения </w:t>
      </w:r>
      <w:proofErr w:type="spellStart"/>
      <w:r w:rsidRPr="0058796D">
        <w:t>ДОПОГ</w:t>
      </w:r>
      <w:proofErr w:type="spellEnd"/>
      <w:r w:rsidRPr="0058796D">
        <w:t xml:space="preserve">, </w:t>
      </w:r>
      <w:proofErr w:type="spellStart"/>
      <w:r w:rsidRPr="0058796D">
        <w:t>МПОГ</w:t>
      </w:r>
      <w:proofErr w:type="spellEnd"/>
      <w:r w:rsidRPr="0058796D">
        <w:t xml:space="preserve"> и </w:t>
      </w:r>
      <w:proofErr w:type="spellStart"/>
      <w:r w:rsidRPr="0058796D">
        <w:t>ВОПОГ</w:t>
      </w:r>
      <w:proofErr w:type="spellEnd"/>
      <w:r w:rsidRPr="0058796D">
        <w:t xml:space="preserve"> к внутренним перевозкам, были внесены соотве</w:t>
      </w:r>
      <w:r w:rsidRPr="0058796D">
        <w:t>т</w:t>
      </w:r>
      <w:r w:rsidRPr="0058796D">
        <w:t xml:space="preserve">ствующие поправки во исполнение директивы 2016/2309 Комиссии от 16 </w:t>
      </w:r>
      <w:r w:rsidR="0063614F">
        <w:t>ноя</w:t>
      </w:r>
      <w:r w:rsidR="0063614F">
        <w:t>б</w:t>
      </w:r>
      <w:r w:rsidR="0063614F">
        <w:t>ря</w:t>
      </w:r>
      <w:r w:rsidRPr="0058796D">
        <w:t xml:space="preserve"> 2016 года, согласно которой эти положения с поправками должны быть вв</w:t>
      </w:r>
      <w:r w:rsidRPr="0058796D">
        <w:t>е</w:t>
      </w:r>
      <w:r w:rsidRPr="0058796D">
        <w:t>дены в действие не позднее 30 июня 2017 года.</w:t>
      </w:r>
      <w:proofErr w:type="gramEnd"/>
    </w:p>
    <w:p w:rsidR="0058796D" w:rsidRPr="0058796D" w:rsidRDefault="0058796D" w:rsidP="0058796D">
      <w:pPr>
        <w:pStyle w:val="SingleTxtGR"/>
      </w:pPr>
      <w:r w:rsidRPr="0058796D">
        <w:t>6.</w:t>
      </w:r>
      <w:r w:rsidRPr="0058796D">
        <w:tab/>
        <w:t xml:space="preserve">Секретариатом был подготовлен сводный текст </w:t>
      </w:r>
      <w:proofErr w:type="spellStart"/>
      <w:r w:rsidRPr="0058796D">
        <w:t>ДОПОГ</w:t>
      </w:r>
      <w:proofErr w:type="spellEnd"/>
      <w:r w:rsidRPr="0058796D">
        <w:t xml:space="preserve"> и </w:t>
      </w:r>
      <w:proofErr w:type="spellStart"/>
      <w:r w:rsidRPr="0058796D">
        <w:t>ВОПОГ</w:t>
      </w:r>
      <w:proofErr w:type="spellEnd"/>
      <w:r w:rsidRPr="0058796D">
        <w:t xml:space="preserve"> на а</w:t>
      </w:r>
      <w:r w:rsidRPr="0058796D">
        <w:t>н</w:t>
      </w:r>
      <w:r w:rsidRPr="0058796D">
        <w:t xml:space="preserve">глийском и французском языках, опубликованный в июне 2016 года в случае ДОПОГ (ECE/TRANS/257, тома I и </w:t>
      </w:r>
      <w:proofErr w:type="spellStart"/>
      <w:r w:rsidRPr="0058796D">
        <w:t>II</w:t>
      </w:r>
      <w:proofErr w:type="spellEnd"/>
      <w:r w:rsidRPr="0058796D">
        <w:t xml:space="preserve">) и в октябре 2016 года в случае </w:t>
      </w:r>
      <w:proofErr w:type="spellStart"/>
      <w:r w:rsidRPr="0058796D">
        <w:t>ВОПОГ</w:t>
      </w:r>
      <w:proofErr w:type="spellEnd"/>
      <w:r w:rsidRPr="0058796D">
        <w:t xml:space="preserve"> </w:t>
      </w:r>
      <w:r w:rsidRPr="0058796D">
        <w:lastRenderedPageBreak/>
        <w:t>(</w:t>
      </w:r>
      <w:proofErr w:type="spellStart"/>
      <w:r w:rsidRPr="0058796D">
        <w:t>ECE</w:t>
      </w:r>
      <w:proofErr w:type="spellEnd"/>
      <w:r w:rsidRPr="0058796D">
        <w:t>/</w:t>
      </w:r>
      <w:proofErr w:type="spellStart"/>
      <w:r w:rsidRPr="0058796D">
        <w:t>TRANS</w:t>
      </w:r>
      <w:proofErr w:type="spellEnd"/>
      <w:r w:rsidRPr="0058796D">
        <w:t xml:space="preserve">/258). Тексты </w:t>
      </w:r>
      <w:proofErr w:type="spellStart"/>
      <w:r w:rsidRPr="0058796D">
        <w:t>ДОПОГ</w:t>
      </w:r>
      <w:proofErr w:type="spellEnd"/>
      <w:r w:rsidRPr="0058796D">
        <w:t xml:space="preserve"> и </w:t>
      </w:r>
      <w:proofErr w:type="spellStart"/>
      <w:r w:rsidRPr="0058796D">
        <w:t>ВОПОГ</w:t>
      </w:r>
      <w:proofErr w:type="spellEnd"/>
      <w:r w:rsidRPr="0058796D">
        <w:t xml:space="preserve"> на русском языке были опублик</w:t>
      </w:r>
      <w:r w:rsidRPr="0058796D">
        <w:t>о</w:t>
      </w:r>
      <w:r w:rsidRPr="0058796D">
        <w:t>ваны в декабре 2016 года.</w:t>
      </w:r>
    </w:p>
    <w:p w:rsidR="0058796D" w:rsidRPr="0058796D" w:rsidRDefault="0058796D" w:rsidP="00681D6C">
      <w:pPr>
        <w:pStyle w:val="H23GR"/>
      </w:pPr>
      <w:r w:rsidRPr="0058796D">
        <w:rPr>
          <w:i/>
        </w:rPr>
        <w:tab/>
      </w:r>
      <w:r w:rsidRPr="0058796D">
        <w:t>D.</w:t>
      </w:r>
      <w:r w:rsidRPr="0058796D">
        <w:tab/>
        <w:t>Извлеченные уроки/области, в которых необходимы улучшения</w:t>
      </w:r>
    </w:p>
    <w:p w:rsidR="0058796D" w:rsidRPr="0058796D" w:rsidRDefault="0058796D" w:rsidP="00613F3A">
      <w:pPr>
        <w:pStyle w:val="SingleTxtGR"/>
      </w:pPr>
      <w:r w:rsidRPr="0058796D">
        <w:t>7.</w:t>
      </w:r>
      <w:r w:rsidRPr="0058796D">
        <w:tab/>
        <w:t>Созданные в регионе ЕЭК механизмы регулирования внутренних перев</w:t>
      </w:r>
      <w:r w:rsidRPr="0058796D">
        <w:t>о</w:t>
      </w:r>
      <w:r w:rsidRPr="0058796D">
        <w:t xml:space="preserve">зок опасных грузов продолжают успешно функционировать. </w:t>
      </w:r>
      <w:proofErr w:type="gramStart"/>
      <w:r w:rsidRPr="0058796D">
        <w:t xml:space="preserve">Сотрудничество </w:t>
      </w:r>
      <w:proofErr w:type="spellStart"/>
      <w:r w:rsidRPr="0058796D">
        <w:t>ЕЭК</w:t>
      </w:r>
      <w:proofErr w:type="spellEnd"/>
      <w:r w:rsidRPr="0058796D">
        <w:t xml:space="preserve"> с </w:t>
      </w:r>
      <w:proofErr w:type="spellStart"/>
      <w:r w:rsidRPr="0058796D">
        <w:t>ОТИФ</w:t>
      </w:r>
      <w:proofErr w:type="spellEnd"/>
      <w:r w:rsidRPr="0058796D">
        <w:t xml:space="preserve"> и </w:t>
      </w:r>
      <w:proofErr w:type="spellStart"/>
      <w:r w:rsidRPr="0058796D">
        <w:t>ЦКСР</w:t>
      </w:r>
      <w:proofErr w:type="spellEnd"/>
      <w:r w:rsidRPr="0058796D">
        <w:t xml:space="preserve"> и их курс на включение положений, рекомендуемых О</w:t>
      </w:r>
      <w:r w:rsidRPr="0058796D">
        <w:t>р</w:t>
      </w:r>
      <w:r w:rsidRPr="0058796D">
        <w:t>ганизацией Объединенных Наций, в три основных правовых документа (</w:t>
      </w:r>
      <w:proofErr w:type="spellStart"/>
      <w:r w:rsidRPr="0058796D">
        <w:t>МПОГ</w:t>
      </w:r>
      <w:proofErr w:type="spellEnd"/>
      <w:r w:rsidRPr="0058796D">
        <w:t>/</w:t>
      </w:r>
      <w:proofErr w:type="spellStart"/>
      <w:r w:rsidRPr="0058796D">
        <w:t>ДОПОГ</w:t>
      </w:r>
      <w:proofErr w:type="spellEnd"/>
      <w:r w:rsidRPr="0058796D">
        <w:t>/</w:t>
      </w:r>
      <w:proofErr w:type="spellStart"/>
      <w:r w:rsidRPr="0058796D">
        <w:t>ВОПОГ</w:t>
      </w:r>
      <w:proofErr w:type="spellEnd"/>
      <w:r w:rsidRPr="0058796D">
        <w:t>), регулирующих международные перевозки опасных грузов железнодорожным, автомобильным и внутренним водным транспортом в регионе, позволили привести эти документы в полное соответствие друг с др</w:t>
      </w:r>
      <w:r w:rsidRPr="0058796D">
        <w:t>у</w:t>
      </w:r>
      <w:r w:rsidRPr="0058796D">
        <w:t>гом и с аналогичными документами, регламентирующими морские и возду</w:t>
      </w:r>
      <w:r w:rsidRPr="0058796D">
        <w:t>ш</w:t>
      </w:r>
      <w:r w:rsidRPr="0058796D">
        <w:t>ные перевозки.</w:t>
      </w:r>
      <w:proofErr w:type="gramEnd"/>
      <w:r w:rsidRPr="0058796D">
        <w:t xml:space="preserve"> Такое согласование крайне важно для облегчения междунаро</w:t>
      </w:r>
      <w:r w:rsidRPr="0058796D">
        <w:t>д</w:t>
      </w:r>
      <w:r w:rsidRPr="0058796D">
        <w:t xml:space="preserve">ной торговли и </w:t>
      </w:r>
      <w:proofErr w:type="spellStart"/>
      <w:r w:rsidRPr="0058796D">
        <w:t>интермодальных</w:t>
      </w:r>
      <w:proofErr w:type="spellEnd"/>
      <w:r w:rsidRPr="0058796D">
        <w:t xml:space="preserve"> перевозок. Стремление ЕС применять полож</w:t>
      </w:r>
      <w:r w:rsidRPr="0058796D">
        <w:t>е</w:t>
      </w:r>
      <w:r w:rsidRPr="0058796D">
        <w:t xml:space="preserve">ния </w:t>
      </w:r>
      <w:proofErr w:type="spellStart"/>
      <w:r w:rsidR="00613F3A" w:rsidRPr="0058796D">
        <w:t>МПОГ</w:t>
      </w:r>
      <w:proofErr w:type="spellEnd"/>
      <w:r w:rsidR="00613F3A">
        <w:t>,</w:t>
      </w:r>
      <w:r w:rsidR="00613F3A" w:rsidRPr="0058796D">
        <w:t xml:space="preserve"> </w:t>
      </w:r>
      <w:proofErr w:type="spellStart"/>
      <w:r w:rsidR="00613F3A">
        <w:t>ДОПОГ</w:t>
      </w:r>
      <w:proofErr w:type="spellEnd"/>
      <w:r w:rsidRPr="0058796D">
        <w:t xml:space="preserve"> и </w:t>
      </w:r>
      <w:proofErr w:type="spellStart"/>
      <w:r w:rsidRPr="0058796D">
        <w:t>ВОПОГ</w:t>
      </w:r>
      <w:proofErr w:type="spellEnd"/>
      <w:r w:rsidRPr="0058796D">
        <w:t xml:space="preserve"> к внутреннему транспорту в значительной мере способствует подобному согласованию на глобальном уровне. </w:t>
      </w:r>
      <w:proofErr w:type="gramStart"/>
      <w:r w:rsidRPr="0058796D">
        <w:t>Применение</w:t>
      </w:r>
      <w:r w:rsidR="00613F3A">
        <w:t xml:space="preserve">, </w:t>
      </w:r>
      <w:proofErr w:type="spellStart"/>
      <w:r w:rsidR="00613F3A">
        <w:t>МПОГ</w:t>
      </w:r>
      <w:proofErr w:type="spellEnd"/>
      <w:r w:rsidR="00613F3A">
        <w:t xml:space="preserve">, </w:t>
      </w:r>
      <w:proofErr w:type="spellStart"/>
      <w:r w:rsidR="00613F3A" w:rsidRPr="0058796D">
        <w:t>ДОПОГ</w:t>
      </w:r>
      <w:proofErr w:type="spellEnd"/>
      <w:r w:rsidR="00613F3A" w:rsidRPr="0058796D">
        <w:t xml:space="preserve"> </w:t>
      </w:r>
      <w:r w:rsidRPr="0058796D">
        <w:t xml:space="preserve">и </w:t>
      </w:r>
      <w:proofErr w:type="spellStart"/>
      <w:r w:rsidRPr="0058796D">
        <w:t>ВОПОГ</w:t>
      </w:r>
      <w:proofErr w:type="spellEnd"/>
      <w:r w:rsidRPr="0058796D">
        <w:t xml:space="preserve"> на уровне стран также свидетельствует о том, что государства − члены ЕС придают все большее значение соответствию полож</w:t>
      </w:r>
      <w:r w:rsidRPr="0058796D">
        <w:t>е</w:t>
      </w:r>
      <w:r w:rsidRPr="0058796D">
        <w:t xml:space="preserve">ний </w:t>
      </w:r>
      <w:proofErr w:type="spellStart"/>
      <w:r w:rsidR="00613F3A" w:rsidRPr="0058796D">
        <w:t>МПОГ</w:t>
      </w:r>
      <w:proofErr w:type="spellEnd"/>
      <w:r w:rsidR="00613F3A">
        <w:t>,</w:t>
      </w:r>
      <w:r w:rsidR="00613F3A" w:rsidRPr="0058796D">
        <w:t xml:space="preserve"> </w:t>
      </w:r>
      <w:proofErr w:type="spellStart"/>
      <w:r w:rsidR="00613F3A">
        <w:t>ДОПОГ</w:t>
      </w:r>
      <w:proofErr w:type="spellEnd"/>
      <w:r w:rsidRPr="0058796D">
        <w:t xml:space="preserve"> и </w:t>
      </w:r>
      <w:proofErr w:type="spellStart"/>
      <w:r w:rsidRPr="0058796D">
        <w:t>ВОПОГ</w:t>
      </w:r>
      <w:proofErr w:type="spellEnd"/>
      <w:r w:rsidRPr="0058796D">
        <w:t>, отражающих специфику отдельных видов транспорта, европейским стандартам, разработанным Европейским комитетом по стандартизации (</w:t>
      </w:r>
      <w:proofErr w:type="spellStart"/>
      <w:r w:rsidRPr="0058796D">
        <w:t>ЕКС</w:t>
      </w:r>
      <w:proofErr w:type="spellEnd"/>
      <w:r w:rsidRPr="0058796D">
        <w:t xml:space="preserve">), многие из которых на сегодняшний день приобрели обязательную силу как часть </w:t>
      </w:r>
      <w:proofErr w:type="spellStart"/>
      <w:r w:rsidR="00613F3A" w:rsidRPr="0058796D">
        <w:t>МПОГ</w:t>
      </w:r>
      <w:proofErr w:type="spellEnd"/>
      <w:r w:rsidR="00613F3A">
        <w:t>,</w:t>
      </w:r>
      <w:r w:rsidR="00613F3A" w:rsidRPr="0058796D">
        <w:t xml:space="preserve"> </w:t>
      </w:r>
      <w:proofErr w:type="spellStart"/>
      <w:r w:rsidR="00613F3A">
        <w:t>ДОПОГ</w:t>
      </w:r>
      <w:proofErr w:type="spellEnd"/>
      <w:r w:rsidRPr="0058796D">
        <w:t xml:space="preserve"> и </w:t>
      </w:r>
      <w:proofErr w:type="spellStart"/>
      <w:r w:rsidRPr="0058796D">
        <w:t>ВОПОГ</w:t>
      </w:r>
      <w:proofErr w:type="spellEnd"/>
      <w:r w:rsidRPr="0058796D">
        <w:t>, хотя многие из сторон этих соглашений</w:t>
      </w:r>
      <w:proofErr w:type="gramEnd"/>
      <w:r w:rsidRPr="0058796D">
        <w:t xml:space="preserve"> и не участвовали в их разработке (см. также пункты 73–77 д</w:t>
      </w:r>
      <w:r w:rsidRPr="0058796D">
        <w:t>о</w:t>
      </w:r>
      <w:r w:rsidRPr="0058796D">
        <w:t>клада).</w:t>
      </w:r>
    </w:p>
    <w:p w:rsidR="0058796D" w:rsidRPr="0058796D" w:rsidRDefault="0058796D" w:rsidP="0058796D">
      <w:pPr>
        <w:pStyle w:val="SingleTxtGR"/>
      </w:pPr>
      <w:r w:rsidRPr="0058796D">
        <w:t>8.</w:t>
      </w:r>
      <w:r w:rsidRPr="0058796D">
        <w:tab/>
        <w:t xml:space="preserve">Участие в совещаниях было, как обычно, весьма активным со стороны стран ЕС, Норвегии, Швейцарии, Российской Федерации, Турции, Украины и НПО. В то же время, вероятно из-за финансовых ограничений, на них </w:t>
      </w:r>
      <w:r w:rsidRPr="0058796D">
        <w:br/>
        <w:t>по-прежнему не был представлен ряд стран с переходной экономикой, включая Азербайджан, Албанию, Беларусь, Грузию, Казахстан, бывшую югославскую Республику Македония, Марокко, Молдову и Тунис. Расширение участия этих стран отвечало бы их собственным интересам, так как позволило бы им не только активнее включиться в процесс обновления соответствующих полож</w:t>
      </w:r>
      <w:r w:rsidRPr="0058796D">
        <w:t>е</w:t>
      </w:r>
      <w:r w:rsidRPr="0058796D">
        <w:t>ний, но и обсудить проблемы их осуществления со странами, имеющими более обширный опыт. К сожалению, финансовые и кадровые ресурсы для оказания технической помощи остаются скудными, хотя в 2016 году Отдел устойчивого транспорта смог принять участие в подготовке ЕЭК обзора состояния безопа</w:t>
      </w:r>
      <w:r w:rsidRPr="0058796D">
        <w:t>с</w:t>
      </w:r>
      <w:r w:rsidRPr="0058796D">
        <w:t xml:space="preserve">ности дорожного движения в Грузии, часть которого была посвящена ДОПОГ и вопросам перевозки опасных грузов. </w:t>
      </w:r>
      <w:proofErr w:type="gramStart"/>
      <w:r w:rsidRPr="0058796D">
        <w:t xml:space="preserve">Отдел устойчивого транспорта также участвовал в ряде семинаров, организованных Европейским союзом в контексте проекта </w:t>
      </w:r>
      <w:proofErr w:type="spellStart"/>
      <w:r w:rsidRPr="0058796D">
        <w:t>ЕвроМед</w:t>
      </w:r>
      <w:proofErr w:type="spellEnd"/>
      <w:r w:rsidRPr="0058796D">
        <w:t>, осуществляемого в странах Северной Африки и Ближнего Востока и призванного обеспечить более широкое внедрение правовых док</w:t>
      </w:r>
      <w:r w:rsidRPr="0058796D">
        <w:t>у</w:t>
      </w:r>
      <w:r w:rsidRPr="0058796D">
        <w:t>ментов ЕЭК, касающихся автомобильного транспорта, включая ДОПОГ, и в м</w:t>
      </w:r>
      <w:r w:rsidRPr="0058796D">
        <w:t>е</w:t>
      </w:r>
      <w:r w:rsidRPr="0058796D">
        <w:t>роприятиях, организованных Международным союзом автомобильного тран</w:t>
      </w:r>
      <w:r w:rsidRPr="0058796D">
        <w:t>с</w:t>
      </w:r>
      <w:r w:rsidRPr="0058796D">
        <w:t>порта (МСАТ) с целью продвижения ДОПОГ в странах – членах Лиги арабских государств и в Китае.</w:t>
      </w:r>
      <w:proofErr w:type="gramEnd"/>
      <w:r w:rsidRPr="0058796D">
        <w:t xml:space="preserve"> В 2016 году в рамках проекта </w:t>
      </w:r>
      <w:proofErr w:type="spellStart"/>
      <w:r w:rsidRPr="0058796D">
        <w:t>ЕвроМед</w:t>
      </w:r>
      <w:proofErr w:type="spellEnd"/>
      <w:r w:rsidRPr="0058796D">
        <w:t xml:space="preserve"> также оказыв</w:t>
      </w:r>
      <w:r w:rsidRPr="0058796D">
        <w:t>а</w:t>
      </w:r>
      <w:r w:rsidRPr="0058796D">
        <w:t>лось содействие участию в совещаниях представителей Алжира, Израиля, Ио</w:t>
      </w:r>
      <w:r w:rsidRPr="0058796D">
        <w:t>р</w:t>
      </w:r>
      <w:r w:rsidRPr="0058796D">
        <w:t>дании и Туниса. В 2017 году Отдел устойчивого транспорта также принял уч</w:t>
      </w:r>
      <w:r w:rsidRPr="0058796D">
        <w:t>а</w:t>
      </w:r>
      <w:r w:rsidRPr="0058796D">
        <w:t>стие в мероприятии по презентации новых поправок к ДОПОГ, проводившемся в Российской Федерации, и в конференциях и рабочих совещаниях в Китае и Монголии, где обсуждается возможность присоединения к ДОПОГ.</w:t>
      </w:r>
    </w:p>
    <w:p w:rsidR="0058796D" w:rsidRPr="0058796D" w:rsidRDefault="0058796D" w:rsidP="00681D6C">
      <w:pPr>
        <w:pStyle w:val="H1GR"/>
      </w:pPr>
      <w:r w:rsidRPr="0058796D">
        <w:lastRenderedPageBreak/>
        <w:tab/>
      </w:r>
      <w:proofErr w:type="spellStart"/>
      <w:r w:rsidRPr="0058796D">
        <w:t>II</w:t>
      </w:r>
      <w:proofErr w:type="spellEnd"/>
      <w:r w:rsidRPr="0058796D">
        <w:t>.</w:t>
      </w:r>
      <w:r w:rsidRPr="0058796D">
        <w:tab/>
        <w:t>Направление деятельности 9.b</w:t>
      </w:r>
      <w:r w:rsidRPr="0058796D">
        <w:br/>
        <w:t>Перевозка опасных грузов (ЕЭК ООН)</w:t>
      </w:r>
    </w:p>
    <w:p w:rsidR="0058796D" w:rsidRPr="0058796D" w:rsidRDefault="0058796D" w:rsidP="00681D6C">
      <w:pPr>
        <w:pStyle w:val="H23GR"/>
      </w:pPr>
      <w:r w:rsidRPr="0058796D">
        <w:tab/>
        <w:t>A.</w:t>
      </w:r>
      <w:r w:rsidRPr="0058796D">
        <w:tab/>
        <w:t>Ожидаемое достижение (ОД 9.b)</w:t>
      </w:r>
    </w:p>
    <w:p w:rsidR="0058796D" w:rsidRPr="0058796D" w:rsidRDefault="0058796D" w:rsidP="0058796D">
      <w:pPr>
        <w:pStyle w:val="SingleTxtGR"/>
      </w:pPr>
      <w:r w:rsidRPr="0058796D">
        <w:t>9.</w:t>
      </w:r>
      <w:r w:rsidRPr="0058796D">
        <w:tab/>
        <w:t xml:space="preserve">Принятие </w:t>
      </w:r>
      <w:r w:rsidR="00E84FFE">
        <w:t>«</w:t>
      </w:r>
      <w:r w:rsidRPr="0058796D">
        <w:t>дорожной карты</w:t>
      </w:r>
      <w:r w:rsidR="00E84FFE">
        <w:t>»</w:t>
      </w:r>
      <w:r w:rsidRPr="0058796D">
        <w:t xml:space="preserve"> по созданию административных структур, необходимых для применения ДОПОГ. Разработка на основе этой дорожной карты рекомендаций и/или руководящих принципов.</w:t>
      </w:r>
    </w:p>
    <w:p w:rsidR="0058796D" w:rsidRPr="0058796D" w:rsidRDefault="0058796D" w:rsidP="00FD7BEA">
      <w:pPr>
        <w:pStyle w:val="H1GR"/>
      </w:pPr>
      <w:r w:rsidRPr="0058796D">
        <w:tab/>
        <w:t>B.</w:t>
      </w:r>
      <w:r w:rsidRPr="0058796D">
        <w:tab/>
        <w:t>Показатели достижения</w:t>
      </w:r>
    </w:p>
    <w:p w:rsidR="0058796D" w:rsidRPr="00FD7BEA" w:rsidRDefault="00724658" w:rsidP="00724658">
      <w:pPr>
        <w:pStyle w:val="H4GR"/>
      </w:pPr>
      <w:r>
        <w:tab/>
      </w:r>
      <w:r>
        <w:tab/>
      </w:r>
      <w:r w:rsidR="0058796D" w:rsidRPr="00FD7BEA">
        <w:t>Принятие дорожной карты и разработка рекомендаций/руководящих принципов (</w:t>
      </w:r>
      <w:proofErr w:type="spellStart"/>
      <w:r w:rsidR="0058796D" w:rsidRPr="00FD7BEA">
        <w:t>ПД</w:t>
      </w:r>
      <w:proofErr w:type="spellEnd"/>
      <w:r w:rsidR="0058796D" w:rsidRPr="00FD7BEA">
        <w:t xml:space="preserve"> 9.b)</w:t>
      </w:r>
    </w:p>
    <w:p w:rsidR="0058796D" w:rsidRPr="00FD7BEA" w:rsidRDefault="00724658" w:rsidP="00724658">
      <w:pPr>
        <w:pStyle w:val="H4GR"/>
      </w:pPr>
      <w:r>
        <w:tab/>
      </w:r>
      <w:r>
        <w:tab/>
      </w:r>
      <w:r w:rsidR="0058796D" w:rsidRPr="00FD7BEA">
        <w:t>Показатели результативности:</w:t>
      </w:r>
    </w:p>
    <w:p w:rsidR="0058796D" w:rsidRPr="0058796D" w:rsidRDefault="0058796D" w:rsidP="0058796D">
      <w:pPr>
        <w:pStyle w:val="SingleTxtGR"/>
        <w:rPr>
          <w:b/>
        </w:rPr>
      </w:pPr>
      <w:r w:rsidRPr="0058796D">
        <w:t xml:space="preserve">Целевые показатели </w:t>
      </w:r>
      <w:r w:rsidR="0057543C">
        <w:t>на 2016–2017 годы: не применимо</w:t>
      </w:r>
    </w:p>
    <w:p w:rsidR="0058796D" w:rsidRPr="0058796D" w:rsidRDefault="0058796D" w:rsidP="00226F68">
      <w:pPr>
        <w:pStyle w:val="H1GR"/>
      </w:pPr>
      <w:r w:rsidRPr="0058796D">
        <w:tab/>
      </w:r>
      <w:proofErr w:type="spellStart"/>
      <w:r w:rsidRPr="0058796D">
        <w:t>III</w:t>
      </w:r>
      <w:proofErr w:type="spellEnd"/>
      <w:r w:rsidRPr="0058796D">
        <w:t>.</w:t>
      </w:r>
      <w:r w:rsidRPr="0058796D">
        <w:tab/>
        <w:t>Направление деятельности 9.</w:t>
      </w:r>
      <w:proofErr w:type="gramStart"/>
      <w:r w:rsidRPr="0058796D">
        <w:t>с</w:t>
      </w:r>
      <w:proofErr w:type="gramEnd"/>
      <w:r w:rsidRPr="0058796D">
        <w:br/>
      </w:r>
      <w:proofErr w:type="gramStart"/>
      <w:r w:rsidRPr="0058796D">
        <w:t>Перевозка</w:t>
      </w:r>
      <w:proofErr w:type="gramEnd"/>
      <w:r w:rsidRPr="0058796D">
        <w:t xml:space="preserve"> опасных грузов (ЕЭК ООН)</w:t>
      </w:r>
    </w:p>
    <w:p w:rsidR="0058796D" w:rsidRPr="0058796D" w:rsidRDefault="0058796D" w:rsidP="00226F68">
      <w:pPr>
        <w:pStyle w:val="H23GR"/>
      </w:pPr>
      <w:r w:rsidRPr="0058796D">
        <w:tab/>
        <w:t>A.</w:t>
      </w:r>
      <w:r w:rsidRPr="0058796D">
        <w:tab/>
        <w:t>Ожидаемое достижение (ОД 9.с)</w:t>
      </w:r>
    </w:p>
    <w:p w:rsidR="0058796D" w:rsidRPr="0058796D" w:rsidRDefault="0058796D" w:rsidP="0058796D">
      <w:pPr>
        <w:pStyle w:val="SingleTxtGR"/>
      </w:pPr>
      <w:r w:rsidRPr="0058796D">
        <w:t>10.</w:t>
      </w:r>
      <w:r w:rsidRPr="0058796D">
        <w:tab/>
        <w:t>Последующая деятельность в контексте реализации дорожной карты по вопросам присоединения к ДОПОГ и его применения (ECE/TRANS/238) для новых и существующих Договаривающихся сторон ДОПОГ.</w:t>
      </w:r>
    </w:p>
    <w:p w:rsidR="0058796D" w:rsidRPr="0058796D" w:rsidRDefault="0058796D" w:rsidP="00226F68">
      <w:pPr>
        <w:pStyle w:val="H23GR"/>
      </w:pPr>
      <w:r w:rsidRPr="0058796D">
        <w:tab/>
        <w:t>B.</w:t>
      </w:r>
      <w:r w:rsidRPr="0058796D">
        <w:tab/>
        <w:t>Показатели достижения</w:t>
      </w:r>
    </w:p>
    <w:p w:rsidR="0058796D" w:rsidRPr="0058796D" w:rsidRDefault="00724658" w:rsidP="00724658">
      <w:pPr>
        <w:pStyle w:val="H4GR"/>
      </w:pPr>
      <w:r>
        <w:tab/>
      </w:r>
      <w:r>
        <w:tab/>
      </w:r>
      <w:r w:rsidR="0058796D" w:rsidRPr="0058796D">
        <w:t>Завершение подготовки и размещение на веб-сайте ЕЭК информации, касающейся стран, являющихся Догов</w:t>
      </w:r>
      <w:r w:rsidR="00FD7BEA">
        <w:t>аривающимися сторонами ДОПОГ, и</w:t>
      </w:r>
      <w:r>
        <w:t> </w:t>
      </w:r>
      <w:r w:rsidR="0058796D" w:rsidRPr="0058796D">
        <w:t>информации, подлежащей обязательному представлению (информация о</w:t>
      </w:r>
      <w:r>
        <w:t> </w:t>
      </w:r>
      <w:proofErr w:type="gramStart"/>
      <w:r w:rsidR="0058796D" w:rsidRPr="0058796D">
        <w:t>свидетельствах</w:t>
      </w:r>
      <w:proofErr w:type="gramEnd"/>
      <w:r w:rsidR="0058796D" w:rsidRPr="0058796D">
        <w:t xml:space="preserve"> о подготовке водителей и информация, указанная в</w:t>
      </w:r>
      <w:r>
        <w:t> </w:t>
      </w:r>
      <w:r w:rsidR="0058796D" w:rsidRPr="0058796D">
        <w:t>приложении I к дорожной карте) (</w:t>
      </w:r>
      <w:proofErr w:type="spellStart"/>
      <w:r w:rsidR="0058796D" w:rsidRPr="0058796D">
        <w:t>ПД</w:t>
      </w:r>
      <w:proofErr w:type="spellEnd"/>
      <w:r w:rsidR="0058796D" w:rsidRPr="0058796D">
        <w:t xml:space="preserve"> 9.c)</w:t>
      </w:r>
    </w:p>
    <w:p w:rsidR="0058796D" w:rsidRPr="0058796D" w:rsidRDefault="00BE34FC" w:rsidP="00BE34FC">
      <w:pPr>
        <w:pStyle w:val="H4GR"/>
      </w:pPr>
      <w:r>
        <w:tab/>
      </w:r>
      <w:r>
        <w:tab/>
      </w:r>
      <w:r w:rsidR="0058796D" w:rsidRPr="0058796D">
        <w:t>Показатели результативности:</w:t>
      </w:r>
    </w:p>
    <w:p w:rsidR="0058796D" w:rsidRPr="0058796D" w:rsidRDefault="0058796D" w:rsidP="0058796D">
      <w:pPr>
        <w:pStyle w:val="SingleTxtGR"/>
      </w:pPr>
      <w:r w:rsidRPr="0058796D">
        <w:t>Целевые показатели на 2016−2017 годы: нал</w:t>
      </w:r>
      <w:r w:rsidR="000023E0">
        <w:t>ичие и обновление информации по</w:t>
      </w:r>
      <w:r w:rsidR="000023E0">
        <w:rPr>
          <w:lang w:val="en-US"/>
        </w:rPr>
        <w:t> </w:t>
      </w:r>
      <w:r w:rsidRPr="0058796D">
        <w:t>75</w:t>
      </w:r>
      <w:r w:rsidR="00BE34FC">
        <w:t xml:space="preserve">% Договаривающихся сторон </w:t>
      </w:r>
      <w:proofErr w:type="spellStart"/>
      <w:r w:rsidR="00BE34FC">
        <w:t>ДОПОГ</w:t>
      </w:r>
      <w:proofErr w:type="spellEnd"/>
    </w:p>
    <w:p w:rsidR="0058796D" w:rsidRPr="0058796D" w:rsidRDefault="0058796D" w:rsidP="0058796D">
      <w:pPr>
        <w:pStyle w:val="SingleTxtGR"/>
        <w:rPr>
          <w:b/>
        </w:rPr>
      </w:pPr>
      <w:r w:rsidRPr="0058796D">
        <w:rPr>
          <w:b/>
        </w:rPr>
        <w:t>Фактические показатели за 2016−2</w:t>
      </w:r>
      <w:r w:rsidR="000023E0">
        <w:rPr>
          <w:b/>
        </w:rPr>
        <w:t>017 годы: наличие информации по</w:t>
      </w:r>
      <w:r w:rsidR="000023E0">
        <w:rPr>
          <w:b/>
          <w:lang w:val="en-US"/>
        </w:rPr>
        <w:t> </w:t>
      </w:r>
      <w:r w:rsidRPr="0058796D">
        <w:rPr>
          <w:b/>
        </w:rPr>
        <w:t xml:space="preserve">75% Договаривающихся сторон </w:t>
      </w:r>
      <w:proofErr w:type="spellStart"/>
      <w:r w:rsidRPr="0058796D">
        <w:rPr>
          <w:b/>
        </w:rPr>
        <w:t>ДОП</w:t>
      </w:r>
      <w:r w:rsidR="00BE34FC">
        <w:rPr>
          <w:b/>
        </w:rPr>
        <w:t>ОГ</w:t>
      </w:r>
      <w:proofErr w:type="spellEnd"/>
    </w:p>
    <w:p w:rsidR="0058796D" w:rsidRPr="0058796D" w:rsidRDefault="0058796D" w:rsidP="00226F68">
      <w:pPr>
        <w:pStyle w:val="H23GR"/>
      </w:pPr>
      <w:r w:rsidRPr="0058796D">
        <w:tab/>
        <w:t>C.</w:t>
      </w:r>
      <w:r w:rsidRPr="0058796D">
        <w:tab/>
        <w:t>Оценка результативности</w:t>
      </w:r>
    </w:p>
    <w:p w:rsidR="0058796D" w:rsidRPr="0058796D" w:rsidRDefault="0058796D" w:rsidP="0058796D">
      <w:pPr>
        <w:pStyle w:val="SingleTxtGR"/>
      </w:pPr>
      <w:r w:rsidRPr="0058796D">
        <w:t>11.</w:t>
      </w:r>
      <w:r w:rsidRPr="0058796D">
        <w:tab/>
        <w:t>С присоединением Грузии 19 сентября 2016 года число Договаривающи</w:t>
      </w:r>
      <w:r w:rsidRPr="0058796D">
        <w:t>х</w:t>
      </w:r>
      <w:r w:rsidRPr="0058796D">
        <w:t xml:space="preserve">ся сторон ДОПОГ составляет 49. </w:t>
      </w:r>
    </w:p>
    <w:p w:rsidR="0058796D" w:rsidRPr="0058796D" w:rsidRDefault="0058796D" w:rsidP="0058796D">
      <w:pPr>
        <w:pStyle w:val="SingleTxtGR"/>
      </w:pPr>
      <w:r w:rsidRPr="0058796D">
        <w:t>12.</w:t>
      </w:r>
      <w:r w:rsidRPr="0058796D">
        <w:tab/>
        <w:t>На странице «Информация по странам»</w:t>
      </w:r>
      <w:r w:rsidRPr="0058796D">
        <w:rPr>
          <w:rStyle w:val="aa"/>
        </w:rPr>
        <w:footnoteReference w:id="4"/>
      </w:r>
      <w:r w:rsidRPr="0058796D">
        <w:t xml:space="preserve"> веб-сайта ЕЭК указаны адреса органов и назначенных ими организаций, обладающих компетенцией согласно внутригосударственному законодательству в вопросах применения ДОПОГ. Секретариат обновляет содержание этой страницы в соответствии с информ</w:t>
      </w:r>
      <w:r w:rsidRPr="0058796D">
        <w:t>а</w:t>
      </w:r>
      <w:r w:rsidRPr="0058796D">
        <w:t xml:space="preserve">цией, поступающей от Договаривающихся сторон. Информация по 35 странам является подробной и обновляется. </w:t>
      </w:r>
      <w:proofErr w:type="gramStart"/>
      <w:r w:rsidRPr="0058796D">
        <w:t>В случае еще 11 стран (Азербайджана, А</w:t>
      </w:r>
      <w:r w:rsidRPr="0058796D">
        <w:t>л</w:t>
      </w:r>
      <w:r w:rsidRPr="0058796D">
        <w:t>бании, Андорры, Беларуси, Исландии, Казахстана, Кипра, Лихтенштейна, М</w:t>
      </w:r>
      <w:r w:rsidRPr="0058796D">
        <w:t>а</w:t>
      </w:r>
      <w:r w:rsidRPr="0058796D">
        <w:t>рокко, Черногории и Эстонии) указаны контактные данные основного комп</w:t>
      </w:r>
      <w:r w:rsidRPr="0058796D">
        <w:t>е</w:t>
      </w:r>
      <w:r w:rsidRPr="0058796D">
        <w:t>тентного органа.</w:t>
      </w:r>
      <w:proofErr w:type="gramEnd"/>
      <w:r w:rsidRPr="0058796D">
        <w:t xml:space="preserve"> По двум из стран (Грузия и Таджикистан) информация отсу</w:t>
      </w:r>
      <w:r w:rsidRPr="0058796D">
        <w:t>т</w:t>
      </w:r>
      <w:r w:rsidRPr="0058796D">
        <w:t xml:space="preserve">ствует. </w:t>
      </w:r>
    </w:p>
    <w:p w:rsidR="0058796D" w:rsidRPr="0058796D" w:rsidRDefault="0058796D" w:rsidP="0058796D">
      <w:pPr>
        <w:pStyle w:val="SingleTxtGR"/>
      </w:pPr>
      <w:r w:rsidRPr="0058796D">
        <w:lastRenderedPageBreak/>
        <w:t>13.</w:t>
      </w:r>
      <w:r w:rsidRPr="0058796D">
        <w:tab/>
        <w:t>На странице «Свидетельства ДОПОГ о подготовке водителей»</w:t>
      </w:r>
      <w:r w:rsidRPr="0058796D">
        <w:rPr>
          <w:rStyle w:val="aa"/>
        </w:rPr>
        <w:footnoteReference w:id="5"/>
      </w:r>
      <w:r w:rsidRPr="0058796D">
        <w:t xml:space="preserve"> содержа</w:t>
      </w:r>
      <w:r w:rsidRPr="0058796D">
        <w:t>т</w:t>
      </w:r>
      <w:r w:rsidRPr="0058796D">
        <w:t>ся образцы свидетельств ДОПОГ о подготовке водителей, выдаваемых в соо</w:t>
      </w:r>
      <w:r w:rsidRPr="0058796D">
        <w:t>т</w:t>
      </w:r>
      <w:r w:rsidRPr="0058796D">
        <w:t>ветствии с пунктом 8.2.2.8.5 ДОПОГ. Образцы своих свидетель</w:t>
      </w:r>
      <w:proofErr w:type="gramStart"/>
      <w:r w:rsidRPr="0058796D">
        <w:t>ств пр</w:t>
      </w:r>
      <w:proofErr w:type="gramEnd"/>
      <w:r w:rsidRPr="0058796D">
        <w:t>едставили 35 стран. Информация о том, выдаются ли эти свидетельства в остальных стр</w:t>
      </w:r>
      <w:r w:rsidRPr="0058796D">
        <w:t>а</w:t>
      </w:r>
      <w:r w:rsidRPr="0058796D">
        <w:t>нах, отсутствует.</w:t>
      </w:r>
    </w:p>
    <w:p w:rsidR="0058796D" w:rsidRPr="0058796D" w:rsidRDefault="0058796D" w:rsidP="0058796D">
      <w:pPr>
        <w:pStyle w:val="SingleTxtGR"/>
      </w:pPr>
      <w:r w:rsidRPr="0058796D">
        <w:t>14.</w:t>
      </w:r>
      <w:r w:rsidRPr="0058796D">
        <w:tab/>
        <w:t>На странице «Языковые версии (ДОПОГ, инструкции в письменной фо</w:t>
      </w:r>
      <w:r w:rsidRPr="0058796D">
        <w:t>р</w:t>
      </w:r>
      <w:r w:rsidRPr="0058796D">
        <w:t>ме)»</w:t>
      </w:r>
      <w:r w:rsidRPr="0058796D">
        <w:rPr>
          <w:rStyle w:val="aa"/>
        </w:rPr>
        <w:footnoteReference w:id="6"/>
      </w:r>
      <w:r w:rsidRPr="0058796D">
        <w:t xml:space="preserve"> приведены официальные переводы письменных инструкций – в соотве</w:t>
      </w:r>
      <w:r w:rsidRPr="0058796D">
        <w:t>т</w:t>
      </w:r>
      <w:r w:rsidRPr="0058796D">
        <w:t>ствии с пунктом 5.4.3.4 ДОПОГ, – направляемых компетентными органами. На случай чрезвычайной ситуации, которая может возникнуть в результате ав</w:t>
      </w:r>
      <w:r w:rsidRPr="0058796D">
        <w:t>а</w:t>
      </w:r>
      <w:r w:rsidRPr="0058796D">
        <w:t>рии во время перевозки, эти инструкции должны быть предоставлены членам экипажа транспортного средства на язык</w:t>
      </w:r>
      <w:proofErr w:type="gramStart"/>
      <w:r w:rsidRPr="0058796D">
        <w:t>е(</w:t>
      </w:r>
      <w:proofErr w:type="gramEnd"/>
      <w:r w:rsidRPr="0058796D">
        <w:t>ах), на котором(</w:t>
      </w:r>
      <w:proofErr w:type="spellStart"/>
      <w:r w:rsidRPr="0058796D">
        <w:t>ых</w:t>
      </w:r>
      <w:proofErr w:type="spellEnd"/>
      <w:r w:rsidRPr="0058796D">
        <w:t>) каждый член экипажа может читать и который(е) он понимает. В случае 12 стран (Албании, Азербайджана, Андорры, бывшей югославской Республики Македония, Грузии, Исландии, Мальты, Марокко, Таджикистана, Туниса, Хорватии и Черногории) переводы на официальны</w:t>
      </w:r>
      <w:proofErr w:type="gramStart"/>
      <w:r w:rsidRPr="0058796D">
        <w:t>й(</w:t>
      </w:r>
      <w:proofErr w:type="spellStart"/>
      <w:proofErr w:type="gramEnd"/>
      <w:r w:rsidRPr="0058796D">
        <w:t>ые</w:t>
      </w:r>
      <w:proofErr w:type="spellEnd"/>
      <w:r w:rsidRPr="0058796D">
        <w:t>) язык(и) этих стран на веб-сайте отсутствуют. Доступны могут быть также варианты на других основных неофициальных языках, используемых в той или иной стране. В случае остальных стран с те</w:t>
      </w:r>
      <w:r w:rsidRPr="0058796D">
        <w:t>к</w:t>
      </w:r>
      <w:r w:rsidRPr="0058796D">
        <w:t>стами соответствующих документов можно ознакомиться не менее чем на о</w:t>
      </w:r>
      <w:r w:rsidRPr="0058796D">
        <w:t>д</w:t>
      </w:r>
      <w:r w:rsidRPr="0058796D">
        <w:t>ном официальном языке.</w:t>
      </w:r>
    </w:p>
    <w:p w:rsidR="0058796D" w:rsidRPr="0058796D" w:rsidRDefault="0058796D" w:rsidP="0058796D">
      <w:pPr>
        <w:pStyle w:val="SingleTxtGR"/>
      </w:pPr>
      <w:r w:rsidRPr="0058796D">
        <w:t>15.</w:t>
      </w:r>
      <w:r w:rsidRPr="0058796D">
        <w:tab/>
        <w:t>Страница «Многосторонние соглашения»</w:t>
      </w:r>
      <w:r w:rsidRPr="0058796D">
        <w:rPr>
          <w:rStyle w:val="aa"/>
        </w:rPr>
        <w:footnoteReference w:id="7"/>
      </w:r>
      <w:r w:rsidRPr="0058796D">
        <w:t xml:space="preserve"> содержит перечень действу</w:t>
      </w:r>
      <w:r w:rsidRPr="0058796D">
        <w:t>ю</w:t>
      </w:r>
      <w:r w:rsidRPr="0058796D">
        <w:t>щих двусторонних и многосторонних соглашений, заключенных в соответствии с разделом 1.5.1 ДОПОГ. Секретариат еженедельно обновляет содержание этой страницы в соответствии с информацией, поступающей от компетентных орг</w:t>
      </w:r>
      <w:r w:rsidRPr="0058796D">
        <w:t>а</w:t>
      </w:r>
      <w:r w:rsidRPr="0058796D">
        <w:t>нов ДОПОГ. Информация, приведенная на этой странице, считается полной.</w:t>
      </w:r>
    </w:p>
    <w:p w:rsidR="0058796D" w:rsidRPr="0058796D" w:rsidRDefault="0058796D" w:rsidP="0058796D">
      <w:pPr>
        <w:pStyle w:val="SingleTxtGR"/>
      </w:pPr>
      <w:r w:rsidRPr="0058796D">
        <w:t>16.</w:t>
      </w:r>
      <w:r w:rsidRPr="0058796D">
        <w:tab/>
        <w:t>На странице «Отчеты о происшествиях»</w:t>
      </w:r>
      <w:r w:rsidRPr="0058796D">
        <w:rPr>
          <w:rStyle w:val="aa"/>
        </w:rPr>
        <w:footnoteReference w:id="8"/>
      </w:r>
      <w:r w:rsidRPr="0058796D">
        <w:t xml:space="preserve"> размещены отчеты о серьезных авариях или инцидентах, переданные Договаривающимися сторонами в соо</w:t>
      </w:r>
      <w:r w:rsidRPr="0058796D">
        <w:t>т</w:t>
      </w:r>
      <w:r w:rsidRPr="0058796D">
        <w:t>ветствии с пунктом 1.8.5.2 ДОПОГ. С 2004 года отчеты, поступающие от Дог</w:t>
      </w:r>
      <w:r w:rsidRPr="0058796D">
        <w:t>о</w:t>
      </w:r>
      <w:r w:rsidRPr="0058796D">
        <w:t>варивающихся сторон, публикуются на веб-сайте ЕЭК, но только с согласия направивших их компетентных органов, поскольку некоторые отчеты могут с</w:t>
      </w:r>
      <w:r w:rsidRPr="0058796D">
        <w:t>о</w:t>
      </w:r>
      <w:r w:rsidRPr="0058796D">
        <w:t>держать конфиденциальную информацию.</w:t>
      </w:r>
    </w:p>
    <w:p w:rsidR="0058796D" w:rsidRPr="0058796D" w:rsidRDefault="0058796D" w:rsidP="00226F68">
      <w:pPr>
        <w:pStyle w:val="H23GR"/>
      </w:pPr>
      <w:r w:rsidRPr="0058796D">
        <w:tab/>
        <w:t>D.</w:t>
      </w:r>
      <w:r w:rsidRPr="0058796D">
        <w:tab/>
        <w:t>Извлеченные уроки/области, в которых необходимы улучшения</w:t>
      </w:r>
    </w:p>
    <w:p w:rsidR="0058796D" w:rsidRPr="0058796D" w:rsidRDefault="0058796D" w:rsidP="0058796D">
      <w:pPr>
        <w:pStyle w:val="SingleTxtGR"/>
      </w:pPr>
      <w:r w:rsidRPr="0058796D">
        <w:t>17.</w:t>
      </w:r>
      <w:r w:rsidRPr="0058796D">
        <w:tab/>
        <w:t xml:space="preserve">На своей </w:t>
      </w:r>
      <w:r w:rsidRPr="0058796D">
        <w:rPr>
          <w:bCs/>
        </w:rPr>
        <w:t>103-й</w:t>
      </w:r>
      <w:r w:rsidRPr="0058796D">
        <w:t xml:space="preserve"> сессии Рабочая группа сделала вывод о том, что она ра</w:t>
      </w:r>
      <w:r w:rsidRPr="0058796D">
        <w:t>с</w:t>
      </w:r>
      <w:r w:rsidRPr="0058796D">
        <w:t>полагает более 75% информации. Страны, которые указали только контактные данные основного компетентного органа, могли бы представить более подро</w:t>
      </w:r>
      <w:r w:rsidRPr="0058796D">
        <w:t>б</w:t>
      </w:r>
      <w:r w:rsidRPr="0058796D">
        <w:t>ные сведения. Рабочая группа отметила, что для облегчения взаимодействия между Договаривающимися сторонами было бы п</w:t>
      </w:r>
      <w:r w:rsidR="00FD7BEA">
        <w:t>олезно указать, по</w:t>
      </w:r>
      <w:r w:rsidR="00FD7BEA" w:rsidRPr="00FD7BEA">
        <w:t xml:space="preserve"> </w:t>
      </w:r>
      <w:r w:rsidRPr="0058796D">
        <w:t>крайней мере, адрес электронной почты. Странам, не указавшим эти данные, предлаг</w:t>
      </w:r>
      <w:r w:rsidRPr="0058796D">
        <w:t>а</w:t>
      </w:r>
      <w:r w:rsidRPr="0058796D">
        <w:t>ется сообщить секретариату ЕЭК адреса органов и назначенных ими организ</w:t>
      </w:r>
      <w:r w:rsidRPr="0058796D">
        <w:t>а</w:t>
      </w:r>
      <w:r w:rsidRPr="0058796D">
        <w:t>ций, обладающих компетенцией, согласно внутригосударственному законод</w:t>
      </w:r>
      <w:r w:rsidRPr="0058796D">
        <w:t>а</w:t>
      </w:r>
      <w:r w:rsidRPr="0058796D">
        <w:t>тельству, в вопросах применения ДОПОГ, со ссылкой в каждом случае на соо</w:t>
      </w:r>
      <w:r w:rsidRPr="0058796D">
        <w:t>т</w:t>
      </w:r>
      <w:r w:rsidRPr="0058796D">
        <w:t>ветствующее положение ДОПОГ, а также адреса, по которым следует напра</w:t>
      </w:r>
      <w:r w:rsidRPr="0058796D">
        <w:t>в</w:t>
      </w:r>
      <w:r w:rsidRPr="0058796D">
        <w:t>лять соответствующие заявки. В надлежащих случаях странам предлагается подтвердить, что компетенцией в отношении всех требований ДОПОГ обладает только основной компетентный орган.</w:t>
      </w:r>
    </w:p>
    <w:p w:rsidR="0058796D" w:rsidRPr="0058796D" w:rsidRDefault="0058796D" w:rsidP="0058796D">
      <w:pPr>
        <w:pStyle w:val="SingleTxtGR"/>
      </w:pPr>
      <w:r w:rsidRPr="0058796D">
        <w:t>18.</w:t>
      </w:r>
      <w:r w:rsidRPr="0058796D">
        <w:tab/>
        <w:t>Рабочая группа также предложила странам, не предоставившим образцы выдаваемых ими свидетельств ДОПОГ о подготовке водителей, сделать это или, в соответствующих случаях, подтвердить, что они не осуществляют выд</w:t>
      </w:r>
      <w:r w:rsidRPr="0058796D">
        <w:t>а</w:t>
      </w:r>
      <w:r w:rsidRPr="0058796D">
        <w:t>чу таких свидетельств. Рабочая группа просила секретариат направить указа</w:t>
      </w:r>
      <w:r w:rsidRPr="0058796D">
        <w:t>н</w:t>
      </w:r>
      <w:r w:rsidRPr="0058796D">
        <w:t>ным странам официальный запрос на этот счет.</w:t>
      </w:r>
    </w:p>
    <w:p w:rsidR="0058796D" w:rsidRPr="0058796D" w:rsidRDefault="0058796D" w:rsidP="00392661">
      <w:pPr>
        <w:pStyle w:val="HChGR"/>
        <w:spacing w:before="120"/>
      </w:pPr>
      <w:r w:rsidRPr="0058796D">
        <w:br w:type="page"/>
      </w:r>
      <w:r w:rsidRPr="0058796D">
        <w:lastRenderedPageBreak/>
        <w:t xml:space="preserve">Приложение </w:t>
      </w:r>
      <w:proofErr w:type="spellStart"/>
      <w:r w:rsidRPr="0058796D">
        <w:t>III</w:t>
      </w:r>
      <w:proofErr w:type="spellEnd"/>
    </w:p>
    <w:p w:rsidR="0058796D" w:rsidRPr="0058796D" w:rsidRDefault="0058796D" w:rsidP="00392661">
      <w:pPr>
        <w:pStyle w:val="HChGR"/>
      </w:pPr>
      <w:r w:rsidRPr="0058796D">
        <w:tab/>
      </w:r>
      <w:r w:rsidRPr="0058796D">
        <w:tab/>
        <w:t>План двухгодичной оценки</w:t>
      </w:r>
    </w:p>
    <w:p w:rsidR="0058796D" w:rsidRPr="0058796D" w:rsidRDefault="0058796D" w:rsidP="0058796D">
      <w:pPr>
        <w:pStyle w:val="SingleTxtGR"/>
      </w:pPr>
      <w:proofErr w:type="gramStart"/>
      <w:r w:rsidRPr="0058796D">
        <w:rPr>
          <w:i/>
          <w:iCs/>
        </w:rPr>
        <w:t>(Справочный документ:</w:t>
      </w:r>
      <w:proofErr w:type="gramEnd"/>
      <w:r w:rsidRPr="0058796D">
        <w:rPr>
          <w:i/>
          <w:iCs/>
        </w:rPr>
        <w:t xml:space="preserve"> </w:t>
      </w:r>
      <w:r w:rsidRPr="0058796D">
        <w:rPr>
          <w:i/>
          <w:lang w:val="fr-FR"/>
        </w:rPr>
        <w:t>ECE</w:t>
      </w:r>
      <w:r w:rsidRPr="0058796D">
        <w:rPr>
          <w:i/>
        </w:rPr>
        <w:t>/</w:t>
      </w:r>
      <w:r w:rsidRPr="0058796D">
        <w:rPr>
          <w:i/>
          <w:lang w:val="fr-FR"/>
        </w:rPr>
        <w:t>TRANS</w:t>
      </w:r>
      <w:r w:rsidRPr="0058796D">
        <w:rPr>
          <w:i/>
        </w:rPr>
        <w:t>/</w:t>
      </w:r>
      <w:r w:rsidRPr="0058796D">
        <w:rPr>
          <w:i/>
          <w:lang w:val="fr-FR"/>
        </w:rPr>
        <w:t>WP</w:t>
      </w:r>
      <w:r w:rsidRPr="0058796D">
        <w:rPr>
          <w:i/>
        </w:rPr>
        <w:t>.15/2017/22)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3005"/>
        <w:gridCol w:w="3095"/>
        <w:gridCol w:w="3537"/>
      </w:tblGrid>
      <w:tr w:rsidR="0058796D" w:rsidRPr="008D476A" w:rsidTr="00DA266B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bottom w:val="single" w:sz="4" w:space="0" w:color="auto"/>
            </w:tcBorders>
          </w:tcPr>
          <w:p w:rsidR="0058796D" w:rsidRPr="008D476A" w:rsidRDefault="0058796D" w:rsidP="00392661">
            <w:pPr>
              <w:rPr>
                <w:sz w:val="16"/>
                <w:szCs w:val="16"/>
              </w:rPr>
            </w:pPr>
            <w:r w:rsidRPr="008D476A">
              <w:rPr>
                <w:i/>
                <w:iCs/>
                <w:sz w:val="16"/>
                <w:szCs w:val="16"/>
              </w:rPr>
              <w:t>Цель Организации:</w:t>
            </w:r>
            <w:r w:rsidRPr="008D476A">
              <w:rPr>
                <w:sz w:val="16"/>
                <w:szCs w:val="16"/>
              </w:rPr>
              <w:t xml:space="preserve"> </w:t>
            </w:r>
            <w:proofErr w:type="gramStart"/>
            <w:r w:rsidRPr="008D476A">
              <w:rPr>
                <w:sz w:val="16"/>
                <w:szCs w:val="16"/>
              </w:rPr>
              <w:t>содействие</w:t>
            </w:r>
            <w:proofErr w:type="gramEnd"/>
            <w:r w:rsidRPr="008D476A">
              <w:rPr>
                <w:sz w:val="16"/>
                <w:szCs w:val="16"/>
              </w:rPr>
              <w:t xml:space="preserve"> развитию устойчивой системы внутренних перевозок, включая грузовые и пассажирские </w:t>
            </w:r>
            <w:r w:rsidR="008D476A">
              <w:rPr>
                <w:sz w:val="16"/>
                <w:szCs w:val="16"/>
              </w:rPr>
              <w:br/>
            </w:r>
            <w:r w:rsidRPr="008D476A">
              <w:rPr>
                <w:sz w:val="16"/>
                <w:szCs w:val="16"/>
              </w:rPr>
              <w:t xml:space="preserve">перевозки, в целях обеспечения ее безопасности, чистоты и конкурентоспособности </w:t>
            </w:r>
          </w:p>
        </w:tc>
      </w:tr>
      <w:tr w:rsidR="0058796D" w:rsidRPr="00392661" w:rsidTr="00DA266B">
        <w:trPr>
          <w:tblHeader/>
        </w:trPr>
        <w:tc>
          <w:tcPr>
            <w:tcW w:w="30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796D" w:rsidRPr="00392661" w:rsidRDefault="0058796D" w:rsidP="00392661">
            <w:pPr>
              <w:spacing w:before="80" w:after="80" w:line="200" w:lineRule="exact"/>
              <w:rPr>
                <w:i/>
                <w:sz w:val="16"/>
              </w:rPr>
            </w:pPr>
            <w:r w:rsidRPr="00392661">
              <w:rPr>
                <w:i/>
                <w:sz w:val="16"/>
              </w:rPr>
              <w:t>Ожидаемые достижения</w:t>
            </w:r>
            <w:r w:rsidRPr="00392661">
              <w:rPr>
                <w:i/>
                <w:sz w:val="16"/>
              </w:rPr>
              <w:br/>
            </w:r>
            <w:r w:rsidR="008D476A" w:rsidRPr="00392661">
              <w:rPr>
                <w:i/>
                <w:sz w:val="16"/>
              </w:rPr>
              <w:t>секретариата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796D" w:rsidRPr="00392661" w:rsidRDefault="0058796D" w:rsidP="00392661">
            <w:pPr>
              <w:spacing w:before="80" w:after="80" w:line="200" w:lineRule="exact"/>
              <w:rPr>
                <w:i/>
                <w:sz w:val="16"/>
              </w:rPr>
            </w:pPr>
            <w:r w:rsidRPr="00392661">
              <w:rPr>
                <w:i/>
                <w:sz w:val="16"/>
              </w:rPr>
              <w:t>Показатели достижения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796D" w:rsidRPr="00392661" w:rsidRDefault="0058796D" w:rsidP="00392661">
            <w:pPr>
              <w:spacing w:before="80" w:after="80" w:line="200" w:lineRule="exact"/>
              <w:rPr>
                <w:i/>
                <w:sz w:val="16"/>
              </w:rPr>
            </w:pPr>
            <w:r w:rsidRPr="00392661">
              <w:rPr>
                <w:i/>
                <w:sz w:val="16"/>
              </w:rPr>
              <w:t xml:space="preserve">Ожидаемые достижения и показатели </w:t>
            </w:r>
            <w:r w:rsidR="00DA266B" w:rsidRPr="00DA266B">
              <w:rPr>
                <w:i/>
                <w:sz w:val="16"/>
              </w:rPr>
              <w:br/>
            </w:r>
            <w:r w:rsidRPr="00392661">
              <w:rPr>
                <w:i/>
                <w:sz w:val="16"/>
              </w:rPr>
              <w:t xml:space="preserve">достижения для двухгодичной оценки </w:t>
            </w:r>
            <w:r w:rsidRPr="00392661">
              <w:rPr>
                <w:i/>
                <w:sz w:val="16"/>
              </w:rPr>
              <w:br/>
              <w:t>за 2018−2019 годы</w:t>
            </w:r>
          </w:p>
        </w:tc>
      </w:tr>
      <w:tr w:rsidR="0058796D" w:rsidRPr="00392661" w:rsidTr="00734374">
        <w:tc>
          <w:tcPr>
            <w:tcW w:w="3005" w:type="dxa"/>
            <w:vMerge w:val="restart"/>
            <w:tcBorders>
              <w:top w:val="single" w:sz="12" w:space="0" w:color="auto"/>
            </w:tcBorders>
          </w:tcPr>
          <w:p w:rsidR="0058796D" w:rsidRPr="00392661" w:rsidRDefault="0058796D" w:rsidP="008331A5">
            <w:pPr>
              <w:tabs>
                <w:tab w:val="left" w:pos="383"/>
              </w:tabs>
            </w:pPr>
            <w:r w:rsidRPr="00392661">
              <w:t>a)</w:t>
            </w:r>
            <w:r w:rsidRPr="00392661">
              <w:tab/>
              <w:t>Укрепление нормативно-правовой базы для междун</w:t>
            </w:r>
            <w:r w:rsidRPr="00392661">
              <w:t>а</w:t>
            </w:r>
            <w:r w:rsidRPr="00392661">
              <w:t>родных наземных перевозок (автомобильным, железнод</w:t>
            </w:r>
            <w:r w:rsidRPr="00392661">
              <w:t>о</w:t>
            </w:r>
            <w:r w:rsidRPr="00392661">
              <w:t>рожным и</w:t>
            </w:r>
            <w:r w:rsidR="00734374">
              <w:rPr>
                <w:lang w:val="en-US"/>
              </w:rPr>
              <w:t> </w:t>
            </w:r>
            <w:r w:rsidRPr="00392661">
              <w:t xml:space="preserve">внутренним водным транспортом и </w:t>
            </w:r>
            <w:proofErr w:type="spellStart"/>
            <w:r w:rsidRPr="00392661">
              <w:t>интермодальных</w:t>
            </w:r>
            <w:proofErr w:type="spellEnd"/>
            <w:r w:rsidRPr="00392661">
              <w:t xml:space="preserve"> перевозок), транспортной и</w:t>
            </w:r>
            <w:r w:rsidRPr="00392661">
              <w:t>н</w:t>
            </w:r>
            <w:r w:rsidRPr="00392661">
              <w:t>фраструктуры, облегчения п</w:t>
            </w:r>
            <w:r w:rsidRPr="00392661">
              <w:t>е</w:t>
            </w:r>
            <w:r w:rsidRPr="00392661">
              <w:t>ресечения границ, перевозки опасных грузов, определения конструкции транспортных средств и оказания других транспортных услуг</w:t>
            </w:r>
          </w:p>
        </w:tc>
        <w:tc>
          <w:tcPr>
            <w:tcW w:w="3095" w:type="dxa"/>
            <w:tcBorders>
              <w:top w:val="single" w:sz="12" w:space="0" w:color="auto"/>
            </w:tcBorders>
          </w:tcPr>
          <w:p w:rsidR="0058796D" w:rsidRPr="00392661" w:rsidRDefault="0058796D" w:rsidP="0057543C">
            <w:pPr>
              <w:tabs>
                <w:tab w:val="left" w:pos="356"/>
              </w:tabs>
              <w:ind w:left="356" w:hanging="356"/>
            </w:pPr>
            <w:r w:rsidRPr="00392661">
              <w:t>i)</w:t>
            </w:r>
            <w:r w:rsidRPr="00392661">
              <w:tab/>
              <w:t>Увеличение числа действ</w:t>
            </w:r>
            <w:r w:rsidRPr="00392661">
              <w:t>у</w:t>
            </w:r>
            <w:r w:rsidRPr="00392661">
              <w:t>ющих правовых документов Организации Объединенных Наций по вопросам тран</w:t>
            </w:r>
            <w:r w:rsidRPr="00392661">
              <w:t>с</w:t>
            </w:r>
            <w:r w:rsidRPr="00392661">
              <w:t>порта, находящихся в</w:t>
            </w:r>
            <w:r w:rsidR="0057543C">
              <w:t> </w:t>
            </w:r>
            <w:r w:rsidRPr="00392661">
              <w:t>ведении ЕЭК</w:t>
            </w:r>
          </w:p>
          <w:p w:rsidR="0058796D" w:rsidRPr="00392661" w:rsidRDefault="0058796D" w:rsidP="00734374">
            <w:pPr>
              <w:tabs>
                <w:tab w:val="left" w:pos="356"/>
              </w:tabs>
              <w:ind w:left="356" w:hanging="356"/>
            </w:pPr>
            <w:proofErr w:type="spellStart"/>
            <w:proofErr w:type="gramStart"/>
            <w:r w:rsidRPr="00392661">
              <w:t>ii</w:t>
            </w:r>
            <w:proofErr w:type="spellEnd"/>
            <w:r w:rsidRPr="00392661">
              <w:t>)</w:t>
            </w:r>
            <w:r w:rsidRPr="00392661">
              <w:tab/>
              <w:t>Число принятых новых но</w:t>
            </w:r>
            <w:r w:rsidRPr="00392661">
              <w:t>р</w:t>
            </w:r>
            <w:r w:rsidRPr="00392661">
              <w:t>мативных положений, кас</w:t>
            </w:r>
            <w:r w:rsidRPr="00392661">
              <w:t>а</w:t>
            </w:r>
            <w:r w:rsidRPr="00392661">
              <w:t>ющихся транспортных средств, и поправок к ним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  <w:tcBorders>
              <w:top w:val="single" w:sz="12" w:space="0" w:color="auto"/>
            </w:tcBorders>
          </w:tcPr>
          <w:p w:rsidR="0058796D" w:rsidRPr="00392661" w:rsidRDefault="0058796D" w:rsidP="00392661"/>
        </w:tc>
      </w:tr>
      <w:tr w:rsidR="0058796D" w:rsidRPr="00392661" w:rsidTr="00734374">
        <w:tc>
          <w:tcPr>
            <w:tcW w:w="3005" w:type="dxa"/>
            <w:vMerge/>
            <w:tcBorders>
              <w:bottom w:val="nil"/>
            </w:tcBorders>
          </w:tcPr>
          <w:p w:rsidR="0058796D" w:rsidRPr="00392661" w:rsidRDefault="0058796D" w:rsidP="00392661"/>
        </w:tc>
        <w:tc>
          <w:tcPr>
            <w:tcW w:w="3095" w:type="dxa"/>
            <w:tcBorders>
              <w:bottom w:val="nil"/>
            </w:tcBorders>
          </w:tcPr>
          <w:p w:rsidR="0058796D" w:rsidRPr="00392661" w:rsidRDefault="0058796D" w:rsidP="00734374">
            <w:pPr>
              <w:tabs>
                <w:tab w:val="left" w:pos="356"/>
              </w:tabs>
              <w:ind w:left="356" w:hanging="356"/>
            </w:pPr>
            <w:proofErr w:type="spellStart"/>
            <w:proofErr w:type="gramStart"/>
            <w:r w:rsidRPr="00392661">
              <w:t>iii</w:t>
            </w:r>
            <w:proofErr w:type="spellEnd"/>
            <w:r w:rsidRPr="00392661">
              <w:t>)</w:t>
            </w:r>
            <w:r w:rsidRPr="00392661">
              <w:tab/>
              <w:t>Число международных пр</w:t>
            </w:r>
            <w:r w:rsidRPr="00392661">
              <w:t>а</w:t>
            </w:r>
            <w:r w:rsidRPr="00392661">
              <w:t>вовых документов, в кот</w:t>
            </w:r>
            <w:r w:rsidRPr="00392661">
              <w:t>о</w:t>
            </w:r>
            <w:r w:rsidRPr="00392661">
              <w:t>рые были внесены поправки с учетом последнего пер</w:t>
            </w:r>
            <w:r w:rsidRPr="00392661">
              <w:t>е</w:t>
            </w:r>
            <w:r w:rsidRPr="00392661">
              <w:t>смотренного издания Рек</w:t>
            </w:r>
            <w:r w:rsidRPr="00392661">
              <w:t>о</w:t>
            </w:r>
            <w:r w:rsidRPr="00392661">
              <w:t>мендаций Организации Об</w:t>
            </w:r>
            <w:r w:rsidRPr="00392661">
              <w:t>ъ</w:t>
            </w:r>
            <w:r w:rsidRPr="00392661">
              <w:t>единенных Наций по пер</w:t>
            </w:r>
            <w:r w:rsidRPr="00392661">
              <w:t>е</w:t>
            </w:r>
            <w:r w:rsidRPr="00392661">
              <w:t>возке опасных грузов</w:t>
            </w:r>
            <w:proofErr w:type="gramEnd"/>
          </w:p>
          <w:p w:rsidR="0058796D" w:rsidRPr="00392661" w:rsidRDefault="0058796D" w:rsidP="0039266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</w:tcPr>
          <w:p w:rsidR="0058796D" w:rsidRPr="00392661" w:rsidRDefault="0058796D" w:rsidP="0098381C">
            <w:proofErr w:type="gramStart"/>
            <w:r w:rsidRPr="00392661">
              <w:t>ОД 9.а Принятие поправок к ДОПОГ и − посредством работы, проводимой совместно с Межправительственной организацией по международным железнодорожным перевозкам (</w:t>
            </w:r>
            <w:proofErr w:type="spellStart"/>
            <w:r w:rsidRPr="00392661">
              <w:t>ОТИФ</w:t>
            </w:r>
            <w:proofErr w:type="spellEnd"/>
            <w:r w:rsidRPr="00392661">
              <w:t>) и Центральной комиссией судоходства по Рейну (</w:t>
            </w:r>
            <w:proofErr w:type="spellStart"/>
            <w:r w:rsidRPr="00392661">
              <w:t>ЦКСР</w:t>
            </w:r>
            <w:proofErr w:type="spellEnd"/>
            <w:r w:rsidRPr="00392661">
              <w:t>), − п</w:t>
            </w:r>
            <w:r w:rsidRPr="00392661">
              <w:t>о</w:t>
            </w:r>
            <w:r w:rsidRPr="00392661">
              <w:t xml:space="preserve">правок соответственно к </w:t>
            </w:r>
            <w:proofErr w:type="spellStart"/>
            <w:r w:rsidRPr="00392661">
              <w:t>МПОГ</w:t>
            </w:r>
            <w:proofErr w:type="spellEnd"/>
            <w:r w:rsidRPr="00392661">
              <w:t xml:space="preserve"> и </w:t>
            </w:r>
            <w:proofErr w:type="spellStart"/>
            <w:r w:rsidRPr="00392661">
              <w:t>ВОПОГ</w:t>
            </w:r>
            <w:proofErr w:type="spellEnd"/>
            <w:r w:rsidRPr="00392661">
              <w:t>, направленных на поддерж</w:t>
            </w:r>
            <w:r w:rsidRPr="00392661">
              <w:t>а</w:t>
            </w:r>
            <w:r w:rsidRPr="00392661">
              <w:t>ние необходимого уровня безопасн</w:t>
            </w:r>
            <w:r w:rsidRPr="00392661">
              <w:t>о</w:t>
            </w:r>
            <w:r w:rsidRPr="00392661">
              <w:t>сти, защиты и охраны окружающей среды в рамках единообразной, с</w:t>
            </w:r>
            <w:r w:rsidRPr="00392661">
              <w:t>о</w:t>
            </w:r>
            <w:r w:rsidRPr="00392661">
              <w:t>гласованной и последовательной системы правил перевозки опасных грузов, основанной на Рекомендац</w:t>
            </w:r>
            <w:r w:rsidRPr="00392661">
              <w:t>и</w:t>
            </w:r>
            <w:r w:rsidRPr="00392661">
              <w:t>ях Организации Объединенных</w:t>
            </w:r>
            <w:proofErr w:type="gramEnd"/>
            <w:r w:rsidRPr="00392661">
              <w:t xml:space="preserve"> Наций по перевозке опасных грузов, и их эффективное применение на основе международного и наци</w:t>
            </w:r>
            <w:r w:rsidRPr="00392661">
              <w:t>о</w:t>
            </w:r>
            <w:r w:rsidRPr="00392661">
              <w:t>нального законодательства</w:t>
            </w:r>
          </w:p>
        </w:tc>
      </w:tr>
      <w:tr w:rsidR="0058796D" w:rsidRPr="00392661" w:rsidTr="00734374">
        <w:tc>
          <w:tcPr>
            <w:tcW w:w="3005" w:type="dxa"/>
            <w:tcBorders>
              <w:top w:val="nil"/>
              <w:bottom w:val="nil"/>
            </w:tcBorders>
          </w:tcPr>
          <w:p w:rsidR="0058796D" w:rsidRPr="00392661" w:rsidRDefault="0058796D" w:rsidP="00392661"/>
        </w:tc>
        <w:tc>
          <w:tcPr>
            <w:tcW w:w="3095" w:type="dxa"/>
            <w:tcBorders>
              <w:top w:val="nil"/>
              <w:bottom w:val="nil"/>
            </w:tcBorders>
          </w:tcPr>
          <w:p w:rsidR="0058796D" w:rsidRPr="00392661" w:rsidRDefault="0058796D" w:rsidP="0039266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</w:tcPr>
          <w:p w:rsidR="0058796D" w:rsidRPr="00392661" w:rsidRDefault="0058796D" w:rsidP="0098381C">
            <w:proofErr w:type="spellStart"/>
            <w:r w:rsidRPr="00392661">
              <w:t>ПД</w:t>
            </w:r>
            <w:proofErr w:type="spellEnd"/>
            <w:r w:rsidRPr="00392661">
              <w:t xml:space="preserve"> 9.а </w:t>
            </w:r>
            <w:proofErr w:type="gramStart"/>
            <w:r w:rsidRPr="00392661">
              <w:t>а</w:t>
            </w:r>
            <w:proofErr w:type="gramEnd"/>
            <w:r w:rsidRPr="00392661">
              <w:t xml:space="preserve">) Поправки к </w:t>
            </w:r>
            <w:proofErr w:type="spellStart"/>
            <w:r w:rsidRPr="00392661">
              <w:t>ДОПОГ</w:t>
            </w:r>
            <w:proofErr w:type="spellEnd"/>
            <w:r w:rsidRPr="00392661">
              <w:t xml:space="preserve">, </w:t>
            </w:r>
            <w:proofErr w:type="spellStart"/>
            <w:r w:rsidRPr="00392661">
              <w:t>МПОГ</w:t>
            </w:r>
            <w:proofErr w:type="spellEnd"/>
            <w:r w:rsidRPr="00392661">
              <w:t xml:space="preserve"> и </w:t>
            </w:r>
            <w:proofErr w:type="spellStart"/>
            <w:r w:rsidRPr="00392661">
              <w:t>ВОПОГ</w:t>
            </w:r>
            <w:proofErr w:type="spellEnd"/>
            <w:r w:rsidRPr="00392661">
              <w:t>, принятые в 2017</w:t>
            </w:r>
            <w:r w:rsidR="00392661">
              <w:rPr>
                <w:lang w:val="en-US"/>
              </w:rPr>
              <w:t> </w:t>
            </w:r>
            <w:r w:rsidR="0098381C">
              <w:t>и 2018 </w:t>
            </w:r>
            <w:r w:rsidRPr="00392661">
              <w:t>годах, которые вступили в силу для международных перевозок 1</w:t>
            </w:r>
            <w:r w:rsidR="004E0EDF">
              <w:rPr>
                <w:lang w:val="en-US"/>
              </w:rPr>
              <w:t> </w:t>
            </w:r>
            <w:r w:rsidRPr="00392661">
              <w:t>января 2019 года и введены в де</w:t>
            </w:r>
            <w:r w:rsidRPr="00392661">
              <w:t>й</w:t>
            </w:r>
            <w:r w:rsidRPr="00392661">
              <w:t>ствие для внутренних перевозок с</w:t>
            </w:r>
            <w:r w:rsidR="00734374">
              <w:rPr>
                <w:lang w:val="en-US"/>
              </w:rPr>
              <w:t> </w:t>
            </w:r>
            <w:r w:rsidRPr="00392661">
              <w:t>1</w:t>
            </w:r>
            <w:r w:rsidR="00734374">
              <w:rPr>
                <w:lang w:val="en-US"/>
              </w:rPr>
              <w:t> </w:t>
            </w:r>
            <w:r w:rsidRPr="00392661">
              <w:t>июля 2019 года во всех странах − членах ЕС и Европейского эконом</w:t>
            </w:r>
            <w:r w:rsidRPr="00392661">
              <w:t>и</w:t>
            </w:r>
            <w:r w:rsidRPr="00392661">
              <w:t>ческого пространства (</w:t>
            </w:r>
            <w:proofErr w:type="spellStart"/>
            <w:r w:rsidRPr="00392661">
              <w:t>ЕЭП</w:t>
            </w:r>
            <w:proofErr w:type="spellEnd"/>
            <w:r w:rsidRPr="00392661">
              <w:t>), с уч</w:t>
            </w:r>
            <w:r w:rsidRPr="00392661">
              <w:t>е</w:t>
            </w:r>
            <w:r w:rsidRPr="00392661">
              <w:t>том, в частности, Рекомендаций О</w:t>
            </w:r>
            <w:r w:rsidRPr="00392661">
              <w:t>р</w:t>
            </w:r>
            <w:r w:rsidRPr="00392661">
              <w:t>ганизации Объединенных Наций по перевозке опасных грузов − Типовые правила 2017 года (двадцатое пер</w:t>
            </w:r>
            <w:r w:rsidRPr="00392661">
              <w:t>е</w:t>
            </w:r>
            <w:r w:rsidRPr="00392661">
              <w:t>смотренное издание)</w:t>
            </w:r>
          </w:p>
        </w:tc>
      </w:tr>
      <w:tr w:rsidR="0058796D" w:rsidRPr="00392661" w:rsidTr="00734374">
        <w:tc>
          <w:tcPr>
            <w:tcW w:w="3005" w:type="dxa"/>
            <w:tcBorders>
              <w:top w:val="nil"/>
            </w:tcBorders>
          </w:tcPr>
          <w:p w:rsidR="0058796D" w:rsidRPr="00392661" w:rsidRDefault="0058796D" w:rsidP="00392661"/>
        </w:tc>
        <w:tc>
          <w:tcPr>
            <w:tcW w:w="3095" w:type="dxa"/>
            <w:tcBorders>
              <w:top w:val="nil"/>
            </w:tcBorders>
          </w:tcPr>
          <w:p w:rsidR="0058796D" w:rsidRPr="00392661" w:rsidRDefault="0058796D" w:rsidP="0039266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</w:tcPr>
          <w:p w:rsidR="0058796D" w:rsidRPr="00392661" w:rsidRDefault="0058796D" w:rsidP="00DA266B">
            <w:r w:rsidRPr="00734374">
              <w:rPr>
                <w:i/>
                <w:iCs/>
              </w:rPr>
              <w:t>Показатели результативности:</w:t>
            </w:r>
            <w:r w:rsidRPr="00392661">
              <w:t xml:space="preserve"> </w:t>
            </w:r>
            <w:r w:rsidRPr="00392661">
              <w:br/>
              <w:t xml:space="preserve">Базовый показатель на </w:t>
            </w:r>
            <w:r w:rsidRPr="00392661">
              <w:br/>
              <w:t xml:space="preserve">2016−2017 годы: 1 набор поправок к каждому правовому документу </w:t>
            </w:r>
            <w:r w:rsidRPr="00392661">
              <w:br/>
              <w:t xml:space="preserve">Целевой показатель на </w:t>
            </w:r>
            <w:r w:rsidRPr="00392661">
              <w:br/>
              <w:t>2018−2019 годы: 1 набор поправок к каждому правовому документу</w:t>
            </w:r>
          </w:p>
        </w:tc>
      </w:tr>
      <w:tr w:rsidR="0058796D" w:rsidRPr="00392661" w:rsidTr="00734374">
        <w:tc>
          <w:tcPr>
            <w:tcW w:w="3005" w:type="dxa"/>
          </w:tcPr>
          <w:p w:rsidR="0058796D" w:rsidRPr="00392661" w:rsidRDefault="0058796D" w:rsidP="00392661"/>
        </w:tc>
        <w:tc>
          <w:tcPr>
            <w:tcW w:w="3095" w:type="dxa"/>
          </w:tcPr>
          <w:p w:rsidR="0058796D" w:rsidRPr="00392661" w:rsidRDefault="0058796D" w:rsidP="0039266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</w:tcPr>
          <w:p w:rsidR="0058796D" w:rsidRPr="00392661" w:rsidRDefault="0058796D" w:rsidP="0098381C">
            <w:proofErr w:type="spellStart"/>
            <w:r w:rsidRPr="00392661">
              <w:t>ПД</w:t>
            </w:r>
            <w:proofErr w:type="spellEnd"/>
            <w:r w:rsidRPr="00392661">
              <w:t xml:space="preserve"> 9.а b) Опубликование до конца 2018 года сводных пересмотренных изданий </w:t>
            </w:r>
            <w:proofErr w:type="spellStart"/>
            <w:r w:rsidRPr="00392661">
              <w:t>ДОПОГ</w:t>
            </w:r>
            <w:proofErr w:type="spellEnd"/>
            <w:r w:rsidRPr="00392661">
              <w:t xml:space="preserve"> и </w:t>
            </w:r>
            <w:proofErr w:type="spellStart"/>
            <w:r w:rsidRPr="00392661">
              <w:t>ВОПОГ</w:t>
            </w:r>
            <w:proofErr w:type="spellEnd"/>
            <w:r w:rsidRPr="00392661">
              <w:t xml:space="preserve"> 2019 года</w:t>
            </w:r>
          </w:p>
          <w:p w:rsidR="0058796D" w:rsidRPr="00392661" w:rsidRDefault="0058796D" w:rsidP="00392661">
            <w:r w:rsidRPr="00DA266B">
              <w:rPr>
                <w:i/>
                <w:iCs/>
              </w:rPr>
              <w:t>Показатели результативности:</w:t>
            </w:r>
            <w:r w:rsidRPr="00392661">
              <w:t xml:space="preserve"> </w:t>
            </w:r>
            <w:r w:rsidRPr="00392661">
              <w:br/>
              <w:t xml:space="preserve">Базовый показатель на </w:t>
            </w:r>
            <w:r w:rsidRPr="00392661">
              <w:br/>
              <w:t>2016−2017 годы: 1 </w:t>
            </w:r>
            <w:proofErr w:type="spellStart"/>
            <w:r w:rsidRPr="00392661">
              <w:t>ДОПОГ</w:t>
            </w:r>
            <w:proofErr w:type="spellEnd"/>
            <w:r w:rsidRPr="00392661">
              <w:t>, 1 </w:t>
            </w:r>
            <w:proofErr w:type="spellStart"/>
            <w:r w:rsidRPr="00392661">
              <w:t>ВОПОГ</w:t>
            </w:r>
            <w:proofErr w:type="spellEnd"/>
            <w:r w:rsidRPr="00392661">
              <w:br/>
              <w:t xml:space="preserve">Целевой показатель на </w:t>
            </w:r>
            <w:r w:rsidRPr="00392661">
              <w:br/>
              <w:t xml:space="preserve">2018−2019 годы: </w:t>
            </w:r>
            <w:r w:rsidRPr="00392661">
              <w:br/>
              <w:t xml:space="preserve">1 </w:t>
            </w:r>
            <w:proofErr w:type="spellStart"/>
            <w:r w:rsidRPr="00392661">
              <w:t>ДОПОГ</w:t>
            </w:r>
            <w:proofErr w:type="spellEnd"/>
            <w:r w:rsidRPr="00392661">
              <w:t>, 1 </w:t>
            </w:r>
            <w:proofErr w:type="spellStart"/>
            <w:r w:rsidRPr="00392661">
              <w:t>ВОПОГ</w:t>
            </w:r>
            <w:proofErr w:type="spellEnd"/>
          </w:p>
        </w:tc>
      </w:tr>
      <w:tr w:rsidR="0058796D" w:rsidRPr="00392661" w:rsidTr="00DA266B">
        <w:tc>
          <w:tcPr>
            <w:tcW w:w="3005" w:type="dxa"/>
            <w:tcBorders>
              <w:bottom w:val="nil"/>
            </w:tcBorders>
          </w:tcPr>
          <w:p w:rsidR="0058796D" w:rsidRPr="00392661" w:rsidRDefault="0058796D" w:rsidP="008331A5">
            <w:pPr>
              <w:tabs>
                <w:tab w:val="left" w:pos="383"/>
              </w:tabs>
            </w:pPr>
            <w:r w:rsidRPr="00392661">
              <w:t>b)</w:t>
            </w:r>
            <w:r w:rsidRPr="00392661">
              <w:tab/>
              <w:t>Расширение географич</w:t>
            </w:r>
            <w:r w:rsidRPr="00392661">
              <w:t>е</w:t>
            </w:r>
            <w:r w:rsidRPr="00392661">
              <w:t>ского охвата и более эффекти</w:t>
            </w:r>
            <w:r w:rsidRPr="00392661">
              <w:t>в</w:t>
            </w:r>
            <w:r w:rsidRPr="00392661">
              <w:t xml:space="preserve">ный </w:t>
            </w:r>
            <w:proofErr w:type="gramStart"/>
            <w:r w:rsidRPr="00392661">
              <w:t>контроль за</w:t>
            </w:r>
            <w:proofErr w:type="gramEnd"/>
            <w:r w:rsidRPr="00392661">
              <w:t xml:space="preserve"> выполнением положений правовых докуме</w:t>
            </w:r>
            <w:r w:rsidRPr="00392661">
              <w:t>н</w:t>
            </w:r>
            <w:r w:rsidRPr="00392661">
              <w:t>тов и рекомендаций Организ</w:t>
            </w:r>
            <w:r w:rsidRPr="00392661">
              <w:t>а</w:t>
            </w:r>
            <w:r w:rsidRPr="00392661">
              <w:t>ции Объединенных Наций по вопросам транспорта, наход</w:t>
            </w:r>
            <w:r w:rsidRPr="00392661">
              <w:t>я</w:t>
            </w:r>
            <w:r w:rsidRPr="00392661">
              <w:t>щихся в</w:t>
            </w:r>
            <w:r w:rsidR="0057543C">
              <w:t> </w:t>
            </w:r>
            <w:r w:rsidRPr="00392661">
              <w:t>ведении ЕЭК</w:t>
            </w:r>
          </w:p>
          <w:p w:rsidR="0058796D" w:rsidRPr="00392661" w:rsidRDefault="0058796D" w:rsidP="00392661"/>
        </w:tc>
        <w:tc>
          <w:tcPr>
            <w:tcW w:w="3095" w:type="dxa"/>
            <w:tcBorders>
              <w:bottom w:val="nil"/>
            </w:tcBorders>
          </w:tcPr>
          <w:p w:rsidR="0058796D" w:rsidRPr="00392661" w:rsidRDefault="0058796D" w:rsidP="00DA266B">
            <w:pPr>
              <w:tabs>
                <w:tab w:val="left" w:pos="356"/>
              </w:tabs>
              <w:ind w:left="356" w:hanging="356"/>
            </w:pPr>
            <w:r w:rsidRPr="00392661">
              <w:t>i)</w:t>
            </w:r>
            <w:r w:rsidRPr="00392661">
              <w:tab/>
              <w:t>Увеличение числа гос</w:t>
            </w:r>
            <w:r w:rsidRPr="00392661">
              <w:t>у</w:t>
            </w:r>
            <w:r w:rsidRPr="00392661">
              <w:t>дарств, в том числе из др</w:t>
            </w:r>
            <w:r w:rsidRPr="00392661">
              <w:t>у</w:t>
            </w:r>
            <w:r w:rsidRPr="00392661">
              <w:t>гих регионов, которые пр</w:t>
            </w:r>
            <w:r w:rsidRPr="00392661">
              <w:t>и</w:t>
            </w:r>
            <w:r w:rsidRPr="00392661">
              <w:t>соединились к правовым д</w:t>
            </w:r>
            <w:r w:rsidRPr="00392661">
              <w:t>о</w:t>
            </w:r>
            <w:r w:rsidRPr="00392661">
              <w:t>кументам и рекомендациям Организации Объединенных Наций по вопросам тран</w:t>
            </w:r>
            <w:r w:rsidRPr="00392661">
              <w:t>с</w:t>
            </w:r>
            <w:r w:rsidRPr="00392661">
              <w:t>порта, находящимся в</w:t>
            </w:r>
            <w:r w:rsidR="00DA266B">
              <w:rPr>
                <w:lang w:val="en-US"/>
              </w:rPr>
              <w:t> </w:t>
            </w:r>
            <w:r w:rsidRPr="00392661">
              <w:t>ведении ЕЭК</w:t>
            </w:r>
          </w:p>
          <w:p w:rsidR="0058796D" w:rsidRPr="00392661" w:rsidRDefault="0058796D" w:rsidP="00DA266B">
            <w:pPr>
              <w:tabs>
                <w:tab w:val="left" w:pos="356"/>
              </w:tabs>
              <w:ind w:left="356" w:hanging="356"/>
            </w:pPr>
            <w:proofErr w:type="spellStart"/>
            <w:proofErr w:type="gramStart"/>
            <w:r w:rsidRPr="00392661">
              <w:t>ii</w:t>
            </w:r>
            <w:proofErr w:type="spellEnd"/>
            <w:r w:rsidRPr="00392661">
              <w:t>)</w:t>
            </w:r>
            <w:r w:rsidRPr="00392661">
              <w:tab/>
              <w:t>Увеличение числа соглас</w:t>
            </w:r>
            <w:r w:rsidRPr="00392661">
              <w:t>о</w:t>
            </w:r>
            <w:r w:rsidRPr="00392661">
              <w:t xml:space="preserve">ванных </w:t>
            </w:r>
            <w:r w:rsidR="008331A5" w:rsidRPr="00392661">
              <w:t xml:space="preserve">Договаривающимися </w:t>
            </w:r>
            <w:r w:rsidRPr="00392661">
              <w:t>сторонами механизмов ко</w:t>
            </w:r>
            <w:r w:rsidRPr="00392661">
              <w:t>н</w:t>
            </w:r>
            <w:r w:rsidRPr="00392661">
              <w:t>троля за выполнением пол</w:t>
            </w:r>
            <w:r w:rsidRPr="00392661">
              <w:t>о</w:t>
            </w:r>
            <w:r w:rsidRPr="00392661">
              <w:t xml:space="preserve">жений правовых документов и рекомендаций </w:t>
            </w:r>
            <w:r w:rsidR="0057543C">
              <w:br/>
            </w:r>
            <w:r w:rsidRPr="00392661">
              <w:t xml:space="preserve">Организации Объединенных Наций, находящихся </w:t>
            </w:r>
            <w:r w:rsidRPr="00392661">
              <w:br/>
              <w:t>в ведении ЕЭК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</w:tcPr>
          <w:p w:rsidR="0058796D" w:rsidRPr="00392661" w:rsidRDefault="0058796D" w:rsidP="0098381C">
            <w:r w:rsidRPr="00392661">
              <w:t>ОД 9.b Последующая деятельность по реализации «дорожной карты» по вопросам присоединения к ДОПОГ и его применения (ECE/TRANS/238) для новых и существующих Догов</w:t>
            </w:r>
            <w:r w:rsidRPr="00392661">
              <w:t>а</w:t>
            </w:r>
            <w:r w:rsidRPr="00392661">
              <w:t>ривающихся сторон ДОПОГ</w:t>
            </w:r>
          </w:p>
          <w:p w:rsidR="0058796D" w:rsidRPr="00392661" w:rsidRDefault="0058796D" w:rsidP="0098381C">
            <w:proofErr w:type="spellStart"/>
            <w:r w:rsidRPr="00392661">
              <w:t>ПД</w:t>
            </w:r>
            <w:proofErr w:type="spellEnd"/>
            <w:r w:rsidRPr="00392661">
              <w:t xml:space="preserve"> 9.b Дополнение и размещение на веб-сайте ЕЭК ООН информации, касающейся стран, являющихся Д</w:t>
            </w:r>
            <w:r w:rsidRPr="00392661">
              <w:t>о</w:t>
            </w:r>
            <w:r w:rsidRPr="00392661">
              <w:t>говаривающимися сторонами ДОПОГ, и информации, подлежащей обязательному представлению (и</w:t>
            </w:r>
            <w:r w:rsidRPr="00392661">
              <w:t>н</w:t>
            </w:r>
            <w:r w:rsidRPr="00392661">
              <w:t>формация, касающаяся свидетельств о подготовке водителя, и информ</w:t>
            </w:r>
            <w:r w:rsidRPr="00392661">
              <w:t>а</w:t>
            </w:r>
            <w:r w:rsidRPr="00392661">
              <w:t>ция, указанная в приложении I к «д</w:t>
            </w:r>
            <w:r w:rsidRPr="00392661">
              <w:t>о</w:t>
            </w:r>
            <w:r w:rsidRPr="00392661">
              <w:t>рожной карте»)</w:t>
            </w:r>
          </w:p>
          <w:p w:rsidR="0058796D" w:rsidRPr="00392661" w:rsidRDefault="0058796D" w:rsidP="00392661">
            <w:r w:rsidRPr="00DA266B">
              <w:rPr>
                <w:i/>
                <w:iCs/>
              </w:rPr>
              <w:t>Показатели результативности:</w:t>
            </w:r>
            <w:r w:rsidRPr="00392661">
              <w:br/>
              <w:t xml:space="preserve">Базовый показатель на </w:t>
            </w:r>
            <w:r w:rsidRPr="00392661">
              <w:br/>
              <w:t xml:space="preserve">2016−2017 годы: </w:t>
            </w:r>
            <w:r w:rsidR="00A0567E" w:rsidRPr="00392661">
              <w:t xml:space="preserve">наличие </w:t>
            </w:r>
            <w:r w:rsidRPr="00392661">
              <w:t>информ</w:t>
            </w:r>
            <w:r w:rsidRPr="00392661">
              <w:t>а</w:t>
            </w:r>
            <w:r w:rsidRPr="00392661">
              <w:t>ции по 75% Договаривающихся ст</w:t>
            </w:r>
            <w:r w:rsidRPr="00392661">
              <w:t>о</w:t>
            </w:r>
            <w:r w:rsidRPr="00392661">
              <w:t xml:space="preserve">рон ДОПОГ </w:t>
            </w:r>
            <w:r w:rsidRPr="00392661">
              <w:br/>
              <w:t xml:space="preserve">Целевой показатель: </w:t>
            </w:r>
            <w:r w:rsidR="00A0567E" w:rsidRPr="00392661">
              <w:t xml:space="preserve">наличие </w:t>
            </w:r>
            <w:r w:rsidRPr="00392661">
              <w:t>и о</w:t>
            </w:r>
            <w:r w:rsidRPr="00392661">
              <w:t>б</w:t>
            </w:r>
            <w:r w:rsidRPr="00392661">
              <w:t>новление информации по 75% Дог</w:t>
            </w:r>
            <w:r w:rsidRPr="00392661">
              <w:t>о</w:t>
            </w:r>
            <w:r w:rsidRPr="00392661">
              <w:t>варивающихся сторон ДОПОГ</w:t>
            </w:r>
          </w:p>
        </w:tc>
      </w:tr>
      <w:tr w:rsidR="0058796D" w:rsidRPr="00392661" w:rsidTr="00DA266B">
        <w:tc>
          <w:tcPr>
            <w:tcW w:w="3005" w:type="dxa"/>
            <w:tcBorders>
              <w:top w:val="nil"/>
              <w:bottom w:val="nil"/>
            </w:tcBorders>
          </w:tcPr>
          <w:p w:rsidR="0058796D" w:rsidRPr="00392661" w:rsidRDefault="0058796D" w:rsidP="008331A5">
            <w:pPr>
              <w:pageBreakBefore/>
              <w:tabs>
                <w:tab w:val="left" w:pos="328"/>
              </w:tabs>
            </w:pPr>
            <w:r w:rsidRPr="00392661">
              <w:lastRenderedPageBreak/>
              <w:t>с)</w:t>
            </w:r>
            <w:r w:rsidRPr="00392661">
              <w:tab/>
              <w:t>Укрепление потенциала государств – членов ЕЭК, в</w:t>
            </w:r>
            <w:r w:rsidR="008331A5">
              <w:t> </w:t>
            </w:r>
            <w:r w:rsidRPr="00392661">
              <w:t xml:space="preserve">частности </w:t>
            </w:r>
            <w:r w:rsidR="0057543C">
              <w:t>развивающихся стран, не </w:t>
            </w:r>
            <w:r w:rsidRPr="00392661">
              <w:t>имеющих выхода к морю, для</w:t>
            </w:r>
            <w:r w:rsidR="0057543C">
              <w:t> </w:t>
            </w:r>
            <w:r w:rsidRPr="00392661">
              <w:t>создания панъевр</w:t>
            </w:r>
            <w:r w:rsidRPr="00392661">
              <w:t>о</w:t>
            </w:r>
            <w:r w:rsidRPr="00392661">
              <w:t>пейской и трансконтинентал</w:t>
            </w:r>
            <w:r w:rsidRPr="00392661">
              <w:t>ь</w:t>
            </w:r>
            <w:r w:rsidRPr="00392661">
              <w:t>ной транспортной инфрастру</w:t>
            </w:r>
            <w:r w:rsidRPr="00392661">
              <w:t>к</w:t>
            </w:r>
            <w:r w:rsidRPr="00392661">
              <w:t>туры и принятия мер по соде</w:t>
            </w:r>
            <w:r w:rsidRPr="00392661">
              <w:t>й</w:t>
            </w:r>
            <w:r w:rsidRPr="00392661">
              <w:t>ствию развитию транспорта</w:t>
            </w:r>
          </w:p>
        </w:tc>
        <w:tc>
          <w:tcPr>
            <w:tcW w:w="3095" w:type="dxa"/>
            <w:tcBorders>
              <w:top w:val="nil"/>
              <w:bottom w:val="nil"/>
            </w:tcBorders>
          </w:tcPr>
          <w:p w:rsidR="0058796D" w:rsidRPr="00392661" w:rsidRDefault="0058796D" w:rsidP="004E0EDF">
            <w:pPr>
              <w:pageBreakBefore/>
              <w:tabs>
                <w:tab w:val="left" w:pos="356"/>
              </w:tabs>
              <w:ind w:left="356" w:hanging="356"/>
            </w:pPr>
            <w:r w:rsidRPr="00392661">
              <w:t>i)</w:t>
            </w:r>
            <w:r w:rsidRPr="00392661">
              <w:tab/>
              <w:t>Увеличение числа договар</w:t>
            </w:r>
            <w:r w:rsidRPr="00392661">
              <w:t>и</w:t>
            </w:r>
            <w:r w:rsidRPr="00392661">
              <w:t>вающихся сторон четырех основных соглашений, к</w:t>
            </w:r>
            <w:r w:rsidRPr="00392661">
              <w:t>а</w:t>
            </w:r>
            <w:r w:rsidRPr="00392661">
              <w:t>сающихся транспортной и</w:t>
            </w:r>
            <w:r w:rsidRPr="00392661">
              <w:t>н</w:t>
            </w:r>
            <w:r w:rsidRPr="00392661">
              <w:t>фраструктуры</w:t>
            </w:r>
          </w:p>
          <w:p w:rsidR="0058796D" w:rsidRPr="00392661" w:rsidRDefault="0058796D" w:rsidP="004E0EDF">
            <w:pPr>
              <w:pageBreakBefore/>
              <w:tabs>
                <w:tab w:val="left" w:pos="356"/>
              </w:tabs>
              <w:ind w:left="356" w:hanging="356"/>
            </w:pPr>
            <w:proofErr w:type="spellStart"/>
            <w:proofErr w:type="gramStart"/>
            <w:r w:rsidRPr="00392661">
              <w:t>ii</w:t>
            </w:r>
            <w:proofErr w:type="spellEnd"/>
            <w:r w:rsidRPr="00392661">
              <w:t>)</w:t>
            </w:r>
            <w:r w:rsidRPr="00392661">
              <w:tab/>
              <w:t>Увеличение числа гос</w:t>
            </w:r>
            <w:r w:rsidRPr="00392661">
              <w:t>у</w:t>
            </w:r>
            <w:r w:rsidRPr="00392661">
              <w:t>дарств-членов, использу</w:t>
            </w:r>
            <w:r w:rsidRPr="00392661">
              <w:t>ю</w:t>
            </w:r>
            <w:r w:rsidRPr="00392661">
              <w:t>щих общую рамочную осн</w:t>
            </w:r>
            <w:r w:rsidRPr="00392661">
              <w:t>о</w:t>
            </w:r>
            <w:r w:rsidRPr="00392661">
              <w:t>ву ЕЭК для развития субр</w:t>
            </w:r>
            <w:r w:rsidRPr="00392661">
              <w:t>е</w:t>
            </w:r>
            <w:r w:rsidRPr="00392661">
              <w:t>гиональной транспортной инфраструктуры (Проект по евроазиатским транспор</w:t>
            </w:r>
            <w:r w:rsidRPr="00392661">
              <w:t>т</w:t>
            </w:r>
            <w:r w:rsidRPr="00392661">
              <w:t>ным связям, проект создания трансъевропейской автом</w:t>
            </w:r>
            <w:r w:rsidRPr="00392661">
              <w:t>а</w:t>
            </w:r>
            <w:r w:rsidRPr="00392661">
              <w:t>гистрали и проект создания трансъевропейской железн</w:t>
            </w:r>
            <w:r w:rsidRPr="00392661">
              <w:t>о</w:t>
            </w:r>
            <w:r w:rsidRPr="00392661">
              <w:t>дорожной магистрали)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</w:tcPr>
          <w:p w:rsidR="0058796D" w:rsidRPr="00392661" w:rsidRDefault="0058796D" w:rsidP="004E0EDF">
            <w:pPr>
              <w:pageBreakBefore/>
            </w:pPr>
          </w:p>
        </w:tc>
      </w:tr>
      <w:tr w:rsidR="0058796D" w:rsidRPr="00392661" w:rsidTr="00DA266B">
        <w:tc>
          <w:tcPr>
            <w:tcW w:w="3005" w:type="dxa"/>
            <w:tcBorders>
              <w:top w:val="nil"/>
            </w:tcBorders>
          </w:tcPr>
          <w:p w:rsidR="0058796D" w:rsidRPr="00392661" w:rsidRDefault="0058796D" w:rsidP="008331A5">
            <w:pPr>
              <w:tabs>
                <w:tab w:val="left" w:pos="346"/>
              </w:tabs>
            </w:pPr>
            <w:r w:rsidRPr="00392661">
              <w:t>d)</w:t>
            </w:r>
            <w:r w:rsidRPr="00392661">
              <w:tab/>
              <w:t>Расширение возможностей осуществления соответству</w:t>
            </w:r>
            <w:r w:rsidRPr="00392661">
              <w:t>ю</w:t>
            </w:r>
            <w:r w:rsidRPr="00392661">
              <w:t>щих правовых документов, норм и правил Организации Объединенных Наций по в</w:t>
            </w:r>
            <w:r w:rsidRPr="00392661">
              <w:t>о</w:t>
            </w:r>
            <w:r w:rsidRPr="00392661">
              <w:t>просам транспорта, в частности в странах Восточной и Юго-Восточной Европы, Закавказья и Центральной Азии</w:t>
            </w:r>
          </w:p>
        </w:tc>
        <w:tc>
          <w:tcPr>
            <w:tcW w:w="3095" w:type="dxa"/>
            <w:tcBorders>
              <w:top w:val="nil"/>
            </w:tcBorders>
          </w:tcPr>
          <w:p w:rsidR="0058796D" w:rsidRPr="00392661" w:rsidRDefault="0058796D" w:rsidP="00DA266B">
            <w:pPr>
              <w:tabs>
                <w:tab w:val="left" w:pos="356"/>
              </w:tabs>
              <w:ind w:left="356" w:hanging="356"/>
            </w:pPr>
            <w:r w:rsidRPr="00392661">
              <w:t>i)</w:t>
            </w:r>
            <w:r w:rsidRPr="00392661">
              <w:tab/>
              <w:t xml:space="preserve">Увеличение числа стран Восточной и </w:t>
            </w:r>
            <w:proofErr w:type="gramStart"/>
            <w:r w:rsidRPr="00392661">
              <w:t>Юго-</w:t>
            </w:r>
            <w:proofErr w:type="spellStart"/>
            <w:r w:rsidRPr="00392661">
              <w:t>Восточ</w:t>
            </w:r>
            <w:proofErr w:type="spellEnd"/>
            <w:r w:rsidRPr="00392661">
              <w:t>-ной</w:t>
            </w:r>
            <w:proofErr w:type="gramEnd"/>
            <w:r w:rsidRPr="00392661">
              <w:t xml:space="preserve"> Европы, Закавказья и Центральной Азии, соо</w:t>
            </w:r>
            <w:r w:rsidRPr="00392661">
              <w:t>б</w:t>
            </w:r>
            <w:r w:rsidRPr="00392661">
              <w:t>щивших о принятии мер, направленных на примен</w:t>
            </w:r>
            <w:r w:rsidRPr="00392661">
              <w:t>е</w:t>
            </w:r>
            <w:r w:rsidRPr="00392661">
              <w:t>ние правовых документов, норм и правил Организации Объединенных Наций в о</w:t>
            </w:r>
            <w:r w:rsidRPr="00392661">
              <w:t>б</w:t>
            </w:r>
            <w:r w:rsidRPr="00392661">
              <w:t>ласти транспорта, наход</w:t>
            </w:r>
            <w:r w:rsidRPr="00392661">
              <w:t>я</w:t>
            </w:r>
            <w:r w:rsidRPr="00392661">
              <w:t>щихся в ведении ЕЭК</w:t>
            </w:r>
          </w:p>
          <w:p w:rsidR="0058796D" w:rsidRPr="00392661" w:rsidRDefault="0058796D" w:rsidP="00DA266B">
            <w:pPr>
              <w:tabs>
                <w:tab w:val="left" w:pos="356"/>
              </w:tabs>
              <w:ind w:left="356" w:hanging="356"/>
            </w:pPr>
            <w:proofErr w:type="spellStart"/>
            <w:proofErr w:type="gramStart"/>
            <w:r w:rsidRPr="00392661">
              <w:t>ii</w:t>
            </w:r>
            <w:proofErr w:type="spellEnd"/>
            <w:r w:rsidRPr="00392661">
              <w:t>)</w:t>
            </w:r>
            <w:r w:rsidRPr="00392661">
              <w:tab/>
              <w:t>Увеличение числа гос</w:t>
            </w:r>
            <w:r w:rsidRPr="00392661">
              <w:t>у</w:t>
            </w:r>
            <w:r w:rsidRPr="00392661">
              <w:t>дарств – членов ЕЭК, уст</w:t>
            </w:r>
            <w:r w:rsidRPr="00392661">
              <w:t>а</w:t>
            </w:r>
            <w:r w:rsidRPr="00392661">
              <w:t>новивших целевые показат</w:t>
            </w:r>
            <w:r w:rsidRPr="00392661">
              <w:t>е</w:t>
            </w:r>
            <w:r w:rsidRPr="00392661">
              <w:t>ли в области повышения безопасности дорожного движения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</w:tcPr>
          <w:p w:rsidR="0058796D" w:rsidRPr="00392661" w:rsidRDefault="0058796D" w:rsidP="00392661"/>
        </w:tc>
      </w:tr>
    </w:tbl>
    <w:p w:rsidR="00E12C5F" w:rsidRPr="004E0EDF" w:rsidRDefault="004E0EDF" w:rsidP="004E0ED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E0EDF" w:rsidSect="00BA2CB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8F" w:rsidRPr="00A312BC" w:rsidRDefault="009E328F" w:rsidP="00A312BC"/>
  </w:endnote>
  <w:endnote w:type="continuationSeparator" w:id="0">
    <w:p w:rsidR="009E328F" w:rsidRPr="00A312BC" w:rsidRDefault="009E328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1" w:rsidRPr="00BA2CB5" w:rsidRDefault="00F74621">
    <w:pPr>
      <w:pStyle w:val="a8"/>
    </w:pPr>
    <w:r w:rsidRPr="00BA2CB5">
      <w:rPr>
        <w:b/>
        <w:sz w:val="18"/>
      </w:rPr>
      <w:fldChar w:fldCharType="begin"/>
    </w:r>
    <w:r w:rsidRPr="00BA2CB5">
      <w:rPr>
        <w:b/>
        <w:sz w:val="18"/>
      </w:rPr>
      <w:instrText xml:space="preserve"> PAGE  \* MERGEFORMAT </w:instrText>
    </w:r>
    <w:r w:rsidRPr="00BA2CB5">
      <w:rPr>
        <w:b/>
        <w:sz w:val="18"/>
      </w:rPr>
      <w:fldChar w:fldCharType="separate"/>
    </w:r>
    <w:r w:rsidR="00A214CE">
      <w:rPr>
        <w:b/>
        <w:noProof/>
        <w:sz w:val="18"/>
      </w:rPr>
      <w:t>2</w:t>
    </w:r>
    <w:r w:rsidRPr="00BA2CB5">
      <w:rPr>
        <w:b/>
        <w:sz w:val="18"/>
      </w:rPr>
      <w:fldChar w:fldCharType="end"/>
    </w:r>
    <w:r>
      <w:rPr>
        <w:b/>
        <w:sz w:val="18"/>
      </w:rPr>
      <w:tab/>
    </w:r>
    <w:r>
      <w:t>GE.17-20737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1" w:rsidRPr="00BA2CB5" w:rsidRDefault="00F74621" w:rsidP="00BA2CB5">
    <w:pPr>
      <w:pStyle w:val="a8"/>
      <w:tabs>
        <w:tab w:val="clear" w:pos="9639"/>
        <w:tab w:val="right" w:pos="9638"/>
      </w:tabs>
      <w:rPr>
        <w:b/>
        <w:sz w:val="18"/>
      </w:rPr>
    </w:pPr>
    <w:r>
      <w:t>GE.17-20737</w:t>
    </w:r>
    <w:r>
      <w:tab/>
    </w:r>
    <w:r w:rsidRPr="00BA2CB5">
      <w:rPr>
        <w:b/>
        <w:sz w:val="18"/>
      </w:rPr>
      <w:fldChar w:fldCharType="begin"/>
    </w:r>
    <w:r w:rsidRPr="00BA2CB5">
      <w:rPr>
        <w:b/>
        <w:sz w:val="18"/>
      </w:rPr>
      <w:instrText xml:space="preserve"> PAGE  \* MERGEFORMAT </w:instrText>
    </w:r>
    <w:r w:rsidRPr="00BA2CB5">
      <w:rPr>
        <w:b/>
        <w:sz w:val="18"/>
      </w:rPr>
      <w:fldChar w:fldCharType="separate"/>
    </w:r>
    <w:r w:rsidR="00A214CE">
      <w:rPr>
        <w:b/>
        <w:noProof/>
        <w:sz w:val="18"/>
      </w:rPr>
      <w:t>3</w:t>
    </w:r>
    <w:r w:rsidRPr="00BA2C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1" w:rsidRPr="00BA2CB5" w:rsidRDefault="00F74621" w:rsidP="00BA2CB5">
    <w:pPr>
      <w:spacing w:before="120" w:line="240" w:lineRule="auto"/>
    </w:pPr>
    <w:r>
      <w:t>GE.</w:t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B2BDDCC" wp14:editId="4CE8A3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17-20737  (R)</w:t>
    </w:r>
    <w:r>
      <w:rPr>
        <w:lang w:val="en-US"/>
      </w:rPr>
      <w:t xml:space="preserve">  261217  271217</w:t>
    </w:r>
    <w:r>
      <w:br/>
    </w:r>
    <w:r w:rsidRPr="00BA2CB5">
      <w:rPr>
        <w:rFonts w:ascii="C39T30Lfz" w:hAnsi="C39T30Lfz"/>
        <w:spacing w:val="0"/>
        <w:w w:val="100"/>
        <w:sz w:val="56"/>
      </w:rPr>
      <w:t></w:t>
    </w:r>
    <w:r w:rsidRPr="00BA2CB5">
      <w:rPr>
        <w:rFonts w:ascii="C39T30Lfz" w:hAnsi="C39T30Lfz"/>
        <w:spacing w:val="0"/>
        <w:w w:val="100"/>
        <w:sz w:val="56"/>
      </w:rPr>
      <w:t></w:t>
    </w:r>
    <w:r w:rsidRPr="00BA2CB5">
      <w:rPr>
        <w:rFonts w:ascii="C39T30Lfz" w:hAnsi="C39T30Lfz"/>
        <w:spacing w:val="0"/>
        <w:w w:val="100"/>
        <w:sz w:val="56"/>
      </w:rPr>
      <w:t></w:t>
    </w:r>
    <w:r w:rsidRPr="00BA2CB5">
      <w:rPr>
        <w:rFonts w:ascii="C39T30Lfz" w:hAnsi="C39T30Lfz"/>
        <w:spacing w:val="0"/>
        <w:w w:val="100"/>
        <w:sz w:val="56"/>
      </w:rPr>
      <w:t></w:t>
    </w:r>
    <w:r w:rsidRPr="00BA2CB5">
      <w:rPr>
        <w:rFonts w:ascii="C39T30Lfz" w:hAnsi="C39T30Lfz"/>
        <w:spacing w:val="0"/>
        <w:w w:val="100"/>
        <w:sz w:val="56"/>
      </w:rPr>
      <w:t></w:t>
    </w:r>
    <w:r w:rsidRPr="00BA2CB5">
      <w:rPr>
        <w:rFonts w:ascii="C39T30Lfz" w:hAnsi="C39T30Lfz"/>
        <w:spacing w:val="0"/>
        <w:w w:val="100"/>
        <w:sz w:val="56"/>
      </w:rPr>
      <w:t></w:t>
    </w:r>
    <w:r w:rsidRPr="00BA2CB5">
      <w:rPr>
        <w:rFonts w:ascii="C39T30Lfz" w:hAnsi="C39T30Lfz"/>
        <w:spacing w:val="0"/>
        <w:w w:val="100"/>
        <w:sz w:val="56"/>
      </w:rPr>
      <w:t></w:t>
    </w:r>
    <w:r w:rsidRPr="00BA2CB5">
      <w:rPr>
        <w:rFonts w:ascii="C39T30Lfz" w:hAnsi="C39T30Lfz"/>
        <w:spacing w:val="0"/>
        <w:w w:val="100"/>
        <w:sz w:val="56"/>
      </w:rPr>
      <w:t></w:t>
    </w:r>
    <w:r w:rsidRPr="00BA2CB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2174" cy="642174"/>
          <wp:effectExtent l="0" t="0" r="5715" b="5715"/>
          <wp:wrapNone/>
          <wp:docPr id="1" name="Рисунок 1" descr="https://undocs.org/m2/QRCode.ashx?DS=ECE/TRANS/WP.15/2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4" cy="64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8F" w:rsidRPr="001075E9" w:rsidRDefault="009E328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328F" w:rsidRDefault="009E328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74621" w:rsidRPr="004F20A7" w:rsidRDefault="00F74621" w:rsidP="0058796D">
      <w:pPr>
        <w:pStyle w:val="ad"/>
        <w:rPr>
          <w:lang w:val="ru-RU"/>
        </w:rPr>
      </w:pPr>
      <w:r w:rsidRPr="004258CF">
        <w:tab/>
      </w:r>
      <w:r w:rsidRPr="0058796D">
        <w:rPr>
          <w:rStyle w:val="aa"/>
        </w:rPr>
        <w:footnoteRef/>
      </w:r>
      <w:r w:rsidRPr="004F20A7">
        <w:rPr>
          <w:lang w:val="ru-RU"/>
        </w:rPr>
        <w:tab/>
        <w:t xml:space="preserve">Европейское соглашение о международной дорожной перевозке опасных грузов. </w:t>
      </w:r>
    </w:p>
  </w:footnote>
  <w:footnote w:id="2">
    <w:p w:rsidR="00F74621" w:rsidRPr="004F20A7" w:rsidRDefault="00F74621" w:rsidP="0058796D">
      <w:pPr>
        <w:pStyle w:val="ad"/>
        <w:rPr>
          <w:lang w:val="ru-RU"/>
        </w:rPr>
      </w:pPr>
      <w:r w:rsidRPr="004F20A7">
        <w:rPr>
          <w:lang w:val="ru-RU"/>
        </w:rPr>
        <w:tab/>
      </w:r>
      <w:r w:rsidRPr="0058796D">
        <w:rPr>
          <w:rStyle w:val="aa"/>
        </w:rPr>
        <w:footnoteRef/>
      </w:r>
      <w:r w:rsidRPr="004F20A7">
        <w:rPr>
          <w:lang w:val="ru-RU"/>
        </w:rPr>
        <w:tab/>
        <w:t xml:space="preserve">Правила международной перевозки опасных грузов по железным дорогам. </w:t>
      </w:r>
    </w:p>
  </w:footnote>
  <w:footnote w:id="3">
    <w:p w:rsidR="00F74621" w:rsidRPr="004F20A7" w:rsidRDefault="00F74621" w:rsidP="0058796D">
      <w:pPr>
        <w:pStyle w:val="ad"/>
        <w:rPr>
          <w:lang w:val="ru-RU"/>
        </w:rPr>
      </w:pPr>
      <w:r w:rsidRPr="004F20A7">
        <w:rPr>
          <w:lang w:val="ru-RU"/>
        </w:rPr>
        <w:tab/>
      </w:r>
      <w:r w:rsidRPr="0058796D">
        <w:rPr>
          <w:rStyle w:val="aa"/>
        </w:rPr>
        <w:footnoteRef/>
      </w:r>
      <w:r w:rsidRPr="004F20A7">
        <w:rPr>
          <w:lang w:val="ru-RU"/>
        </w:rPr>
        <w:tab/>
        <w:t xml:space="preserve">Европейское соглашение о международной перевозке опасных грузов по внутренним водным путям. </w:t>
      </w:r>
    </w:p>
  </w:footnote>
  <w:footnote w:id="4">
    <w:p w:rsidR="00F74621" w:rsidRPr="004F20A7" w:rsidRDefault="00F74621" w:rsidP="0058796D">
      <w:pPr>
        <w:pStyle w:val="ad"/>
        <w:rPr>
          <w:lang w:val="ru-RU"/>
        </w:rPr>
      </w:pPr>
      <w:r w:rsidRPr="004F20A7">
        <w:rPr>
          <w:lang w:val="ru-RU"/>
        </w:rPr>
        <w:tab/>
      </w:r>
      <w:r w:rsidRPr="00FD7BEA">
        <w:rPr>
          <w:rStyle w:val="aa"/>
        </w:rPr>
        <w:footnoteRef/>
      </w:r>
      <w:r w:rsidR="009E328F">
        <w:fldChar w:fldCharType="begin"/>
      </w:r>
      <w:r w:rsidR="009E328F" w:rsidRPr="003F1448">
        <w:rPr>
          <w:lang w:val="ru-RU"/>
        </w:rPr>
        <w:instrText xml:space="preserve"> </w:instrText>
      </w:r>
      <w:r w:rsidR="009E328F">
        <w:instrText>HYPERL</w:instrText>
      </w:r>
      <w:r w:rsidR="009E328F">
        <w:instrText>INK</w:instrText>
      </w:r>
      <w:r w:rsidR="009E328F" w:rsidRPr="003F1448">
        <w:rPr>
          <w:lang w:val="ru-RU"/>
        </w:rPr>
        <w:instrText xml:space="preserve"> "</w:instrText>
      </w:r>
      <w:r w:rsidR="009E328F">
        <w:instrText>http</w:instrText>
      </w:r>
      <w:r w:rsidR="009E328F" w:rsidRPr="003F1448">
        <w:rPr>
          <w:lang w:val="ru-RU"/>
        </w:rPr>
        <w:instrText>://</w:instrText>
      </w:r>
      <w:r w:rsidR="009E328F">
        <w:instrText>www</w:instrText>
      </w:r>
      <w:r w:rsidR="009E328F" w:rsidRPr="003F1448">
        <w:rPr>
          <w:lang w:val="ru-RU"/>
        </w:rPr>
        <w:instrText>.</w:instrText>
      </w:r>
      <w:r w:rsidR="009E328F">
        <w:instrText>unece</w:instrText>
      </w:r>
      <w:r w:rsidR="009E328F" w:rsidRPr="003F1448">
        <w:rPr>
          <w:lang w:val="ru-RU"/>
        </w:rPr>
        <w:instrText>.</w:instrText>
      </w:r>
      <w:r w:rsidR="009E328F">
        <w:instrText>org</w:instrText>
      </w:r>
      <w:r w:rsidR="009E328F" w:rsidRPr="003F1448">
        <w:rPr>
          <w:lang w:val="ru-RU"/>
        </w:rPr>
        <w:instrText>/</w:instrText>
      </w:r>
      <w:r w:rsidR="009E328F">
        <w:instrText>trans</w:instrText>
      </w:r>
      <w:r w:rsidR="009E328F" w:rsidRPr="003F1448">
        <w:rPr>
          <w:lang w:val="ru-RU"/>
        </w:rPr>
        <w:instrText>/</w:instrText>
      </w:r>
      <w:r w:rsidR="009E328F">
        <w:instrText>danger</w:instrText>
      </w:r>
      <w:r w:rsidR="009E328F" w:rsidRPr="003F1448">
        <w:rPr>
          <w:lang w:val="ru-RU"/>
        </w:rPr>
        <w:instrText>/</w:instrText>
      </w:r>
      <w:r w:rsidR="009E328F">
        <w:instrText>publi</w:instrText>
      </w:r>
      <w:r w:rsidR="009E328F" w:rsidRPr="003F1448">
        <w:rPr>
          <w:lang w:val="ru-RU"/>
        </w:rPr>
        <w:instrText>/</w:instrText>
      </w:r>
      <w:r w:rsidR="009E328F">
        <w:instrText>adr</w:instrText>
      </w:r>
      <w:r w:rsidR="009E328F" w:rsidRPr="003F1448">
        <w:rPr>
          <w:lang w:val="ru-RU"/>
        </w:rPr>
        <w:instrText>/</w:instrText>
      </w:r>
      <w:r w:rsidR="009E328F">
        <w:instrText>country</w:instrText>
      </w:r>
      <w:r w:rsidR="009E328F" w:rsidRPr="003F1448">
        <w:rPr>
          <w:lang w:val="ru-RU"/>
        </w:rPr>
        <w:instrText>-</w:instrText>
      </w:r>
      <w:r w:rsidR="009E328F">
        <w:instrText>info</w:instrText>
      </w:r>
      <w:r w:rsidR="009E328F" w:rsidRPr="003F1448">
        <w:rPr>
          <w:lang w:val="ru-RU"/>
        </w:rPr>
        <w:instrText>_</w:instrText>
      </w:r>
      <w:r w:rsidR="009E328F">
        <w:instrText>e</w:instrText>
      </w:r>
      <w:r w:rsidR="009E328F" w:rsidRPr="003F1448">
        <w:rPr>
          <w:lang w:val="ru-RU"/>
        </w:rPr>
        <w:instrText>.</w:instrText>
      </w:r>
      <w:r w:rsidR="009E328F">
        <w:instrText>html</w:instrText>
      </w:r>
      <w:r w:rsidR="009E328F" w:rsidRPr="003F1448">
        <w:rPr>
          <w:lang w:val="ru-RU"/>
        </w:rPr>
        <w:instrText xml:space="preserve">" </w:instrText>
      </w:r>
      <w:r w:rsidR="009E328F">
        <w:fldChar w:fldCharType="separate"/>
      </w:r>
      <w:r w:rsidRPr="00FD7BEA">
        <w:rPr>
          <w:rStyle w:val="af1"/>
          <w:color w:val="auto"/>
          <w:lang w:val="ru-RU"/>
        </w:rPr>
        <w:tab/>
      </w:r>
      <w:r w:rsidRPr="00FD7BEA">
        <w:rPr>
          <w:rStyle w:val="af1"/>
          <w:color w:val="auto"/>
        </w:rPr>
        <w:t>http</w:t>
      </w:r>
      <w:r w:rsidRPr="00FD7BEA">
        <w:rPr>
          <w:rStyle w:val="af1"/>
          <w:color w:val="auto"/>
          <w:lang w:val="ru-RU"/>
        </w:rPr>
        <w:t>://</w:t>
      </w:r>
      <w:r w:rsidRPr="00FD7BEA">
        <w:rPr>
          <w:rStyle w:val="af1"/>
          <w:color w:val="auto"/>
        </w:rPr>
        <w:t>www</w:t>
      </w:r>
      <w:r w:rsidRPr="00FD7BEA">
        <w:rPr>
          <w:rStyle w:val="af1"/>
          <w:color w:val="auto"/>
          <w:lang w:val="ru-RU"/>
        </w:rPr>
        <w:t>.</w:t>
      </w:r>
      <w:proofErr w:type="spellStart"/>
      <w:r w:rsidRPr="00FD7BEA">
        <w:rPr>
          <w:rStyle w:val="af1"/>
          <w:color w:val="auto"/>
        </w:rPr>
        <w:t>unece</w:t>
      </w:r>
      <w:proofErr w:type="spellEnd"/>
      <w:r w:rsidRPr="00FD7BEA">
        <w:rPr>
          <w:rStyle w:val="af1"/>
          <w:color w:val="auto"/>
          <w:lang w:val="ru-RU"/>
        </w:rPr>
        <w:t>.</w:t>
      </w:r>
      <w:r w:rsidRPr="00FD7BEA">
        <w:rPr>
          <w:rStyle w:val="af1"/>
          <w:color w:val="auto"/>
        </w:rPr>
        <w:t>org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trans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danger</w:t>
      </w:r>
      <w:r w:rsidRPr="00FD7BEA">
        <w:rPr>
          <w:rStyle w:val="af1"/>
          <w:color w:val="auto"/>
          <w:lang w:val="ru-RU"/>
        </w:rPr>
        <w:t>/</w:t>
      </w:r>
      <w:proofErr w:type="spellStart"/>
      <w:r w:rsidRPr="00FD7BEA">
        <w:rPr>
          <w:rStyle w:val="af1"/>
          <w:color w:val="auto"/>
        </w:rPr>
        <w:t>publi</w:t>
      </w:r>
      <w:proofErr w:type="spellEnd"/>
      <w:r w:rsidRPr="00FD7BEA">
        <w:rPr>
          <w:rStyle w:val="af1"/>
          <w:color w:val="auto"/>
          <w:lang w:val="ru-RU"/>
        </w:rPr>
        <w:t>/</w:t>
      </w:r>
      <w:proofErr w:type="spellStart"/>
      <w:r w:rsidRPr="00FD7BEA">
        <w:rPr>
          <w:rStyle w:val="af1"/>
          <w:color w:val="auto"/>
        </w:rPr>
        <w:t>adr</w:t>
      </w:r>
      <w:proofErr w:type="spellEnd"/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country</w:t>
      </w:r>
      <w:r w:rsidRPr="00FD7BEA">
        <w:rPr>
          <w:rStyle w:val="af1"/>
          <w:color w:val="auto"/>
          <w:lang w:val="ru-RU"/>
        </w:rPr>
        <w:t>-</w:t>
      </w:r>
      <w:r w:rsidRPr="00FD7BEA">
        <w:rPr>
          <w:rStyle w:val="af1"/>
          <w:color w:val="auto"/>
        </w:rPr>
        <w:t>info</w:t>
      </w:r>
      <w:r w:rsidRPr="00FD7BEA">
        <w:rPr>
          <w:rStyle w:val="af1"/>
          <w:color w:val="auto"/>
          <w:lang w:val="ru-RU"/>
        </w:rPr>
        <w:t>_</w:t>
      </w:r>
      <w:r w:rsidRPr="00FD7BEA">
        <w:rPr>
          <w:rStyle w:val="af1"/>
          <w:color w:val="auto"/>
        </w:rPr>
        <w:t>e</w:t>
      </w:r>
      <w:r w:rsidRPr="00FD7BEA">
        <w:rPr>
          <w:rStyle w:val="af1"/>
          <w:color w:val="auto"/>
          <w:lang w:val="ru-RU"/>
        </w:rPr>
        <w:t>.</w:t>
      </w:r>
      <w:r w:rsidRPr="00FD7BEA">
        <w:rPr>
          <w:rStyle w:val="af1"/>
          <w:color w:val="auto"/>
        </w:rPr>
        <w:t>html</w:t>
      </w:r>
      <w:r w:rsidR="009E328F">
        <w:rPr>
          <w:rStyle w:val="af1"/>
          <w:color w:val="auto"/>
        </w:rPr>
        <w:fldChar w:fldCharType="end"/>
      </w:r>
      <w:r w:rsidRPr="00FD7BEA">
        <w:rPr>
          <w:rStyle w:val="af1"/>
          <w:color w:val="auto"/>
          <w:lang w:val="ru-RU"/>
        </w:rPr>
        <w:t>.</w:t>
      </w:r>
    </w:p>
  </w:footnote>
  <w:footnote w:id="5">
    <w:p w:rsidR="00F74621" w:rsidRPr="004F20A7" w:rsidRDefault="00F74621" w:rsidP="0058796D">
      <w:pPr>
        <w:pStyle w:val="ad"/>
        <w:rPr>
          <w:lang w:val="ru-RU"/>
        </w:rPr>
      </w:pPr>
      <w:r w:rsidRPr="004F20A7">
        <w:rPr>
          <w:lang w:val="ru-RU"/>
        </w:rPr>
        <w:tab/>
      </w:r>
      <w:r w:rsidRPr="00FD7BEA">
        <w:rPr>
          <w:rStyle w:val="aa"/>
        </w:rPr>
        <w:footnoteRef/>
      </w:r>
      <w:r w:rsidRPr="004F20A7">
        <w:rPr>
          <w:lang w:val="ru-RU"/>
        </w:rPr>
        <w:tab/>
      </w:r>
      <w:r w:rsidR="009E328F">
        <w:fldChar w:fldCharType="begin"/>
      </w:r>
      <w:r w:rsidR="009E328F" w:rsidRPr="003F1448">
        <w:rPr>
          <w:lang w:val="ru-RU"/>
        </w:rPr>
        <w:instrText xml:space="preserve"> </w:instrText>
      </w:r>
      <w:r w:rsidR="009E328F">
        <w:instrText>HYPERLINK</w:instrText>
      </w:r>
      <w:r w:rsidR="009E328F" w:rsidRPr="003F1448">
        <w:rPr>
          <w:lang w:val="ru-RU"/>
        </w:rPr>
        <w:instrText xml:space="preserve"> "</w:instrText>
      </w:r>
      <w:r w:rsidR="009E328F">
        <w:instrText>http</w:instrText>
      </w:r>
      <w:r w:rsidR="009E328F" w:rsidRPr="003F1448">
        <w:rPr>
          <w:lang w:val="ru-RU"/>
        </w:rPr>
        <w:instrText>://</w:instrText>
      </w:r>
      <w:r w:rsidR="009E328F">
        <w:instrText>www</w:instrText>
      </w:r>
      <w:r w:rsidR="009E328F" w:rsidRPr="003F1448">
        <w:rPr>
          <w:lang w:val="ru-RU"/>
        </w:rPr>
        <w:instrText>.</w:instrText>
      </w:r>
      <w:r w:rsidR="009E328F">
        <w:instrText>unece</w:instrText>
      </w:r>
      <w:r w:rsidR="009E328F" w:rsidRPr="003F1448">
        <w:rPr>
          <w:lang w:val="ru-RU"/>
        </w:rPr>
        <w:instrText>.</w:instrText>
      </w:r>
      <w:r w:rsidR="009E328F">
        <w:instrText>org</w:instrText>
      </w:r>
      <w:r w:rsidR="009E328F" w:rsidRPr="003F1448">
        <w:rPr>
          <w:lang w:val="ru-RU"/>
        </w:rPr>
        <w:instrText>/</w:instrText>
      </w:r>
      <w:r w:rsidR="009E328F">
        <w:instrText>trans</w:instrText>
      </w:r>
      <w:r w:rsidR="009E328F" w:rsidRPr="003F1448">
        <w:rPr>
          <w:lang w:val="ru-RU"/>
        </w:rPr>
        <w:instrText>/</w:instrText>
      </w:r>
      <w:r w:rsidR="009E328F">
        <w:instrText>danger</w:instrText>
      </w:r>
      <w:r w:rsidR="009E328F" w:rsidRPr="003F1448">
        <w:rPr>
          <w:lang w:val="ru-RU"/>
        </w:rPr>
        <w:instrText>/</w:instrText>
      </w:r>
      <w:r w:rsidR="009E328F">
        <w:instrText>publi</w:instrText>
      </w:r>
      <w:r w:rsidR="009E328F" w:rsidRPr="003F1448">
        <w:rPr>
          <w:lang w:val="ru-RU"/>
        </w:rPr>
        <w:instrText>/</w:instrText>
      </w:r>
      <w:r w:rsidR="009E328F">
        <w:instrText>adr</w:instrText>
      </w:r>
      <w:r w:rsidR="009E328F" w:rsidRPr="003F1448">
        <w:rPr>
          <w:lang w:val="ru-RU"/>
        </w:rPr>
        <w:instrText>/</w:instrText>
      </w:r>
      <w:r w:rsidR="009E328F">
        <w:instrText>adr</w:instrText>
      </w:r>
      <w:r w:rsidR="009E328F" w:rsidRPr="003F1448">
        <w:rPr>
          <w:lang w:val="ru-RU"/>
        </w:rPr>
        <w:instrText>_</w:instrText>
      </w:r>
      <w:r w:rsidR="009E328F">
        <w:instrText>certificates</w:instrText>
      </w:r>
      <w:r w:rsidR="009E328F" w:rsidRPr="003F1448">
        <w:rPr>
          <w:lang w:val="ru-RU"/>
        </w:rPr>
        <w:instrText>.</w:instrText>
      </w:r>
      <w:r w:rsidR="009E328F">
        <w:instrText>html</w:instrText>
      </w:r>
      <w:r w:rsidR="009E328F" w:rsidRPr="003F1448">
        <w:rPr>
          <w:lang w:val="ru-RU"/>
        </w:rPr>
        <w:instrText xml:space="preserve">" </w:instrText>
      </w:r>
      <w:r w:rsidR="009E328F">
        <w:fldChar w:fldCharType="separate"/>
      </w:r>
      <w:r w:rsidRPr="00FD7BEA">
        <w:rPr>
          <w:rStyle w:val="af1"/>
          <w:color w:val="auto"/>
        </w:rPr>
        <w:t>http</w:t>
      </w:r>
      <w:r w:rsidRPr="00FD7BEA">
        <w:rPr>
          <w:rStyle w:val="af1"/>
          <w:color w:val="auto"/>
          <w:lang w:val="ru-RU"/>
        </w:rPr>
        <w:t>://</w:t>
      </w:r>
      <w:r w:rsidRPr="00FD7BEA">
        <w:rPr>
          <w:rStyle w:val="af1"/>
          <w:color w:val="auto"/>
        </w:rPr>
        <w:t>www</w:t>
      </w:r>
      <w:r w:rsidRPr="00FD7BEA">
        <w:rPr>
          <w:rStyle w:val="af1"/>
          <w:color w:val="auto"/>
          <w:lang w:val="ru-RU"/>
        </w:rPr>
        <w:t>.</w:t>
      </w:r>
      <w:proofErr w:type="spellStart"/>
      <w:r w:rsidRPr="00FD7BEA">
        <w:rPr>
          <w:rStyle w:val="af1"/>
          <w:color w:val="auto"/>
        </w:rPr>
        <w:t>unece</w:t>
      </w:r>
      <w:proofErr w:type="spellEnd"/>
      <w:r w:rsidRPr="00FD7BEA">
        <w:rPr>
          <w:rStyle w:val="af1"/>
          <w:color w:val="auto"/>
          <w:lang w:val="ru-RU"/>
        </w:rPr>
        <w:t>.</w:t>
      </w:r>
      <w:r w:rsidRPr="00FD7BEA">
        <w:rPr>
          <w:rStyle w:val="af1"/>
          <w:color w:val="auto"/>
        </w:rPr>
        <w:t>org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trans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danger</w:t>
      </w:r>
      <w:r w:rsidRPr="00FD7BEA">
        <w:rPr>
          <w:rStyle w:val="af1"/>
          <w:color w:val="auto"/>
          <w:lang w:val="ru-RU"/>
        </w:rPr>
        <w:t>/</w:t>
      </w:r>
      <w:proofErr w:type="spellStart"/>
      <w:r w:rsidRPr="00FD7BEA">
        <w:rPr>
          <w:rStyle w:val="af1"/>
          <w:color w:val="auto"/>
        </w:rPr>
        <w:t>publi</w:t>
      </w:r>
      <w:proofErr w:type="spellEnd"/>
      <w:r w:rsidRPr="00FD7BEA">
        <w:rPr>
          <w:rStyle w:val="af1"/>
          <w:color w:val="auto"/>
          <w:lang w:val="ru-RU"/>
        </w:rPr>
        <w:t>/</w:t>
      </w:r>
      <w:proofErr w:type="spellStart"/>
      <w:r w:rsidRPr="00FD7BEA">
        <w:rPr>
          <w:rStyle w:val="af1"/>
          <w:color w:val="auto"/>
        </w:rPr>
        <w:t>adr</w:t>
      </w:r>
      <w:proofErr w:type="spellEnd"/>
      <w:r w:rsidRPr="00FD7BEA">
        <w:rPr>
          <w:rStyle w:val="af1"/>
          <w:color w:val="auto"/>
          <w:lang w:val="ru-RU"/>
        </w:rPr>
        <w:t>/</w:t>
      </w:r>
      <w:proofErr w:type="spellStart"/>
      <w:r w:rsidRPr="00FD7BEA">
        <w:rPr>
          <w:rStyle w:val="af1"/>
          <w:color w:val="auto"/>
        </w:rPr>
        <w:t>adr</w:t>
      </w:r>
      <w:proofErr w:type="spellEnd"/>
      <w:r w:rsidRPr="00FD7BEA">
        <w:rPr>
          <w:rStyle w:val="af1"/>
          <w:color w:val="auto"/>
          <w:lang w:val="ru-RU"/>
        </w:rPr>
        <w:t>_</w:t>
      </w:r>
      <w:r w:rsidRPr="00FD7BEA">
        <w:rPr>
          <w:rStyle w:val="af1"/>
          <w:color w:val="auto"/>
        </w:rPr>
        <w:t>certificates</w:t>
      </w:r>
      <w:r w:rsidRPr="00FD7BEA">
        <w:rPr>
          <w:rStyle w:val="af1"/>
          <w:color w:val="auto"/>
          <w:lang w:val="ru-RU"/>
        </w:rPr>
        <w:t>.</w:t>
      </w:r>
      <w:r w:rsidRPr="00FD7BEA">
        <w:rPr>
          <w:rStyle w:val="af1"/>
          <w:color w:val="auto"/>
        </w:rPr>
        <w:t>html</w:t>
      </w:r>
      <w:r w:rsidR="009E328F">
        <w:rPr>
          <w:rStyle w:val="af1"/>
          <w:color w:val="auto"/>
        </w:rPr>
        <w:fldChar w:fldCharType="end"/>
      </w:r>
      <w:r w:rsidRPr="00FD7BEA">
        <w:rPr>
          <w:rStyle w:val="af1"/>
          <w:color w:val="auto"/>
          <w:lang w:val="ru-RU"/>
        </w:rPr>
        <w:t>.</w:t>
      </w:r>
    </w:p>
  </w:footnote>
  <w:footnote w:id="6">
    <w:p w:rsidR="00F74621" w:rsidRPr="004F20A7" w:rsidRDefault="00F74621" w:rsidP="0058796D">
      <w:pPr>
        <w:pStyle w:val="ad"/>
        <w:rPr>
          <w:lang w:val="ru-RU"/>
        </w:rPr>
      </w:pPr>
      <w:r w:rsidRPr="004F20A7">
        <w:rPr>
          <w:lang w:val="ru-RU"/>
        </w:rPr>
        <w:tab/>
      </w:r>
      <w:r w:rsidRPr="00FD7BEA">
        <w:rPr>
          <w:rStyle w:val="aa"/>
        </w:rPr>
        <w:footnoteRef/>
      </w:r>
      <w:r w:rsidRPr="004F20A7">
        <w:rPr>
          <w:lang w:val="ru-RU"/>
        </w:rPr>
        <w:tab/>
      </w:r>
      <w:r w:rsidR="009E328F">
        <w:fldChar w:fldCharType="begin"/>
      </w:r>
      <w:r w:rsidR="009E328F" w:rsidRPr="003F1448">
        <w:rPr>
          <w:lang w:val="ru-RU"/>
        </w:rPr>
        <w:instrText xml:space="preserve"> </w:instrText>
      </w:r>
      <w:r w:rsidR="009E328F">
        <w:instrText>HYPERLINK</w:instrText>
      </w:r>
      <w:r w:rsidR="009E328F" w:rsidRPr="003F1448">
        <w:rPr>
          <w:lang w:val="ru-RU"/>
        </w:rPr>
        <w:instrText xml:space="preserve"> "</w:instrText>
      </w:r>
      <w:r w:rsidR="009E328F">
        <w:instrText>http</w:instrText>
      </w:r>
      <w:r w:rsidR="009E328F" w:rsidRPr="003F1448">
        <w:rPr>
          <w:lang w:val="ru-RU"/>
        </w:rPr>
        <w:instrText>://</w:instrText>
      </w:r>
      <w:r w:rsidR="009E328F">
        <w:instrText>www</w:instrText>
      </w:r>
      <w:r w:rsidR="009E328F" w:rsidRPr="003F1448">
        <w:rPr>
          <w:lang w:val="ru-RU"/>
        </w:rPr>
        <w:instrText>.</w:instrText>
      </w:r>
      <w:r w:rsidR="009E328F">
        <w:instrText>unece</w:instrText>
      </w:r>
      <w:r w:rsidR="009E328F" w:rsidRPr="003F1448">
        <w:rPr>
          <w:lang w:val="ru-RU"/>
        </w:rPr>
        <w:instrText>.</w:instrText>
      </w:r>
      <w:r w:rsidR="009E328F">
        <w:instrText>org</w:instrText>
      </w:r>
      <w:r w:rsidR="009E328F" w:rsidRPr="003F1448">
        <w:rPr>
          <w:lang w:val="ru-RU"/>
        </w:rPr>
        <w:instrText>/</w:instrText>
      </w:r>
      <w:r w:rsidR="009E328F">
        <w:instrText>trans</w:instrText>
      </w:r>
      <w:r w:rsidR="009E328F" w:rsidRPr="003F1448">
        <w:rPr>
          <w:lang w:val="ru-RU"/>
        </w:rPr>
        <w:instrText>/</w:instrText>
      </w:r>
      <w:r w:rsidR="009E328F">
        <w:instrText>danger</w:instrText>
      </w:r>
      <w:r w:rsidR="009E328F" w:rsidRPr="003F1448">
        <w:rPr>
          <w:lang w:val="ru-RU"/>
        </w:rPr>
        <w:instrText>/</w:instrText>
      </w:r>
      <w:r w:rsidR="009E328F">
        <w:instrText>publi</w:instrText>
      </w:r>
      <w:r w:rsidR="009E328F" w:rsidRPr="003F1448">
        <w:rPr>
          <w:lang w:val="ru-RU"/>
        </w:rPr>
        <w:instrText>/</w:instrText>
      </w:r>
      <w:r w:rsidR="009E328F">
        <w:instrText>adr</w:instrText>
      </w:r>
      <w:r w:rsidR="009E328F" w:rsidRPr="003F1448">
        <w:rPr>
          <w:lang w:val="ru-RU"/>
        </w:rPr>
        <w:instrText>/</w:instrText>
      </w:r>
      <w:r w:rsidR="009E328F">
        <w:instrText>adr</w:instrText>
      </w:r>
      <w:r w:rsidR="009E328F" w:rsidRPr="003F1448">
        <w:rPr>
          <w:lang w:val="ru-RU"/>
        </w:rPr>
        <w:instrText>_</w:instrText>
      </w:r>
      <w:r w:rsidR="009E328F">
        <w:instrText>linguistic</w:instrText>
      </w:r>
      <w:r w:rsidR="009E328F" w:rsidRPr="003F1448">
        <w:rPr>
          <w:lang w:val="ru-RU"/>
        </w:rPr>
        <w:instrText>_</w:instrText>
      </w:r>
      <w:r w:rsidR="009E328F">
        <w:instrText>e</w:instrText>
      </w:r>
      <w:r w:rsidR="009E328F" w:rsidRPr="003F1448">
        <w:rPr>
          <w:lang w:val="ru-RU"/>
        </w:rPr>
        <w:instrText>.</w:instrText>
      </w:r>
      <w:r w:rsidR="009E328F">
        <w:instrText>html</w:instrText>
      </w:r>
      <w:r w:rsidR="009E328F" w:rsidRPr="003F1448">
        <w:rPr>
          <w:lang w:val="ru-RU"/>
        </w:rPr>
        <w:instrText xml:space="preserve">" </w:instrText>
      </w:r>
      <w:r w:rsidR="009E328F">
        <w:fldChar w:fldCharType="separate"/>
      </w:r>
      <w:r w:rsidRPr="00FD7BEA">
        <w:rPr>
          <w:rStyle w:val="af1"/>
          <w:color w:val="auto"/>
        </w:rPr>
        <w:t>http</w:t>
      </w:r>
      <w:r w:rsidRPr="00FD7BEA">
        <w:rPr>
          <w:rStyle w:val="af1"/>
          <w:color w:val="auto"/>
          <w:lang w:val="ru-RU"/>
        </w:rPr>
        <w:t>://</w:t>
      </w:r>
      <w:r w:rsidRPr="00FD7BEA">
        <w:rPr>
          <w:rStyle w:val="af1"/>
          <w:color w:val="auto"/>
        </w:rPr>
        <w:t>www</w:t>
      </w:r>
      <w:r w:rsidRPr="00FD7BEA">
        <w:rPr>
          <w:rStyle w:val="af1"/>
          <w:color w:val="auto"/>
          <w:lang w:val="ru-RU"/>
        </w:rPr>
        <w:t>.</w:t>
      </w:r>
      <w:proofErr w:type="spellStart"/>
      <w:r w:rsidRPr="00FD7BEA">
        <w:rPr>
          <w:rStyle w:val="af1"/>
          <w:color w:val="auto"/>
        </w:rPr>
        <w:t>unece</w:t>
      </w:r>
      <w:proofErr w:type="spellEnd"/>
      <w:r w:rsidRPr="00FD7BEA">
        <w:rPr>
          <w:rStyle w:val="af1"/>
          <w:color w:val="auto"/>
          <w:lang w:val="ru-RU"/>
        </w:rPr>
        <w:t>.</w:t>
      </w:r>
      <w:r w:rsidRPr="00FD7BEA">
        <w:rPr>
          <w:rStyle w:val="af1"/>
          <w:color w:val="auto"/>
        </w:rPr>
        <w:t>org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trans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danger</w:t>
      </w:r>
      <w:r w:rsidRPr="00FD7BEA">
        <w:rPr>
          <w:rStyle w:val="af1"/>
          <w:color w:val="auto"/>
          <w:lang w:val="ru-RU"/>
        </w:rPr>
        <w:t>/</w:t>
      </w:r>
      <w:proofErr w:type="spellStart"/>
      <w:r w:rsidRPr="00FD7BEA">
        <w:rPr>
          <w:rStyle w:val="af1"/>
          <w:color w:val="auto"/>
        </w:rPr>
        <w:t>publi</w:t>
      </w:r>
      <w:proofErr w:type="spellEnd"/>
      <w:r w:rsidRPr="00FD7BEA">
        <w:rPr>
          <w:rStyle w:val="af1"/>
          <w:color w:val="auto"/>
          <w:lang w:val="ru-RU"/>
        </w:rPr>
        <w:t>/</w:t>
      </w:r>
      <w:proofErr w:type="spellStart"/>
      <w:r w:rsidRPr="00FD7BEA">
        <w:rPr>
          <w:rStyle w:val="af1"/>
          <w:color w:val="auto"/>
        </w:rPr>
        <w:t>adr</w:t>
      </w:r>
      <w:proofErr w:type="spellEnd"/>
      <w:r w:rsidRPr="00FD7BEA">
        <w:rPr>
          <w:rStyle w:val="af1"/>
          <w:color w:val="auto"/>
          <w:lang w:val="ru-RU"/>
        </w:rPr>
        <w:t>/</w:t>
      </w:r>
      <w:proofErr w:type="spellStart"/>
      <w:r w:rsidRPr="00FD7BEA">
        <w:rPr>
          <w:rStyle w:val="af1"/>
          <w:color w:val="auto"/>
        </w:rPr>
        <w:t>adr</w:t>
      </w:r>
      <w:proofErr w:type="spellEnd"/>
      <w:r w:rsidRPr="00FD7BEA">
        <w:rPr>
          <w:rStyle w:val="af1"/>
          <w:color w:val="auto"/>
          <w:lang w:val="ru-RU"/>
        </w:rPr>
        <w:t>_</w:t>
      </w:r>
      <w:r w:rsidRPr="00FD7BEA">
        <w:rPr>
          <w:rStyle w:val="af1"/>
          <w:color w:val="auto"/>
        </w:rPr>
        <w:t>linguistic</w:t>
      </w:r>
      <w:r w:rsidRPr="00FD7BEA">
        <w:rPr>
          <w:rStyle w:val="af1"/>
          <w:color w:val="auto"/>
          <w:lang w:val="ru-RU"/>
        </w:rPr>
        <w:t>_</w:t>
      </w:r>
      <w:r w:rsidRPr="00FD7BEA">
        <w:rPr>
          <w:rStyle w:val="af1"/>
          <w:color w:val="auto"/>
        </w:rPr>
        <w:t>e</w:t>
      </w:r>
      <w:r w:rsidRPr="00FD7BEA">
        <w:rPr>
          <w:rStyle w:val="af1"/>
          <w:color w:val="auto"/>
          <w:lang w:val="ru-RU"/>
        </w:rPr>
        <w:t>.</w:t>
      </w:r>
      <w:r w:rsidRPr="00FD7BEA">
        <w:rPr>
          <w:rStyle w:val="af1"/>
          <w:color w:val="auto"/>
        </w:rPr>
        <w:t>html</w:t>
      </w:r>
      <w:r w:rsidR="009E328F">
        <w:rPr>
          <w:rStyle w:val="af1"/>
          <w:color w:val="auto"/>
        </w:rPr>
        <w:fldChar w:fldCharType="end"/>
      </w:r>
      <w:r w:rsidRPr="00FD7BEA">
        <w:rPr>
          <w:rStyle w:val="af1"/>
          <w:color w:val="auto"/>
          <w:lang w:val="ru-RU"/>
        </w:rPr>
        <w:t>.</w:t>
      </w:r>
      <w:r w:rsidRPr="004F20A7">
        <w:rPr>
          <w:lang w:val="ru-RU"/>
        </w:rPr>
        <w:t xml:space="preserve"> </w:t>
      </w:r>
    </w:p>
  </w:footnote>
  <w:footnote w:id="7">
    <w:p w:rsidR="00F74621" w:rsidRPr="004F20A7" w:rsidRDefault="00F74621" w:rsidP="0058796D">
      <w:pPr>
        <w:pStyle w:val="ad"/>
        <w:rPr>
          <w:lang w:val="ru-RU"/>
        </w:rPr>
      </w:pPr>
      <w:r w:rsidRPr="004F20A7">
        <w:rPr>
          <w:lang w:val="ru-RU"/>
        </w:rPr>
        <w:tab/>
      </w:r>
      <w:r w:rsidRPr="00FD7BEA">
        <w:rPr>
          <w:rStyle w:val="aa"/>
        </w:rPr>
        <w:footnoteRef/>
      </w:r>
      <w:r w:rsidRPr="004F20A7">
        <w:rPr>
          <w:lang w:val="ru-RU"/>
        </w:rPr>
        <w:tab/>
      </w:r>
      <w:r w:rsidR="009E328F">
        <w:fldChar w:fldCharType="begin"/>
      </w:r>
      <w:r w:rsidR="009E328F" w:rsidRPr="003F1448">
        <w:rPr>
          <w:lang w:val="ru-RU"/>
        </w:rPr>
        <w:instrText xml:space="preserve"> </w:instrText>
      </w:r>
      <w:r w:rsidR="009E328F">
        <w:instrText>HYPERLINK</w:instrText>
      </w:r>
      <w:r w:rsidR="009E328F" w:rsidRPr="003F1448">
        <w:rPr>
          <w:lang w:val="ru-RU"/>
        </w:rPr>
        <w:instrText xml:space="preserve"> "</w:instrText>
      </w:r>
      <w:r w:rsidR="009E328F">
        <w:instrText>http</w:instrText>
      </w:r>
      <w:r w:rsidR="009E328F" w:rsidRPr="003F1448">
        <w:rPr>
          <w:lang w:val="ru-RU"/>
        </w:rPr>
        <w:instrText>://</w:instrText>
      </w:r>
      <w:r w:rsidR="009E328F">
        <w:instrText>www</w:instrText>
      </w:r>
      <w:r w:rsidR="009E328F" w:rsidRPr="003F1448">
        <w:rPr>
          <w:lang w:val="ru-RU"/>
        </w:rPr>
        <w:instrText>.</w:instrText>
      </w:r>
      <w:r w:rsidR="009E328F">
        <w:instrText>unece</w:instrText>
      </w:r>
      <w:r w:rsidR="009E328F" w:rsidRPr="003F1448">
        <w:rPr>
          <w:lang w:val="ru-RU"/>
        </w:rPr>
        <w:instrText>.</w:instrText>
      </w:r>
      <w:r w:rsidR="009E328F">
        <w:instrText>org</w:instrText>
      </w:r>
      <w:r w:rsidR="009E328F" w:rsidRPr="003F1448">
        <w:rPr>
          <w:lang w:val="ru-RU"/>
        </w:rPr>
        <w:instrText>/</w:instrText>
      </w:r>
      <w:r w:rsidR="009E328F">
        <w:instrText>trans</w:instrText>
      </w:r>
      <w:r w:rsidR="009E328F" w:rsidRPr="003F1448">
        <w:rPr>
          <w:lang w:val="ru-RU"/>
        </w:rPr>
        <w:instrText>/</w:instrText>
      </w:r>
      <w:r w:rsidR="009E328F">
        <w:instrText>danger</w:instrText>
      </w:r>
      <w:r w:rsidR="009E328F" w:rsidRPr="003F1448">
        <w:rPr>
          <w:lang w:val="ru-RU"/>
        </w:rPr>
        <w:instrText>/</w:instrText>
      </w:r>
      <w:r w:rsidR="009E328F">
        <w:instrText>multi</w:instrText>
      </w:r>
      <w:r w:rsidR="009E328F" w:rsidRPr="003F1448">
        <w:rPr>
          <w:lang w:val="ru-RU"/>
        </w:rPr>
        <w:instrText>/</w:instrText>
      </w:r>
      <w:r w:rsidR="009E328F">
        <w:instrText>multi</w:instrText>
      </w:r>
      <w:r w:rsidR="009E328F" w:rsidRPr="003F1448">
        <w:rPr>
          <w:lang w:val="ru-RU"/>
        </w:rPr>
        <w:instrText>.</w:instrText>
      </w:r>
      <w:r w:rsidR="009E328F">
        <w:instrText>html</w:instrText>
      </w:r>
      <w:r w:rsidR="009E328F" w:rsidRPr="003F1448">
        <w:rPr>
          <w:lang w:val="ru-RU"/>
        </w:rPr>
        <w:instrText xml:space="preserve">" </w:instrText>
      </w:r>
      <w:r w:rsidR="009E328F">
        <w:fldChar w:fldCharType="separate"/>
      </w:r>
      <w:r w:rsidRPr="00FD7BEA">
        <w:rPr>
          <w:rStyle w:val="af1"/>
          <w:color w:val="auto"/>
        </w:rPr>
        <w:t>http</w:t>
      </w:r>
      <w:r w:rsidRPr="00FD7BEA">
        <w:rPr>
          <w:rStyle w:val="af1"/>
          <w:color w:val="auto"/>
          <w:lang w:val="ru-RU"/>
        </w:rPr>
        <w:t>://</w:t>
      </w:r>
      <w:r w:rsidRPr="00FD7BEA">
        <w:rPr>
          <w:rStyle w:val="af1"/>
          <w:color w:val="auto"/>
        </w:rPr>
        <w:t>www</w:t>
      </w:r>
      <w:r w:rsidRPr="00FD7BEA">
        <w:rPr>
          <w:rStyle w:val="af1"/>
          <w:color w:val="auto"/>
          <w:lang w:val="ru-RU"/>
        </w:rPr>
        <w:t>.</w:t>
      </w:r>
      <w:proofErr w:type="spellStart"/>
      <w:r w:rsidRPr="00FD7BEA">
        <w:rPr>
          <w:rStyle w:val="af1"/>
          <w:color w:val="auto"/>
        </w:rPr>
        <w:t>unece</w:t>
      </w:r>
      <w:proofErr w:type="spellEnd"/>
      <w:r w:rsidRPr="00FD7BEA">
        <w:rPr>
          <w:rStyle w:val="af1"/>
          <w:color w:val="auto"/>
          <w:lang w:val="ru-RU"/>
        </w:rPr>
        <w:t>.</w:t>
      </w:r>
      <w:r w:rsidRPr="00FD7BEA">
        <w:rPr>
          <w:rStyle w:val="af1"/>
          <w:color w:val="auto"/>
        </w:rPr>
        <w:t>org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trans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danger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multi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multi</w:t>
      </w:r>
      <w:r w:rsidRPr="00FD7BEA">
        <w:rPr>
          <w:rStyle w:val="af1"/>
          <w:color w:val="auto"/>
          <w:lang w:val="ru-RU"/>
        </w:rPr>
        <w:t>.</w:t>
      </w:r>
      <w:r w:rsidRPr="00FD7BEA">
        <w:rPr>
          <w:rStyle w:val="af1"/>
          <w:color w:val="auto"/>
        </w:rPr>
        <w:t>html</w:t>
      </w:r>
      <w:r w:rsidR="009E328F">
        <w:rPr>
          <w:rStyle w:val="af1"/>
          <w:color w:val="auto"/>
        </w:rPr>
        <w:fldChar w:fldCharType="end"/>
      </w:r>
      <w:r w:rsidRPr="00FD7BEA">
        <w:rPr>
          <w:rStyle w:val="af1"/>
          <w:color w:val="auto"/>
          <w:lang w:val="ru-RU"/>
        </w:rPr>
        <w:t>.</w:t>
      </w:r>
      <w:r w:rsidRPr="004F20A7">
        <w:rPr>
          <w:lang w:val="ru-RU"/>
        </w:rPr>
        <w:t xml:space="preserve"> </w:t>
      </w:r>
    </w:p>
  </w:footnote>
  <w:footnote w:id="8">
    <w:p w:rsidR="00F74621" w:rsidRPr="004F20A7" w:rsidRDefault="00F74621" w:rsidP="0058796D">
      <w:pPr>
        <w:pStyle w:val="ad"/>
        <w:rPr>
          <w:lang w:val="ru-RU"/>
        </w:rPr>
      </w:pPr>
      <w:r w:rsidRPr="004F20A7">
        <w:rPr>
          <w:lang w:val="ru-RU"/>
        </w:rPr>
        <w:tab/>
      </w:r>
      <w:r w:rsidRPr="00FD7BEA">
        <w:rPr>
          <w:rStyle w:val="aa"/>
        </w:rPr>
        <w:footnoteRef/>
      </w:r>
      <w:r w:rsidRPr="004F20A7">
        <w:rPr>
          <w:lang w:val="ru-RU"/>
        </w:rPr>
        <w:tab/>
      </w:r>
      <w:r w:rsidR="009E328F">
        <w:fldChar w:fldCharType="begin"/>
      </w:r>
      <w:r w:rsidR="009E328F" w:rsidRPr="003F1448">
        <w:rPr>
          <w:lang w:val="ru-RU"/>
        </w:rPr>
        <w:instrText xml:space="preserve"> </w:instrText>
      </w:r>
      <w:r w:rsidR="009E328F">
        <w:instrText>HYPERLINK</w:instrText>
      </w:r>
      <w:r w:rsidR="009E328F" w:rsidRPr="003F1448">
        <w:rPr>
          <w:lang w:val="ru-RU"/>
        </w:rPr>
        <w:instrText xml:space="preserve"> "</w:instrText>
      </w:r>
      <w:r w:rsidR="009E328F">
        <w:instrText>http</w:instrText>
      </w:r>
      <w:r w:rsidR="009E328F" w:rsidRPr="003F1448">
        <w:rPr>
          <w:lang w:val="ru-RU"/>
        </w:rPr>
        <w:instrText>://</w:instrText>
      </w:r>
      <w:r w:rsidR="009E328F">
        <w:instrText>www</w:instrText>
      </w:r>
      <w:r w:rsidR="009E328F" w:rsidRPr="003F1448">
        <w:rPr>
          <w:lang w:val="ru-RU"/>
        </w:rPr>
        <w:instrText>.</w:instrText>
      </w:r>
      <w:r w:rsidR="009E328F">
        <w:instrText>unece</w:instrText>
      </w:r>
      <w:r w:rsidR="009E328F" w:rsidRPr="003F1448">
        <w:rPr>
          <w:lang w:val="ru-RU"/>
        </w:rPr>
        <w:instrText>.</w:instrText>
      </w:r>
      <w:r w:rsidR="009E328F">
        <w:instrText>org</w:instrText>
      </w:r>
      <w:r w:rsidR="009E328F" w:rsidRPr="003F1448">
        <w:rPr>
          <w:lang w:val="ru-RU"/>
        </w:rPr>
        <w:instrText>/</w:instrText>
      </w:r>
      <w:r w:rsidR="009E328F">
        <w:instrText>trans</w:instrText>
      </w:r>
      <w:r w:rsidR="009E328F" w:rsidRPr="003F1448">
        <w:rPr>
          <w:lang w:val="ru-RU"/>
        </w:rPr>
        <w:instrText>/</w:instrText>
      </w:r>
      <w:r w:rsidR="009E328F">
        <w:instrText>danger</w:instrText>
      </w:r>
      <w:r w:rsidR="009E328F" w:rsidRPr="003F1448">
        <w:rPr>
          <w:lang w:val="ru-RU"/>
        </w:rPr>
        <w:instrText>/</w:instrText>
      </w:r>
      <w:r w:rsidR="009E328F">
        <w:instrText>publi</w:instrText>
      </w:r>
      <w:r w:rsidR="009E328F" w:rsidRPr="003F1448">
        <w:rPr>
          <w:lang w:val="ru-RU"/>
        </w:rPr>
        <w:instrText>/</w:instrText>
      </w:r>
      <w:r w:rsidR="009E328F">
        <w:instrText>adr</w:instrText>
      </w:r>
      <w:r w:rsidR="009E328F" w:rsidRPr="003F1448">
        <w:rPr>
          <w:lang w:val="ru-RU"/>
        </w:rPr>
        <w:instrText>/</w:instrText>
      </w:r>
      <w:r w:rsidR="009E328F">
        <w:instrText>accidents</w:instrText>
      </w:r>
      <w:r w:rsidR="009E328F" w:rsidRPr="003F1448">
        <w:rPr>
          <w:lang w:val="ru-RU"/>
        </w:rPr>
        <w:instrText>.</w:instrText>
      </w:r>
      <w:r w:rsidR="009E328F">
        <w:instrText>html</w:instrText>
      </w:r>
      <w:r w:rsidR="009E328F" w:rsidRPr="003F1448">
        <w:rPr>
          <w:lang w:val="ru-RU"/>
        </w:rPr>
        <w:instrText xml:space="preserve">" </w:instrText>
      </w:r>
      <w:r w:rsidR="009E328F">
        <w:fldChar w:fldCharType="separate"/>
      </w:r>
      <w:r w:rsidRPr="00FD7BEA">
        <w:rPr>
          <w:rStyle w:val="af1"/>
          <w:color w:val="auto"/>
        </w:rPr>
        <w:t>http</w:t>
      </w:r>
      <w:r w:rsidRPr="00FD7BEA">
        <w:rPr>
          <w:rStyle w:val="af1"/>
          <w:color w:val="auto"/>
          <w:lang w:val="ru-RU"/>
        </w:rPr>
        <w:t>://</w:t>
      </w:r>
      <w:r w:rsidRPr="00FD7BEA">
        <w:rPr>
          <w:rStyle w:val="af1"/>
          <w:color w:val="auto"/>
        </w:rPr>
        <w:t>www</w:t>
      </w:r>
      <w:r w:rsidRPr="00FD7BEA">
        <w:rPr>
          <w:rStyle w:val="af1"/>
          <w:color w:val="auto"/>
          <w:lang w:val="ru-RU"/>
        </w:rPr>
        <w:t>.</w:t>
      </w:r>
      <w:proofErr w:type="spellStart"/>
      <w:r w:rsidRPr="00FD7BEA">
        <w:rPr>
          <w:rStyle w:val="af1"/>
          <w:color w:val="auto"/>
        </w:rPr>
        <w:t>unece</w:t>
      </w:r>
      <w:proofErr w:type="spellEnd"/>
      <w:r w:rsidRPr="00FD7BEA">
        <w:rPr>
          <w:rStyle w:val="af1"/>
          <w:color w:val="auto"/>
          <w:lang w:val="ru-RU"/>
        </w:rPr>
        <w:t>.</w:t>
      </w:r>
      <w:r w:rsidRPr="00FD7BEA">
        <w:rPr>
          <w:rStyle w:val="af1"/>
          <w:color w:val="auto"/>
        </w:rPr>
        <w:t>org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trans</w:t>
      </w:r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danger</w:t>
      </w:r>
      <w:r w:rsidRPr="00FD7BEA">
        <w:rPr>
          <w:rStyle w:val="af1"/>
          <w:color w:val="auto"/>
          <w:lang w:val="ru-RU"/>
        </w:rPr>
        <w:t>/</w:t>
      </w:r>
      <w:proofErr w:type="spellStart"/>
      <w:r w:rsidRPr="00FD7BEA">
        <w:rPr>
          <w:rStyle w:val="af1"/>
          <w:color w:val="auto"/>
        </w:rPr>
        <w:t>publi</w:t>
      </w:r>
      <w:proofErr w:type="spellEnd"/>
      <w:r w:rsidRPr="00FD7BEA">
        <w:rPr>
          <w:rStyle w:val="af1"/>
          <w:color w:val="auto"/>
          <w:lang w:val="ru-RU"/>
        </w:rPr>
        <w:t>/</w:t>
      </w:r>
      <w:proofErr w:type="spellStart"/>
      <w:r w:rsidRPr="00FD7BEA">
        <w:rPr>
          <w:rStyle w:val="af1"/>
          <w:color w:val="auto"/>
        </w:rPr>
        <w:t>adr</w:t>
      </w:r>
      <w:proofErr w:type="spellEnd"/>
      <w:r w:rsidRPr="00FD7BEA">
        <w:rPr>
          <w:rStyle w:val="af1"/>
          <w:color w:val="auto"/>
          <w:lang w:val="ru-RU"/>
        </w:rPr>
        <w:t>/</w:t>
      </w:r>
      <w:r w:rsidRPr="00FD7BEA">
        <w:rPr>
          <w:rStyle w:val="af1"/>
          <w:color w:val="auto"/>
        </w:rPr>
        <w:t>accidents</w:t>
      </w:r>
      <w:r w:rsidRPr="00FD7BEA">
        <w:rPr>
          <w:rStyle w:val="af1"/>
          <w:color w:val="auto"/>
          <w:lang w:val="ru-RU"/>
        </w:rPr>
        <w:t>.</w:t>
      </w:r>
      <w:r w:rsidRPr="00FD7BEA">
        <w:rPr>
          <w:rStyle w:val="af1"/>
          <w:color w:val="auto"/>
        </w:rPr>
        <w:t>html</w:t>
      </w:r>
      <w:r w:rsidR="009E328F">
        <w:rPr>
          <w:rStyle w:val="af1"/>
          <w:color w:val="auto"/>
        </w:rPr>
        <w:fldChar w:fldCharType="end"/>
      </w:r>
      <w:r w:rsidRPr="00FD7BEA">
        <w:rPr>
          <w:rStyle w:val="af1"/>
          <w:color w:val="auto"/>
          <w:lang w:val="ru-RU"/>
        </w:rPr>
        <w:t>.</w:t>
      </w:r>
      <w:r w:rsidRPr="004F20A7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1" w:rsidRPr="00BA2CB5" w:rsidRDefault="00F7462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A214CE">
      <w:t>ECE</w:t>
    </w:r>
    <w:proofErr w:type="spellEnd"/>
    <w:r w:rsidR="00A214CE">
      <w:t>/TRANS/WP.15/239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1" w:rsidRPr="00BA2CB5" w:rsidRDefault="00F74621" w:rsidP="00BA2CB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A214CE">
      <w:t>ECE</w:t>
    </w:r>
    <w:proofErr w:type="spellEnd"/>
    <w:r w:rsidR="00A214CE">
      <w:t>/TRANS/WP.15/239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F840BB"/>
    <w:multiLevelType w:val="hybridMultilevel"/>
    <w:tmpl w:val="216EE9EE"/>
    <w:lvl w:ilvl="0" w:tplc="DDA6C5A6">
      <w:start w:val="1"/>
      <w:numFmt w:val="upperRoman"/>
      <w:lvlText w:val="%1."/>
      <w:lvlJc w:val="left"/>
      <w:pPr>
        <w:ind w:left="14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ED"/>
    <w:rsid w:val="000023E0"/>
    <w:rsid w:val="00033EE1"/>
    <w:rsid w:val="00034D7E"/>
    <w:rsid w:val="00042B72"/>
    <w:rsid w:val="000558BD"/>
    <w:rsid w:val="000B57E7"/>
    <w:rsid w:val="000B6373"/>
    <w:rsid w:val="000E155F"/>
    <w:rsid w:val="000E3786"/>
    <w:rsid w:val="000E4E5B"/>
    <w:rsid w:val="000E7E83"/>
    <w:rsid w:val="000F09DF"/>
    <w:rsid w:val="000F5DB1"/>
    <w:rsid w:val="000F61B2"/>
    <w:rsid w:val="001075E9"/>
    <w:rsid w:val="0013321B"/>
    <w:rsid w:val="0014152F"/>
    <w:rsid w:val="00152140"/>
    <w:rsid w:val="00180183"/>
    <w:rsid w:val="0018024D"/>
    <w:rsid w:val="0018649F"/>
    <w:rsid w:val="00196389"/>
    <w:rsid w:val="001B3EF6"/>
    <w:rsid w:val="001C7A89"/>
    <w:rsid w:val="00226F68"/>
    <w:rsid w:val="00255343"/>
    <w:rsid w:val="0027151D"/>
    <w:rsid w:val="00273CEA"/>
    <w:rsid w:val="002A2EFC"/>
    <w:rsid w:val="002B0106"/>
    <w:rsid w:val="002B74B1"/>
    <w:rsid w:val="002C0E18"/>
    <w:rsid w:val="002C32B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30E"/>
    <w:rsid w:val="003402C2"/>
    <w:rsid w:val="00381C24"/>
    <w:rsid w:val="00387CD4"/>
    <w:rsid w:val="00392661"/>
    <w:rsid w:val="003958D0"/>
    <w:rsid w:val="003A0D43"/>
    <w:rsid w:val="003A2433"/>
    <w:rsid w:val="003A48CE"/>
    <w:rsid w:val="003B00E5"/>
    <w:rsid w:val="003E71C7"/>
    <w:rsid w:val="003F1448"/>
    <w:rsid w:val="00402A44"/>
    <w:rsid w:val="00407B78"/>
    <w:rsid w:val="00412CD1"/>
    <w:rsid w:val="0041346C"/>
    <w:rsid w:val="00420259"/>
    <w:rsid w:val="00424203"/>
    <w:rsid w:val="00452493"/>
    <w:rsid w:val="00453318"/>
    <w:rsid w:val="00454AF2"/>
    <w:rsid w:val="00454E07"/>
    <w:rsid w:val="00472C5C"/>
    <w:rsid w:val="004A1F27"/>
    <w:rsid w:val="004B3B46"/>
    <w:rsid w:val="004E05B7"/>
    <w:rsid w:val="004E0EDF"/>
    <w:rsid w:val="004F20A7"/>
    <w:rsid w:val="004F3702"/>
    <w:rsid w:val="0050108D"/>
    <w:rsid w:val="00513081"/>
    <w:rsid w:val="00517901"/>
    <w:rsid w:val="0052074E"/>
    <w:rsid w:val="00526683"/>
    <w:rsid w:val="0054145C"/>
    <w:rsid w:val="005639C1"/>
    <w:rsid w:val="005709E0"/>
    <w:rsid w:val="00572E19"/>
    <w:rsid w:val="0057543C"/>
    <w:rsid w:val="0058796D"/>
    <w:rsid w:val="005961C8"/>
    <w:rsid w:val="005966F1"/>
    <w:rsid w:val="005D7914"/>
    <w:rsid w:val="005E2B41"/>
    <w:rsid w:val="005F0B42"/>
    <w:rsid w:val="00610B8B"/>
    <w:rsid w:val="00613F3A"/>
    <w:rsid w:val="0062646B"/>
    <w:rsid w:val="006321CF"/>
    <w:rsid w:val="006345DB"/>
    <w:rsid w:val="0063614F"/>
    <w:rsid w:val="00640959"/>
    <w:rsid w:val="00640F49"/>
    <w:rsid w:val="00680D03"/>
    <w:rsid w:val="00681A10"/>
    <w:rsid w:val="00681D6C"/>
    <w:rsid w:val="00690EB3"/>
    <w:rsid w:val="006A1ED8"/>
    <w:rsid w:val="006C2031"/>
    <w:rsid w:val="006C50CA"/>
    <w:rsid w:val="006D461A"/>
    <w:rsid w:val="006F35EE"/>
    <w:rsid w:val="007021FF"/>
    <w:rsid w:val="00712895"/>
    <w:rsid w:val="00724658"/>
    <w:rsid w:val="00734374"/>
    <w:rsid w:val="00734ACB"/>
    <w:rsid w:val="00737667"/>
    <w:rsid w:val="00743B6D"/>
    <w:rsid w:val="00757357"/>
    <w:rsid w:val="00792497"/>
    <w:rsid w:val="00806737"/>
    <w:rsid w:val="00825F8D"/>
    <w:rsid w:val="008331A5"/>
    <w:rsid w:val="00834B71"/>
    <w:rsid w:val="00845F6F"/>
    <w:rsid w:val="00846BED"/>
    <w:rsid w:val="0086445C"/>
    <w:rsid w:val="00894693"/>
    <w:rsid w:val="008A08D7"/>
    <w:rsid w:val="008A37C8"/>
    <w:rsid w:val="008B6909"/>
    <w:rsid w:val="008C7047"/>
    <w:rsid w:val="008D476A"/>
    <w:rsid w:val="008D53B6"/>
    <w:rsid w:val="008F7609"/>
    <w:rsid w:val="00906890"/>
    <w:rsid w:val="00911BE4"/>
    <w:rsid w:val="00951972"/>
    <w:rsid w:val="009608F3"/>
    <w:rsid w:val="0098381C"/>
    <w:rsid w:val="009A24AC"/>
    <w:rsid w:val="009C6FE6"/>
    <w:rsid w:val="009D7E7D"/>
    <w:rsid w:val="009E328F"/>
    <w:rsid w:val="009E5990"/>
    <w:rsid w:val="00A0567E"/>
    <w:rsid w:val="00A14DA8"/>
    <w:rsid w:val="00A214CE"/>
    <w:rsid w:val="00A22EA6"/>
    <w:rsid w:val="00A312BC"/>
    <w:rsid w:val="00A73B5B"/>
    <w:rsid w:val="00A84021"/>
    <w:rsid w:val="00A84D35"/>
    <w:rsid w:val="00A867C4"/>
    <w:rsid w:val="00A917B3"/>
    <w:rsid w:val="00AA5837"/>
    <w:rsid w:val="00AB4B51"/>
    <w:rsid w:val="00AF6516"/>
    <w:rsid w:val="00B10CC7"/>
    <w:rsid w:val="00B31ED8"/>
    <w:rsid w:val="00B36DF7"/>
    <w:rsid w:val="00B539E7"/>
    <w:rsid w:val="00B62458"/>
    <w:rsid w:val="00B671DB"/>
    <w:rsid w:val="00B9045F"/>
    <w:rsid w:val="00BA2CB5"/>
    <w:rsid w:val="00BC18B2"/>
    <w:rsid w:val="00BD33EE"/>
    <w:rsid w:val="00BE1CC7"/>
    <w:rsid w:val="00BE34FC"/>
    <w:rsid w:val="00C05A4D"/>
    <w:rsid w:val="00C106D6"/>
    <w:rsid w:val="00C119AE"/>
    <w:rsid w:val="00C60F0C"/>
    <w:rsid w:val="00C805C9"/>
    <w:rsid w:val="00C92939"/>
    <w:rsid w:val="00C9761C"/>
    <w:rsid w:val="00CA1679"/>
    <w:rsid w:val="00CB151C"/>
    <w:rsid w:val="00CD1E45"/>
    <w:rsid w:val="00CE5A1A"/>
    <w:rsid w:val="00CF55F6"/>
    <w:rsid w:val="00D33D63"/>
    <w:rsid w:val="00D42B99"/>
    <w:rsid w:val="00D5253A"/>
    <w:rsid w:val="00D55033"/>
    <w:rsid w:val="00D90028"/>
    <w:rsid w:val="00D90138"/>
    <w:rsid w:val="00DA266B"/>
    <w:rsid w:val="00DD78D1"/>
    <w:rsid w:val="00DE32CD"/>
    <w:rsid w:val="00DE4669"/>
    <w:rsid w:val="00DE7421"/>
    <w:rsid w:val="00DF4551"/>
    <w:rsid w:val="00DF5767"/>
    <w:rsid w:val="00DF71B9"/>
    <w:rsid w:val="00E12C5F"/>
    <w:rsid w:val="00E1767C"/>
    <w:rsid w:val="00E73F76"/>
    <w:rsid w:val="00E84FFE"/>
    <w:rsid w:val="00E9510E"/>
    <w:rsid w:val="00EA2C9F"/>
    <w:rsid w:val="00EA420E"/>
    <w:rsid w:val="00ED0BDA"/>
    <w:rsid w:val="00EE142A"/>
    <w:rsid w:val="00EF1360"/>
    <w:rsid w:val="00EF3220"/>
    <w:rsid w:val="00F2523A"/>
    <w:rsid w:val="00F43903"/>
    <w:rsid w:val="00F74621"/>
    <w:rsid w:val="00F84410"/>
    <w:rsid w:val="00F94155"/>
    <w:rsid w:val="00F9783F"/>
    <w:rsid w:val="00FC796B"/>
    <w:rsid w:val="00FD2EF7"/>
    <w:rsid w:val="00FD7BEA"/>
    <w:rsid w:val="00FE447E"/>
    <w:rsid w:val="00FF128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Reference/,(Footnote Reference),-E Fußnotenzeichen,BVI fnr, BVI fnr,Footnote symbol,Footnote,Footnote Reference Superscript,SUPERS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5_GR,5_G,PP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uiPriority w:val="1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styleId="30">
    <w:name w:val="List Number 3"/>
    <w:basedOn w:val="a"/>
    <w:semiHidden/>
    <w:rsid w:val="0058796D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a"/>
    <w:link w:val="SingleTxtGCar"/>
    <w:qFormat/>
    <w:rsid w:val="0058796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ar">
    <w:name w:val="_ Single Txt_G Car"/>
    <w:link w:val="SingleTxtG"/>
    <w:rsid w:val="0058796D"/>
    <w:rPr>
      <w:lang w:val="fr-CH" w:eastAsia="en-US"/>
    </w:rPr>
  </w:style>
  <w:style w:type="character" w:customStyle="1" w:styleId="termfield">
    <w:name w:val="termfield"/>
    <w:basedOn w:val="a0"/>
    <w:rsid w:val="0058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Reference/,(Footnote Reference),-E Fußnotenzeichen,BVI fnr, BVI fnr,Footnote symbol,Footnote,Footnote Reference Superscript,SUPERS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5_GR,5_G,PP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uiPriority w:val="1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styleId="30">
    <w:name w:val="List Number 3"/>
    <w:basedOn w:val="a"/>
    <w:semiHidden/>
    <w:rsid w:val="0058796D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a"/>
    <w:link w:val="SingleTxtGCar"/>
    <w:qFormat/>
    <w:rsid w:val="0058796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ar">
    <w:name w:val="_ Single Txt_G Car"/>
    <w:link w:val="SingleTxtG"/>
    <w:rsid w:val="0058796D"/>
    <w:rPr>
      <w:lang w:val="fr-CH" w:eastAsia="en-US"/>
    </w:rPr>
  </w:style>
  <w:style w:type="character" w:customStyle="1" w:styleId="termfield">
    <w:name w:val="termfield"/>
    <w:basedOn w:val="a0"/>
    <w:rsid w:val="0058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info/open-unece/evaluation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27</Pages>
  <Words>9044</Words>
  <Characters>51556</Characters>
  <Application>Microsoft Office Word</Application>
  <DocSecurity>0</DocSecurity>
  <Lines>429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ECE/TRANS/WP.15/239</vt:lpstr>
      <vt:lpstr>A/</vt:lpstr>
    </vt:vector>
  </TitlesOfParts>
  <Company>DCM</Company>
  <LinksUpToDate>false</LinksUpToDate>
  <CharactersWithSpaces>60480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ECE/TRANS/WP.15/239</dc:title>
  <dc:creator>Ekaterina SALYNSKAYA</dc:creator>
  <cp:lastModifiedBy>Salynskaya</cp:lastModifiedBy>
  <cp:revision>3</cp:revision>
  <cp:lastPrinted>2017-12-27T13:27:00Z</cp:lastPrinted>
  <dcterms:created xsi:type="dcterms:W3CDTF">2017-12-27T13:27:00Z</dcterms:created>
  <dcterms:modified xsi:type="dcterms:W3CDTF">2017-12-27T13:27:00Z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