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45DF2">
            <w:pPr>
              <w:pStyle w:val="SingleTxt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45DF2" w:rsidP="00045DF2">
            <w:pPr>
              <w:jc w:val="right"/>
            </w:pPr>
            <w:r w:rsidRPr="00045DF2">
              <w:rPr>
                <w:sz w:val="40"/>
              </w:rPr>
              <w:t>ECE</w:t>
            </w:r>
            <w:r>
              <w:t>/TRANS/WP.15/2017/22</w:t>
            </w:r>
          </w:p>
        </w:tc>
      </w:tr>
      <w:tr w:rsidR="002D5AAC" w:rsidRPr="00EF7C6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45DF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45DF2" w:rsidRDefault="00045DF2" w:rsidP="00045D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August 2017</w:t>
            </w:r>
          </w:p>
          <w:p w:rsidR="00045DF2" w:rsidRDefault="00045DF2" w:rsidP="00045D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45DF2" w:rsidRPr="008D53B6" w:rsidRDefault="00045DF2" w:rsidP="00045D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45DF2" w:rsidRPr="00D1688E" w:rsidRDefault="00045DF2" w:rsidP="00045DF2">
      <w:pPr>
        <w:pStyle w:val="SingleTxtGR"/>
        <w:spacing w:before="120"/>
        <w:ind w:left="0" w:right="1138"/>
        <w:jc w:val="left"/>
        <w:rPr>
          <w:sz w:val="28"/>
          <w:szCs w:val="28"/>
        </w:rPr>
      </w:pPr>
      <w:r w:rsidRPr="00D1688E">
        <w:rPr>
          <w:sz w:val="28"/>
          <w:szCs w:val="28"/>
        </w:rPr>
        <w:t>Комитет по внутреннему транспорту</w:t>
      </w:r>
    </w:p>
    <w:p w:rsidR="00045DF2" w:rsidRPr="00D1688E" w:rsidRDefault="00045DF2" w:rsidP="00045DF2">
      <w:pPr>
        <w:pStyle w:val="SingleTxtGR"/>
        <w:ind w:left="0" w:right="1138"/>
        <w:jc w:val="left"/>
        <w:rPr>
          <w:b/>
          <w:bCs/>
          <w:sz w:val="24"/>
          <w:szCs w:val="24"/>
        </w:rPr>
      </w:pPr>
      <w:r w:rsidRPr="00D1688E">
        <w:rPr>
          <w:b/>
          <w:bCs/>
          <w:sz w:val="24"/>
          <w:szCs w:val="24"/>
        </w:rPr>
        <w:t>Рабочая группа по перевозкам опасных грузов</w:t>
      </w:r>
    </w:p>
    <w:p w:rsidR="00E12C5F" w:rsidRPr="00FB103A" w:rsidRDefault="00045DF2" w:rsidP="00045DF2">
      <w:pPr>
        <w:rPr>
          <w:b/>
        </w:rPr>
      </w:pPr>
      <w:r w:rsidRPr="00D1688E">
        <w:rPr>
          <w:b/>
          <w:bCs/>
        </w:rPr>
        <w:t>10</w:t>
      </w:r>
      <w:r>
        <w:rPr>
          <w:b/>
          <w:bCs/>
        </w:rPr>
        <w:t>3</w:t>
      </w:r>
      <w:r w:rsidRPr="00D1688E">
        <w:rPr>
          <w:b/>
          <w:bCs/>
        </w:rPr>
        <w:t>-я сессия</w:t>
      </w:r>
      <w:r w:rsidRPr="00D1688E">
        <w:rPr>
          <w:b/>
          <w:bCs/>
        </w:rPr>
        <w:br/>
      </w:r>
      <w:r w:rsidRPr="00D1688E">
        <w:t xml:space="preserve">Женева, </w:t>
      </w:r>
      <w:r>
        <w:t>6</w:t>
      </w:r>
      <w:r w:rsidR="00FB103A" w:rsidRPr="00FB103A">
        <w:t>–</w:t>
      </w:r>
      <w:r>
        <w:t>10 ноября</w:t>
      </w:r>
      <w:r w:rsidRPr="00D1688E">
        <w:t xml:space="preserve"> 2017 года</w:t>
      </w:r>
      <w:bookmarkStart w:id="0" w:name="_GoBack"/>
      <w:bookmarkEnd w:id="0"/>
      <w:r w:rsidRPr="00D1688E">
        <w:br/>
        <w:t xml:space="preserve">Пункт </w:t>
      </w:r>
      <w:r>
        <w:t>7</w:t>
      </w:r>
      <w:r w:rsidRPr="00D1688E">
        <w:t xml:space="preserve"> предварительной повестки дня</w:t>
      </w:r>
      <w:r w:rsidRPr="00D1688E">
        <w:br/>
      </w:r>
      <w:r w:rsidRPr="006D5C09">
        <w:rPr>
          <w:b/>
        </w:rPr>
        <w:t>Программа работы</w:t>
      </w:r>
    </w:p>
    <w:p w:rsidR="00045DF2" w:rsidRPr="00045DF2" w:rsidRDefault="00045DF2" w:rsidP="00045DF2">
      <w:pPr>
        <w:pStyle w:val="HChGR"/>
      </w:pPr>
      <w:r w:rsidRPr="00045DF2">
        <w:tab/>
      </w:r>
      <w:r w:rsidRPr="00045DF2">
        <w:tab/>
        <w:t>Двухгодичная оценка</w:t>
      </w:r>
    </w:p>
    <w:p w:rsidR="00045DF2" w:rsidRPr="00045DF2" w:rsidRDefault="00045DF2" w:rsidP="00045DF2">
      <w:pPr>
        <w:pStyle w:val="H1GR"/>
      </w:pPr>
      <w:r w:rsidRPr="00045DF2">
        <w:tab/>
      </w:r>
      <w:r w:rsidRPr="00045DF2">
        <w:tab/>
        <w:t>Записка секретариата</w:t>
      </w:r>
      <w:r w:rsidRPr="00045DF2">
        <w:rPr>
          <w:b w:val="0"/>
          <w:sz w:val="20"/>
          <w:lang w:val="en-GB"/>
        </w:rPr>
        <w:footnoteReference w:customMarkFollows="1" w:id="1"/>
        <w:sym w:font="Symbol" w:char="F02A"/>
      </w:r>
    </w:p>
    <w:p w:rsidR="00045DF2" w:rsidRPr="00045DF2" w:rsidRDefault="00045DF2" w:rsidP="00045DF2">
      <w:pPr>
        <w:pStyle w:val="HChGR"/>
      </w:pPr>
      <w:r w:rsidRPr="00045DF2">
        <w:tab/>
      </w:r>
      <w:r w:rsidRPr="00045DF2">
        <w:tab/>
        <w:t>Введение</w:t>
      </w:r>
    </w:p>
    <w:p w:rsidR="00045DF2" w:rsidRPr="00045DF2" w:rsidRDefault="00045DF2" w:rsidP="00045DF2">
      <w:pPr>
        <w:pStyle w:val="SingleTxtGR"/>
      </w:pPr>
      <w:r w:rsidRPr="00045DF2">
        <w:t>1.</w:t>
      </w:r>
      <w:r w:rsidRPr="00045DF2">
        <w:tab/>
        <w:t xml:space="preserve">В ходе </w:t>
      </w:r>
      <w:r w:rsidRPr="00045DF2">
        <w:rPr>
          <w:bCs/>
        </w:rPr>
        <w:t>103-й</w:t>
      </w:r>
      <w:r w:rsidRPr="00045DF2">
        <w:t xml:space="preserve"> сессии секретариат представил в неофициальном докумен</w:t>
      </w:r>
      <w:r w:rsidR="00A31251">
        <w:t>-</w:t>
      </w:r>
      <w:r w:rsidRPr="00045DF2">
        <w:t>те</w:t>
      </w:r>
      <w:r w:rsidR="00FB103A">
        <w:rPr>
          <w:lang w:val="en-US"/>
        </w:rPr>
        <w:t> </w:t>
      </w:r>
      <w:r w:rsidRPr="00045DF2">
        <w:rPr>
          <w:lang w:val="en-GB"/>
        </w:rPr>
        <w:t>INF</w:t>
      </w:r>
      <w:r w:rsidRPr="00045DF2">
        <w:t>.8 проект общей оценки результативности деятельности Рабочей группы.</w:t>
      </w:r>
    </w:p>
    <w:p w:rsidR="00045DF2" w:rsidRPr="00045DF2" w:rsidRDefault="00045DF2" w:rsidP="00045DF2">
      <w:pPr>
        <w:pStyle w:val="SingleTxtGR"/>
      </w:pPr>
      <w:r w:rsidRPr="00045DF2">
        <w:t>2.</w:t>
      </w:r>
      <w:r w:rsidRPr="00045DF2">
        <w:tab/>
        <w:t>В соответствии с просьбой Рабочей группы (см. ECE/TRANS/WP.15/237, пункт 60) в приложении I представлен пересмотренный и обновленный вариант двухгодичной оценки деятельности Рабочей группы за 2016–2017 годы, а в приложении II – проект плана двухгодичной оценки на период 2018</w:t>
      </w:r>
      <w:r w:rsidR="00FB103A" w:rsidRPr="005C42BE">
        <w:t>–</w:t>
      </w:r>
      <w:r w:rsidRPr="00045DF2">
        <w:t>2019 годов.</w:t>
      </w:r>
    </w:p>
    <w:p w:rsidR="00FB103A" w:rsidRPr="00375B37" w:rsidRDefault="00045DF2" w:rsidP="005C42BE">
      <w:pPr>
        <w:pStyle w:val="HChGR"/>
      </w:pPr>
      <w:r w:rsidRPr="00FB103A">
        <w:br w:type="page"/>
      </w:r>
      <w:r w:rsidR="00FB103A">
        <w:lastRenderedPageBreak/>
        <w:t>Приложение</w:t>
      </w:r>
      <w:r w:rsidR="00FB103A" w:rsidRPr="00375B37">
        <w:t xml:space="preserve"> </w:t>
      </w:r>
      <w:r w:rsidR="00FB103A">
        <w:t>I</w:t>
      </w:r>
    </w:p>
    <w:p w:rsidR="00FB103A" w:rsidRPr="00375B37" w:rsidRDefault="00FB103A" w:rsidP="005C42BE">
      <w:pPr>
        <w:pStyle w:val="HChGR"/>
      </w:pPr>
      <w:r w:rsidRPr="00375B37">
        <w:tab/>
      </w:r>
      <w:r w:rsidRPr="00375B37">
        <w:tab/>
        <w:t xml:space="preserve">Оценка результативности программы </w:t>
      </w:r>
      <w:r w:rsidR="005C42BE">
        <w:br/>
      </w:r>
      <w:r>
        <w:t>за</w:t>
      </w:r>
      <w:r w:rsidRPr="00375B37">
        <w:t xml:space="preserve"> 2016–2017 год</w:t>
      </w:r>
      <w:r>
        <w:t>ы</w:t>
      </w:r>
    </w:p>
    <w:p w:rsidR="00FB103A" w:rsidRPr="005269BC" w:rsidRDefault="00FB103A" w:rsidP="005C42BE">
      <w:pPr>
        <w:pStyle w:val="H1GR"/>
      </w:pPr>
      <w:r w:rsidRPr="00375B37">
        <w:tab/>
      </w:r>
      <w:r>
        <w:t>I</w:t>
      </w:r>
      <w:r w:rsidRPr="005269BC">
        <w:t>.</w:t>
      </w:r>
      <w:r w:rsidRPr="005269BC">
        <w:tab/>
        <w:t>Направление деятельности 9.</w:t>
      </w:r>
      <w:r w:rsidRPr="00DF0070">
        <w:t>a</w:t>
      </w:r>
      <w:r w:rsidRPr="005269BC">
        <w:br/>
        <w:t>Перевозка опасных грузов (ЕЭК ООН)</w:t>
      </w:r>
    </w:p>
    <w:p w:rsidR="00FB103A" w:rsidRPr="005269BC" w:rsidRDefault="00FB103A" w:rsidP="005C42BE">
      <w:pPr>
        <w:pStyle w:val="H23GR"/>
        <w:rPr>
          <w:rFonts w:eastAsia="MS Mincho"/>
          <w:lang w:eastAsia="ja-JP"/>
        </w:rPr>
      </w:pPr>
      <w:r w:rsidRPr="005269BC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A</w:t>
      </w:r>
      <w:r w:rsidRPr="005269BC">
        <w:rPr>
          <w:rFonts w:eastAsia="MS Mincho"/>
          <w:lang w:eastAsia="ja-JP"/>
        </w:rPr>
        <w:t>.</w:t>
      </w:r>
      <w:r w:rsidRPr="005269BC">
        <w:rPr>
          <w:rFonts w:eastAsia="MS Mincho"/>
          <w:lang w:eastAsia="ja-JP"/>
        </w:rPr>
        <w:tab/>
      </w:r>
      <w:r w:rsidRPr="005269BC">
        <w:t>Ожидаемое достижение (ОД 9.а)</w:t>
      </w:r>
    </w:p>
    <w:p w:rsidR="00FB103A" w:rsidRDefault="00FB103A" w:rsidP="005C42BE">
      <w:pPr>
        <w:pStyle w:val="SingleTxtGR"/>
        <w:rPr>
          <w:b/>
        </w:rPr>
      </w:pPr>
      <w:r w:rsidRPr="005269BC">
        <w:t>1.</w:t>
      </w:r>
      <w:r w:rsidRPr="005269BC">
        <w:tab/>
        <w:t>Принятие поправок к ДОПОГ</w:t>
      </w:r>
      <w:r w:rsidRPr="00A31251">
        <w:rPr>
          <w:sz w:val="18"/>
          <w:vertAlign w:val="superscript"/>
        </w:rPr>
        <w:footnoteReference w:id="2"/>
      </w:r>
      <w:r w:rsidRPr="005269BC">
        <w:t xml:space="preserve"> и − на основе деятельности, проводимой совместно с Межправительственной организацией по международным железнодорожным перевозкам (ОТИФ) и Центральной комиссией судоходства по Рейну (ЦКСР), − поправок к МПОГ</w:t>
      </w:r>
      <w:r w:rsidRPr="00A31251">
        <w:rPr>
          <w:sz w:val="18"/>
          <w:vertAlign w:val="superscript"/>
        </w:rPr>
        <w:footnoteReference w:id="3"/>
      </w:r>
      <w:r w:rsidRPr="005269BC">
        <w:t xml:space="preserve"> и ВОПОГ</w:t>
      </w:r>
      <w:r w:rsidRPr="00A31251">
        <w:rPr>
          <w:sz w:val="18"/>
          <w:vertAlign w:val="superscript"/>
        </w:rPr>
        <w:footnoteReference w:id="4"/>
      </w:r>
      <w:r w:rsidRPr="005269BC">
        <w:t>, направленных на поддержание необходимого уровня безопасности, защиты и охраны окружающей среды в рамках единообразной, согласованной и последовательной системы правил перевозки опасных грузов, основанной на Рекомендациях Организации Объединенных Наций по перевозке опасных грузов, и их эффективное применение в рамках международного и национального законодательства.</w:t>
      </w:r>
    </w:p>
    <w:p w:rsidR="00FB103A" w:rsidRPr="004258CF" w:rsidRDefault="00FB103A" w:rsidP="005C42BE">
      <w:pPr>
        <w:pStyle w:val="H23GR"/>
        <w:rPr>
          <w:rFonts w:eastAsia="MS Mincho"/>
          <w:lang w:eastAsia="ja-JP"/>
        </w:rPr>
      </w:pPr>
      <w:r w:rsidRPr="004258CF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B</w:t>
      </w:r>
      <w:r w:rsidRPr="004258CF">
        <w:rPr>
          <w:rFonts w:eastAsia="MS Mincho"/>
          <w:lang w:eastAsia="ja-JP"/>
        </w:rPr>
        <w:t>.</w:t>
      </w:r>
      <w:r w:rsidRPr="004258CF">
        <w:rPr>
          <w:rFonts w:eastAsia="MS Mincho"/>
          <w:lang w:eastAsia="ja-JP"/>
        </w:rPr>
        <w:tab/>
      </w:r>
      <w:r w:rsidRPr="004258CF">
        <w:t>Показатели достижения</w:t>
      </w:r>
    </w:p>
    <w:p w:rsidR="00FB103A" w:rsidRDefault="00FB103A" w:rsidP="005C42BE">
      <w:pPr>
        <w:pStyle w:val="H4GR"/>
      </w:pPr>
      <w:r w:rsidRPr="004258CF">
        <w:tab/>
      </w:r>
      <w:r w:rsidRPr="00756BAC">
        <w:t>1.</w:t>
      </w:r>
      <w:r w:rsidRPr="00756BAC">
        <w:tab/>
        <w:t>Принятие</w:t>
      </w:r>
      <w:r w:rsidRPr="00786C9F">
        <w:t xml:space="preserve"> </w:t>
      </w:r>
      <w:r w:rsidRPr="00756BAC">
        <w:t>в 201</w:t>
      </w:r>
      <w:r>
        <w:t>5</w:t>
      </w:r>
      <w:r w:rsidRPr="00756BAC">
        <w:t xml:space="preserve"> и 201</w:t>
      </w:r>
      <w:r>
        <w:t>6</w:t>
      </w:r>
      <w:r w:rsidRPr="00756BAC">
        <w:t xml:space="preserve"> годах поправок к ДОПОГ, МПОГ и ВОПОГ, которые отражают, в частности, Рекомендации Организации Объединенных Наций </w:t>
      </w:r>
      <w:r w:rsidRPr="00756BAC">
        <w:br/>
        <w:t>по перевозке опасных грузов − Типовые правила 201</w:t>
      </w:r>
      <w:r>
        <w:t>5</w:t>
      </w:r>
      <w:r w:rsidRPr="00756BAC">
        <w:t xml:space="preserve"> года (</w:t>
      </w:r>
      <w:r>
        <w:t>девят</w:t>
      </w:r>
      <w:r w:rsidRPr="00756BAC">
        <w:t>надцатое пересмотренное издание), их вступление в силу с 1 января 201</w:t>
      </w:r>
      <w:r>
        <w:t>7</w:t>
      </w:r>
      <w:r w:rsidRPr="00756BAC">
        <w:t xml:space="preserve"> года </w:t>
      </w:r>
      <w:r w:rsidRPr="00756BAC">
        <w:br/>
        <w:t>для международных перевозок и введение в действие для внутренних перевозок во всех странах − членах Е</w:t>
      </w:r>
      <w:r>
        <w:t>вропейского союза</w:t>
      </w:r>
      <w:r w:rsidRPr="00756BAC">
        <w:t xml:space="preserve"> и в Европейском экономическом пространстве с 1 июля 201</w:t>
      </w:r>
      <w:r>
        <w:t>7</w:t>
      </w:r>
      <w:r w:rsidRPr="00756BAC">
        <w:t xml:space="preserve"> года (ПД 9.</w:t>
      </w:r>
      <w:r w:rsidRPr="00DF0070">
        <w:t>a</w:t>
      </w:r>
      <w:r w:rsidRPr="00756BAC">
        <w:t xml:space="preserve"> а))</w:t>
      </w:r>
    </w:p>
    <w:p w:rsidR="00FB103A" w:rsidRPr="000608A0" w:rsidRDefault="00FB103A" w:rsidP="005C42BE">
      <w:pPr>
        <w:pStyle w:val="H4GR"/>
      </w:pPr>
      <w:r w:rsidRPr="00786C9F">
        <w:tab/>
      </w:r>
      <w:r w:rsidRPr="00786C9F">
        <w:tab/>
      </w:r>
      <w:r w:rsidRPr="000608A0">
        <w:t>Показатели результативности:</w:t>
      </w:r>
    </w:p>
    <w:p w:rsidR="00FB103A" w:rsidRPr="000608A0" w:rsidRDefault="00ED0B7C" w:rsidP="005C42BE">
      <w:pPr>
        <w:pStyle w:val="SingleTxtGR"/>
      </w:pPr>
      <w:r>
        <w:t>Исходные показатели за 2014</w:t>
      </w:r>
      <w:r w:rsidRPr="00ED0B7C">
        <w:t>–</w:t>
      </w:r>
      <w:r w:rsidR="00FB103A" w:rsidRPr="000608A0">
        <w:t>2015 год</w:t>
      </w:r>
      <w:r w:rsidR="00FB103A">
        <w:t>ы</w:t>
      </w:r>
      <w:r w:rsidR="00FB103A" w:rsidRPr="000608A0">
        <w:t>: 1 набор поправок к ДОПОГ, МПОГ и ВОПОГ.</w:t>
      </w:r>
    </w:p>
    <w:p w:rsidR="00FB103A" w:rsidRPr="000608A0" w:rsidRDefault="00FB103A" w:rsidP="005C42BE">
      <w:pPr>
        <w:pStyle w:val="SingleTxtGR"/>
      </w:pPr>
      <w:r w:rsidRPr="000608A0">
        <w:t>Целевые показатели на 201</w:t>
      </w:r>
      <w:r>
        <w:t>6</w:t>
      </w:r>
      <w:r w:rsidRPr="000608A0">
        <w:t>–201</w:t>
      </w:r>
      <w:r>
        <w:t>7</w:t>
      </w:r>
      <w:r w:rsidRPr="000608A0">
        <w:t xml:space="preserve"> годы: 1 набор поправок к каждому правовому документу.</w:t>
      </w:r>
    </w:p>
    <w:p w:rsidR="00FB103A" w:rsidRPr="00244394" w:rsidRDefault="00FB103A" w:rsidP="005C42BE">
      <w:pPr>
        <w:pStyle w:val="SingleTxtGR"/>
        <w:rPr>
          <w:b/>
          <w:lang w:val="en-US"/>
        </w:rPr>
      </w:pPr>
      <w:r w:rsidRPr="005C42BE">
        <w:rPr>
          <w:b/>
        </w:rPr>
        <w:t>Фактические показатели за 2016–2017 годы: 1 набор поправок к каждому правовому документу (уведомления депозитария ООН C.N.443.2016.</w:t>
      </w:r>
      <w:r w:rsidR="00EF7C68">
        <w:rPr>
          <w:b/>
        </w:rPr>
        <w:br/>
      </w:r>
      <w:r w:rsidRPr="00244394">
        <w:rPr>
          <w:b/>
          <w:lang w:val="en-US"/>
        </w:rPr>
        <w:t xml:space="preserve">TREATIES.XI.B.14 </w:t>
      </w:r>
      <w:r w:rsidRPr="005C42BE">
        <w:rPr>
          <w:b/>
        </w:rPr>
        <w:t>и</w:t>
      </w:r>
      <w:r w:rsidRPr="00244394">
        <w:rPr>
          <w:b/>
          <w:lang w:val="en-US"/>
        </w:rPr>
        <w:t xml:space="preserve"> C.N.744.2016.TREATIES.XI.B.14; </w:t>
      </w:r>
      <w:r w:rsidRPr="00244394">
        <w:rPr>
          <w:b/>
          <w:color w:val="4C4845"/>
          <w:spacing w:val="-3"/>
          <w:bdr w:val="none" w:sz="0" w:space="0" w:color="auto" w:frame="1"/>
          <w:lang w:val="en-US"/>
        </w:rPr>
        <w:t>C.N.444.2016.</w:t>
      </w:r>
      <w:r w:rsidR="00244394" w:rsidRPr="00244394">
        <w:rPr>
          <w:b/>
          <w:color w:val="4C4845"/>
          <w:spacing w:val="-3"/>
          <w:bdr w:val="none" w:sz="0" w:space="0" w:color="auto" w:frame="1"/>
          <w:lang w:val="en-US"/>
        </w:rPr>
        <w:br/>
      </w:r>
      <w:r w:rsidRPr="00244394">
        <w:rPr>
          <w:b/>
          <w:color w:val="4C4845"/>
          <w:spacing w:val="-3"/>
          <w:bdr w:val="none" w:sz="0" w:space="0" w:color="auto" w:frame="1"/>
          <w:lang w:val="en-US"/>
        </w:rPr>
        <w:t>TREATIES-XI.D.6/C.N.743.2016.TREATIES-XI.D.6</w:t>
      </w:r>
      <w:r w:rsidRPr="00244394">
        <w:rPr>
          <w:b/>
          <w:lang w:val="en-US"/>
        </w:rPr>
        <w:t xml:space="preserve"> </w:t>
      </w:r>
      <w:r w:rsidRPr="005C42BE">
        <w:rPr>
          <w:b/>
        </w:rPr>
        <w:t>и</w:t>
      </w:r>
      <w:r w:rsidRPr="00244394">
        <w:rPr>
          <w:b/>
          <w:lang w:val="en-US"/>
        </w:rPr>
        <w:t xml:space="preserve"> </w:t>
      </w:r>
      <w:r w:rsidRPr="00244394">
        <w:rPr>
          <w:b/>
          <w:color w:val="4C4845"/>
          <w:spacing w:val="-3"/>
          <w:bdr w:val="none" w:sz="0" w:space="0" w:color="auto" w:frame="1"/>
          <w:lang w:val="en-US"/>
        </w:rPr>
        <w:t>C.N.607.2016.TREATIES-XI.D.6/C.N.897.2016.TREATIES-XI.D.6</w:t>
      </w:r>
      <w:r w:rsidRPr="00244394">
        <w:rPr>
          <w:b/>
          <w:lang w:val="en-US"/>
        </w:rPr>
        <w:t xml:space="preserve">; </w:t>
      </w:r>
      <w:r w:rsidRPr="005C42BE">
        <w:rPr>
          <w:b/>
        </w:rPr>
        <w:t>уведомления</w:t>
      </w:r>
      <w:r w:rsidRPr="00244394">
        <w:rPr>
          <w:b/>
          <w:lang w:val="en-US"/>
        </w:rPr>
        <w:t xml:space="preserve"> </w:t>
      </w:r>
      <w:r w:rsidRPr="005C42BE">
        <w:rPr>
          <w:b/>
        </w:rPr>
        <w:t>ОТИФ</w:t>
      </w:r>
      <w:r w:rsidRPr="00244394">
        <w:rPr>
          <w:b/>
          <w:lang w:val="en-US"/>
        </w:rPr>
        <w:t xml:space="preserve"> RID-16003-CE54, OTIF/RID/NOT/2017 </w:t>
      </w:r>
      <w:r w:rsidRPr="005C42BE">
        <w:rPr>
          <w:b/>
        </w:rPr>
        <w:t>и</w:t>
      </w:r>
      <w:r w:rsidRPr="00244394">
        <w:rPr>
          <w:b/>
          <w:lang w:val="en-US"/>
        </w:rPr>
        <w:t xml:space="preserve"> RID-16009-CE54).</w:t>
      </w:r>
    </w:p>
    <w:p w:rsidR="00FB103A" w:rsidRPr="00AA54B4" w:rsidRDefault="00FB103A" w:rsidP="005C42BE">
      <w:pPr>
        <w:pStyle w:val="H4GR"/>
      </w:pPr>
      <w:r w:rsidRPr="00244394">
        <w:rPr>
          <w:lang w:val="en-US"/>
        </w:rPr>
        <w:tab/>
      </w:r>
      <w:r w:rsidRPr="00AA54B4">
        <w:t>2.</w:t>
      </w:r>
      <w:r w:rsidRPr="00AA54B4">
        <w:tab/>
        <w:t xml:space="preserve">Опубликование до конца 2016 года сводных пересмотренных изданий ДОПОГ </w:t>
      </w:r>
      <w:r w:rsidR="00ED0B7C" w:rsidRPr="00ED0B7C">
        <w:br/>
      </w:r>
      <w:r w:rsidRPr="00AA54B4">
        <w:t>и ВОПОГ 2017 года (ПД 9.</w:t>
      </w:r>
      <w:r>
        <w:t>a</w:t>
      </w:r>
      <w:r w:rsidRPr="00AA54B4">
        <w:t xml:space="preserve"> </w:t>
      </w:r>
      <w:r>
        <w:t>b</w:t>
      </w:r>
      <w:r w:rsidRPr="00AA54B4">
        <w:t>))</w:t>
      </w:r>
    </w:p>
    <w:p w:rsidR="00FB103A" w:rsidRPr="00903A82" w:rsidRDefault="00FB103A" w:rsidP="005C42BE">
      <w:pPr>
        <w:pStyle w:val="H4GR"/>
      </w:pPr>
      <w:r>
        <w:tab/>
      </w:r>
      <w:r>
        <w:tab/>
      </w:r>
      <w:r w:rsidRPr="00903A82">
        <w:t>Показатели результативности:</w:t>
      </w:r>
    </w:p>
    <w:p w:rsidR="00FB103A" w:rsidRPr="00903A82" w:rsidRDefault="00FB103A" w:rsidP="005C42BE">
      <w:pPr>
        <w:pStyle w:val="SingleTxtGR"/>
      </w:pPr>
      <w:r w:rsidRPr="00903A82">
        <w:t xml:space="preserve">Исходные показатели за 2014–2015 годы: </w:t>
      </w:r>
      <w:r w:rsidR="004228E0" w:rsidRPr="004228E0">
        <w:t>1</w:t>
      </w:r>
      <w:r w:rsidRPr="00903A82">
        <w:t xml:space="preserve"> ДОПОГ, </w:t>
      </w:r>
      <w:r w:rsidR="004228E0" w:rsidRPr="004228E0">
        <w:t>1</w:t>
      </w:r>
      <w:r w:rsidRPr="00903A82">
        <w:t xml:space="preserve"> ВОПОГ</w:t>
      </w:r>
      <w:r>
        <w:t>.</w:t>
      </w:r>
    </w:p>
    <w:p w:rsidR="00FB103A" w:rsidRPr="00903A82" w:rsidRDefault="00FB103A" w:rsidP="005C42BE">
      <w:pPr>
        <w:pStyle w:val="SingleTxtGR"/>
      </w:pPr>
      <w:r w:rsidRPr="00903A82">
        <w:t>Целевые показатели на 201</w:t>
      </w:r>
      <w:r>
        <w:t>6</w:t>
      </w:r>
      <w:r w:rsidRPr="00903A82">
        <w:t>–201</w:t>
      </w:r>
      <w:r>
        <w:t>7</w:t>
      </w:r>
      <w:r w:rsidRPr="00903A82">
        <w:t xml:space="preserve"> годы: </w:t>
      </w:r>
      <w:r w:rsidR="004228E0" w:rsidRPr="004228E0">
        <w:t>1</w:t>
      </w:r>
      <w:r w:rsidRPr="00903A82">
        <w:t xml:space="preserve"> ДОПОГ, </w:t>
      </w:r>
      <w:r w:rsidR="004228E0" w:rsidRPr="004228E0">
        <w:t>1</w:t>
      </w:r>
      <w:r w:rsidRPr="00903A82">
        <w:t xml:space="preserve"> ВОПОГ</w:t>
      </w:r>
      <w:r>
        <w:t>.</w:t>
      </w:r>
    </w:p>
    <w:p w:rsidR="00FB103A" w:rsidRPr="005C42BE" w:rsidRDefault="00FB103A" w:rsidP="005C42BE">
      <w:pPr>
        <w:pStyle w:val="SingleTxtGR"/>
        <w:rPr>
          <w:b/>
        </w:rPr>
      </w:pPr>
      <w:r w:rsidRPr="005C42BE">
        <w:rPr>
          <w:b/>
        </w:rPr>
        <w:lastRenderedPageBreak/>
        <w:t xml:space="preserve">Фактические показатели за 2016–2017 годы: </w:t>
      </w:r>
      <w:r w:rsidR="004228E0">
        <w:rPr>
          <w:b/>
        </w:rPr>
        <w:t>1</w:t>
      </w:r>
      <w:r w:rsidRPr="005C42BE">
        <w:rPr>
          <w:b/>
        </w:rPr>
        <w:t xml:space="preserve"> ДОПОГ (ECE/TRANS/257, тома I и II, в продаже под номером R.16.VIII.1), </w:t>
      </w:r>
      <w:r w:rsidR="00A212CB">
        <w:rPr>
          <w:b/>
        </w:rPr>
        <w:t>1</w:t>
      </w:r>
      <w:r w:rsidRPr="005C42BE">
        <w:rPr>
          <w:b/>
        </w:rPr>
        <w:t xml:space="preserve"> ВОПОГ (ECE/TRANS/258, тома I и II, в продаже под номером R.16.VIII.3).</w:t>
      </w:r>
    </w:p>
    <w:p w:rsidR="00FB103A" w:rsidRPr="00966D86" w:rsidRDefault="00FB103A" w:rsidP="005C42BE">
      <w:pPr>
        <w:pStyle w:val="H23GR"/>
      </w:pPr>
      <w:r w:rsidRPr="004258CF">
        <w:tab/>
      </w:r>
      <w:r>
        <w:t>C</w:t>
      </w:r>
      <w:r w:rsidRPr="00966D86">
        <w:t>.</w:t>
      </w:r>
      <w:r w:rsidRPr="00966D86">
        <w:tab/>
        <w:t>Оценка результативности</w:t>
      </w:r>
    </w:p>
    <w:p w:rsidR="00FB103A" w:rsidRPr="00FF70C6" w:rsidRDefault="00FB103A" w:rsidP="005C42BE">
      <w:pPr>
        <w:pStyle w:val="SingleTxtGR"/>
      </w:pPr>
      <w:r w:rsidRPr="00966D86">
        <w:t>2.</w:t>
      </w:r>
      <w:r w:rsidRPr="00966D86">
        <w:tab/>
        <w:t xml:space="preserve">Сознавая необходимость облегчения международных грузовых перевозок, а также повышения безопасности и защищенности транспорта, Договаривающиеся стороны продолжили работу по обновлению ДОПОГ, МПОГ и ВОПОГ с учетом новых технических достижений, требований и потребностей транспортного сектора. В целях согласования условий перевозок различными видами транспорта Договаривающиеся стороны приняли поправки для транспонирования </w:t>
      </w:r>
      <w:r>
        <w:t>девят</w:t>
      </w:r>
      <w:r w:rsidRPr="00966D86">
        <w:t>надцато</w:t>
      </w:r>
      <w:r>
        <w:t>го</w:t>
      </w:r>
      <w:r w:rsidRPr="00966D86">
        <w:t xml:space="preserve"> пересмотренно</w:t>
      </w:r>
      <w:r>
        <w:t>го</w:t>
      </w:r>
      <w:r w:rsidRPr="00966D86">
        <w:t xml:space="preserve"> издани</w:t>
      </w:r>
      <w:r>
        <w:t>я</w:t>
      </w:r>
      <w:r w:rsidRPr="00966D86">
        <w:t xml:space="preserve"> Типовых правил Организации Объединенных Наций (</w:t>
      </w:r>
      <w:r>
        <w:t>2015</w:t>
      </w:r>
      <w:r w:rsidRPr="00966D86">
        <w:t xml:space="preserve"> года</w:t>
      </w:r>
      <w:r>
        <w:t>)</w:t>
      </w:r>
      <w:r w:rsidRPr="00966D86">
        <w:t xml:space="preserve"> без возобновления технических дискуссий (например, в </w:t>
      </w:r>
      <w:r w:rsidRPr="00444198">
        <w:t xml:space="preserve">отношении </w:t>
      </w:r>
      <w:r>
        <w:t xml:space="preserve">перевозки </w:t>
      </w:r>
      <w:r w:rsidRPr="00444198">
        <w:t>вязких жидкостей; газов; полимеризующихся веществ; двигателей внутреннего сгорания, работающих на легковоспламеняющихся жидкостях или газах, или машин с такими двигателями; электромобилей; литиевых батарей; и систем выдачи аммиака</w:t>
      </w:r>
      <w:r w:rsidRPr="00966D86">
        <w:t xml:space="preserve">). </w:t>
      </w:r>
      <w:r w:rsidRPr="00FF70C6">
        <w:t>Они сосредоточили свои усилия на проблемах конкретных видов транспорта.</w:t>
      </w:r>
    </w:p>
    <w:p w:rsidR="00FB103A" w:rsidRPr="00F30ACC" w:rsidRDefault="00FB103A" w:rsidP="005C42BE">
      <w:pPr>
        <w:pStyle w:val="SingleTxtGR"/>
      </w:pPr>
      <w:r w:rsidRPr="00444198">
        <w:t>3.</w:t>
      </w:r>
      <w:r w:rsidRPr="00444198">
        <w:tab/>
      </w:r>
      <w:r w:rsidRPr="00F30ACC">
        <w:t xml:space="preserve">В области автомобильного транспорта Рабочая группа по перевозкам опасных грузов приняла новые и пересмотренные требования в отношении </w:t>
      </w:r>
      <w:r w:rsidRPr="00F30ACC">
        <w:rPr>
          <w:rFonts w:eastAsiaTheme="minorEastAsia"/>
          <w:color w:val="000000"/>
        </w:rPr>
        <w:t>к</w:t>
      </w:r>
      <w:r>
        <w:rPr>
          <w:rFonts w:eastAsiaTheme="minorEastAsia"/>
          <w:color w:val="000000"/>
        </w:rPr>
        <w:t>онструкции транспортных средств;</w:t>
      </w:r>
      <w:r w:rsidRPr="00F30ACC">
        <w:rPr>
          <w:rFonts w:eastAsiaTheme="minorEastAsia"/>
          <w:color w:val="000000"/>
        </w:rPr>
        <w:t xml:space="preserve"> экзаменов для консультантов по вопросам безопасности и водителей транспортных сре</w:t>
      </w:r>
      <w:r>
        <w:rPr>
          <w:rFonts w:eastAsiaTheme="minorEastAsia"/>
          <w:color w:val="000000"/>
        </w:rPr>
        <w:t>дств, перевозящих опасные грузы;</w:t>
      </w:r>
      <w:r w:rsidRPr="00F30ACC">
        <w:rPr>
          <w:rFonts w:eastAsiaTheme="minorEastAsia"/>
          <w:color w:val="000000"/>
        </w:rPr>
        <w:t xml:space="preserve"> и содержания письменных инструкций, которые должны находиться на борту транспортных средств.</w:t>
      </w:r>
      <w:r w:rsidRPr="00F30ACC">
        <w:t xml:space="preserve"> Поправки к ДОПОГ и МПОГ вступили в силу 1 января 201</w:t>
      </w:r>
      <w:r>
        <w:t>7</w:t>
      </w:r>
      <w:r w:rsidRPr="00F30ACC">
        <w:t xml:space="preserve"> года.</w:t>
      </w:r>
    </w:p>
    <w:p w:rsidR="00FB103A" w:rsidRDefault="00FB103A" w:rsidP="005C42BE">
      <w:pPr>
        <w:pStyle w:val="SingleTxtGR"/>
      </w:pPr>
      <w:r w:rsidRPr="00F30ACC">
        <w:t>4.</w:t>
      </w:r>
      <w:r w:rsidRPr="00F30ACC">
        <w:tab/>
        <w:t>Соответствующие поправки к ВОПОГ были разработаны Комитетом по безопасности ВОПОГ</w:t>
      </w:r>
      <w:r>
        <w:t xml:space="preserve"> </w:t>
      </w:r>
      <w:r w:rsidRPr="00F30ACC">
        <w:t>и приняты Административным комитетом ВОПОГ вместе с дополнительными поправками, непосредственно касающимися судоходства по внутренним водным путям; они вступили в силу одновременно 1 января 201</w:t>
      </w:r>
      <w:r>
        <w:t xml:space="preserve">7 </w:t>
      </w:r>
      <w:r w:rsidRPr="00F30ACC">
        <w:t>года.</w:t>
      </w:r>
    </w:p>
    <w:p w:rsidR="00FB103A" w:rsidRDefault="00FB103A" w:rsidP="005C42BE">
      <w:pPr>
        <w:pStyle w:val="SingleTxtGR"/>
      </w:pPr>
      <w:r w:rsidRPr="00F30ACC">
        <w:t>5.</w:t>
      </w:r>
      <w:r w:rsidRPr="00F30ACC">
        <w:tab/>
        <w:t>В директиву 2008/68/</w:t>
      </w:r>
      <w:r w:rsidRPr="00903A82">
        <w:t>EC</w:t>
      </w:r>
      <w:r w:rsidRPr="00F30ACC">
        <w:t xml:space="preserve">, обязывающую государства − члены </w:t>
      </w:r>
      <w:r w:rsidRPr="00756BAC">
        <w:t>Е</w:t>
      </w:r>
      <w:r>
        <w:t>вропейского союза</w:t>
      </w:r>
      <w:r w:rsidRPr="00756BAC">
        <w:t xml:space="preserve"> и Европейско</w:t>
      </w:r>
      <w:r>
        <w:t>го</w:t>
      </w:r>
      <w:r w:rsidRPr="00756BAC">
        <w:t xml:space="preserve"> экономическо</w:t>
      </w:r>
      <w:r>
        <w:t>го</w:t>
      </w:r>
      <w:r w:rsidRPr="00756BAC">
        <w:t xml:space="preserve"> пространств</w:t>
      </w:r>
      <w:r>
        <w:t>а</w:t>
      </w:r>
      <w:r w:rsidRPr="00F30ACC">
        <w:t xml:space="preserve"> применять приложения ДОПОГ, МПОГ и ВОПОГ к внутренним перевозкам, были внесены соответствующие поправки во исполнение директивы 201</w:t>
      </w:r>
      <w:r>
        <w:t>6</w:t>
      </w:r>
      <w:r w:rsidRPr="00F30ACC">
        <w:t>/</w:t>
      </w:r>
      <w:r>
        <w:t>2309</w:t>
      </w:r>
      <w:r w:rsidRPr="00F30ACC">
        <w:t xml:space="preserve"> Комиссии от 1</w:t>
      </w:r>
      <w:r>
        <w:t>6 декабря</w:t>
      </w:r>
      <w:r w:rsidRPr="00F30ACC">
        <w:t xml:space="preserve"> 201</w:t>
      </w:r>
      <w:r>
        <w:t>6</w:t>
      </w:r>
      <w:r w:rsidRPr="00F30ACC">
        <w:t xml:space="preserve"> года, согласно которой эти положения с поправками должны быть введены в действие не позднее 30 июня 201</w:t>
      </w:r>
      <w:r>
        <w:t>7</w:t>
      </w:r>
      <w:r w:rsidRPr="00F30ACC">
        <w:t xml:space="preserve"> года.</w:t>
      </w:r>
    </w:p>
    <w:p w:rsidR="00FB103A" w:rsidRDefault="00FB103A" w:rsidP="005C42BE">
      <w:pPr>
        <w:pStyle w:val="SingleTxtGR"/>
      </w:pPr>
      <w:r w:rsidRPr="007528F7">
        <w:t>6.</w:t>
      </w:r>
      <w:r w:rsidRPr="007528F7">
        <w:tab/>
        <w:t>Секретариатом был подготовлен сводный текст ДОПОГ и ВОПОГ на английском и французском языках, опубликованный в июне 201</w:t>
      </w:r>
      <w:r>
        <w:t>6</w:t>
      </w:r>
      <w:r w:rsidRPr="007528F7">
        <w:t xml:space="preserve"> года в случае ДОПОГ (</w:t>
      </w:r>
      <w:r w:rsidRPr="00903A82">
        <w:t>ECE</w:t>
      </w:r>
      <w:r w:rsidRPr="007528F7">
        <w:t>/</w:t>
      </w:r>
      <w:r w:rsidRPr="00903A82">
        <w:t>TRANS</w:t>
      </w:r>
      <w:r w:rsidRPr="007528F7">
        <w:t>/2</w:t>
      </w:r>
      <w:r>
        <w:t>57</w:t>
      </w:r>
      <w:r w:rsidRPr="007528F7">
        <w:t xml:space="preserve">, тома </w:t>
      </w:r>
      <w:r w:rsidRPr="00903A82">
        <w:t>I</w:t>
      </w:r>
      <w:r w:rsidRPr="007528F7">
        <w:t xml:space="preserve"> и </w:t>
      </w:r>
      <w:r w:rsidRPr="00903A82">
        <w:t>II</w:t>
      </w:r>
      <w:r w:rsidRPr="007528F7">
        <w:t xml:space="preserve">) и в </w:t>
      </w:r>
      <w:r>
        <w:t>окт</w:t>
      </w:r>
      <w:r w:rsidRPr="007528F7">
        <w:t>ябре 201</w:t>
      </w:r>
      <w:r>
        <w:t>6</w:t>
      </w:r>
      <w:r w:rsidRPr="007528F7">
        <w:t xml:space="preserve"> года в случае ВОПОГ (</w:t>
      </w:r>
      <w:r w:rsidRPr="00903A82">
        <w:t>ECE</w:t>
      </w:r>
      <w:r w:rsidRPr="007528F7">
        <w:t>/</w:t>
      </w:r>
      <w:r w:rsidRPr="00903A82">
        <w:t>TRANS</w:t>
      </w:r>
      <w:r w:rsidRPr="007528F7">
        <w:t>/2</w:t>
      </w:r>
      <w:r>
        <w:t>58</w:t>
      </w:r>
      <w:r w:rsidRPr="007528F7">
        <w:t>). Тексты ДОПОГ и ВОПОГ на русском языке были опубликованы в декабре 201</w:t>
      </w:r>
      <w:r>
        <w:t>6</w:t>
      </w:r>
      <w:r w:rsidRPr="007528F7">
        <w:t xml:space="preserve"> года.</w:t>
      </w:r>
    </w:p>
    <w:p w:rsidR="00FB103A" w:rsidRPr="00C05910" w:rsidRDefault="00FB103A" w:rsidP="005C42BE">
      <w:pPr>
        <w:pStyle w:val="H23GR"/>
      </w:pPr>
      <w:r w:rsidRPr="00FF70C6">
        <w:rPr>
          <w:i/>
        </w:rPr>
        <w:tab/>
      </w:r>
      <w:r>
        <w:t>D</w:t>
      </w:r>
      <w:r w:rsidRPr="00C05910">
        <w:t>.</w:t>
      </w:r>
      <w:r w:rsidRPr="00C05910">
        <w:tab/>
        <w:t>Извлеченные уроки/области, в которых необходимы улучшения</w:t>
      </w:r>
    </w:p>
    <w:p w:rsidR="00FB103A" w:rsidRDefault="00FB103A" w:rsidP="005C42BE">
      <w:pPr>
        <w:pStyle w:val="SingleTxtGR"/>
      </w:pPr>
      <w:r w:rsidRPr="00C05910">
        <w:t>7.</w:t>
      </w:r>
      <w:r w:rsidRPr="00C05910">
        <w:tab/>
        <w:t xml:space="preserve">Созданные в регионе ЕЭК механизмы регулирования внутренних перевозок опасных грузов продолжают успешно функционировать. Сотрудничество ЕЭК с ОТИФ и ЦКСР и их курс на включение положений, рекомендуемых Организацией Объединенных Наций, в три основных правовых документа (МПОГ/ДОПОГ/ВОПОГ), регулирующих международные перевозки опасных грузов железнодорожным, автомобильным и внутренним водным транспортом в регионе, позволили привести эти документы в полное соответствие друг с другом и с аналогичными документами, регламентирующими морские и воздушные перевозки. Такое согласование крайне важно для облегчения международной торговли и интермодальных перевозок. Стремление ЕС применять положения ДОПОГ, МПОГ и ВОПОГ к внутреннему транспорту в значительной мере способствует подобному согласованию на глобальном уровне. Применение ДОПОГ, МПОГ и ВОПОГ на уровне стран также свидетельствует о том, что </w:t>
      </w:r>
      <w:r w:rsidR="00EA563B">
        <w:lastRenderedPageBreak/>
        <w:t>государст</w:t>
      </w:r>
      <w:r w:rsidRPr="00C05910">
        <w:t>ва − члены ЕС придают все большее значение соответствию положений ДОПОГ, МПОГ и ВОПОГ, отражающих специфику отдельных видов транспорта, европейским стандартам, разработанным Европейским комитетом по стандартизации (ЕКС), многие из которых на сегодняшний день приобрели обязательную силу как часть ДОПОГ, МПОГ и ВОПОГ, хотя многие из сторон этих соглашений и не участвовали в их разработке.</w:t>
      </w:r>
    </w:p>
    <w:p w:rsidR="00FB103A" w:rsidRPr="0004735E" w:rsidRDefault="00FB103A" w:rsidP="005C42BE">
      <w:pPr>
        <w:pStyle w:val="SingleTxtGR"/>
      </w:pPr>
      <w:r w:rsidRPr="00C05910">
        <w:t>8.</w:t>
      </w:r>
      <w:r w:rsidRPr="00C05910">
        <w:tab/>
        <w:t>Участие в совещаниях было, как обычно, весьма активным со стороны стран ЕС, Норвегии, Швейцарии, Российской Федерации, Турции, Украины и</w:t>
      </w:r>
      <w:r w:rsidR="00CE4EB8">
        <w:t> </w:t>
      </w:r>
      <w:r w:rsidRPr="00C05910">
        <w:t xml:space="preserve">НПО. В то же время, вероятно из-за финансовых ограничений, на них </w:t>
      </w:r>
      <w:r w:rsidR="00CE4EB8">
        <w:br/>
      </w:r>
      <w:r w:rsidRPr="00C05910">
        <w:t xml:space="preserve">по-прежнему не был представлен ряд стран с переходной экономикой, включая Азербайджан, Албанию, Беларусь, </w:t>
      </w:r>
      <w:r>
        <w:t xml:space="preserve">Грузию, </w:t>
      </w:r>
      <w:r w:rsidRPr="00C05910">
        <w:t>Казахстан, бывшую югославскую Республику Македония, Марокко, Молдову и Тунис. Расширение участия этих стран отвечало бы их собственным интересам, так как позволило бы им не только активнее включиться в процесс обновления соответствующих положений, но и обсудить проблемы их осуществления со странами, имеющими более обширный опыт. К</w:t>
      </w:r>
      <w:r>
        <w:t xml:space="preserve"> </w:t>
      </w:r>
      <w:r w:rsidRPr="00C05910">
        <w:t>сожалению, финансовые и кадровые ресурсы для оказания технической помощи остаются скудными, хотя в 201</w:t>
      </w:r>
      <w:r>
        <w:t>6</w:t>
      </w:r>
      <w:r w:rsidRPr="00C05910">
        <w:t xml:space="preserve"> году Отдел устойчивого транспорта смог принять участие в </w:t>
      </w:r>
      <w:r>
        <w:t xml:space="preserve">подготовке ЕЭК </w:t>
      </w:r>
      <w:r w:rsidRPr="00A32662">
        <w:t>обзора состояния безопасности дорожного движения</w:t>
      </w:r>
      <w:r>
        <w:t xml:space="preserve"> в Грузии, часть которого была посвящена ДОПОГ и вопросам перевозки опасных грузов. </w:t>
      </w:r>
      <w:r w:rsidRPr="00C05910">
        <w:t>Отдел устойчивого транспорта</w:t>
      </w:r>
      <w:r>
        <w:t xml:space="preserve"> также участвовал в </w:t>
      </w:r>
      <w:r w:rsidRPr="00C05910">
        <w:t>ряде семинаров, организованных Европейским союзом в контексте проекта</w:t>
      </w:r>
      <w:r>
        <w:t xml:space="preserve"> ЕвроМед</w:t>
      </w:r>
      <w:r w:rsidRPr="00C05910">
        <w:t>, осуществляемого в странах Северной Африки и Ближнего Востока и призванного обеспечить более широкое внедрение правовых документов ЕЭК, касающихся автомобильного транспорта, включая ДОПОГ</w:t>
      </w:r>
      <w:r>
        <w:t>, и в мероприятиях, организованных Международным союзом автомобильного транспорта (МСАТ) с целью продвижения ДОПОГ в странах</w:t>
      </w:r>
      <w:r w:rsidR="00CE4EB8">
        <w:t xml:space="preserve"> </w:t>
      </w:r>
      <w:r>
        <w:t>–</w:t>
      </w:r>
      <w:r w:rsidR="00CE4EB8">
        <w:t xml:space="preserve"> </w:t>
      </w:r>
      <w:r>
        <w:t>членах Лиги арабских государств и в Китае</w:t>
      </w:r>
      <w:r w:rsidRPr="00C05910">
        <w:t>.</w:t>
      </w:r>
      <w:r>
        <w:t xml:space="preserve"> В</w:t>
      </w:r>
      <w:r w:rsidRPr="00520ED3">
        <w:t xml:space="preserve"> 2016 </w:t>
      </w:r>
      <w:r>
        <w:t>году</w:t>
      </w:r>
      <w:r w:rsidRPr="00520ED3">
        <w:t xml:space="preserve"> </w:t>
      </w:r>
      <w:r>
        <w:t>в рамках проекта ЕвроМед также оказывалось содействие участию в совещаниях представителей Алжира, Израиля, Иордании и Туниса.</w:t>
      </w:r>
      <w:r w:rsidRPr="00520ED3">
        <w:t xml:space="preserve"> </w:t>
      </w:r>
      <w:r>
        <w:t>В</w:t>
      </w:r>
      <w:r w:rsidRPr="0004735E">
        <w:t xml:space="preserve"> 2017 </w:t>
      </w:r>
      <w:r>
        <w:t>году</w:t>
      </w:r>
      <w:r w:rsidRPr="0004735E">
        <w:t xml:space="preserve"> </w:t>
      </w:r>
      <w:r w:rsidRPr="00C05910">
        <w:t>Отдел</w:t>
      </w:r>
      <w:r w:rsidRPr="0004735E">
        <w:t xml:space="preserve"> </w:t>
      </w:r>
      <w:r w:rsidRPr="00C05910">
        <w:t>устойчивого</w:t>
      </w:r>
      <w:r w:rsidRPr="0004735E">
        <w:t xml:space="preserve"> </w:t>
      </w:r>
      <w:r w:rsidRPr="00C05910">
        <w:t>транспорта</w:t>
      </w:r>
      <w:r w:rsidRPr="0004735E">
        <w:t xml:space="preserve"> </w:t>
      </w:r>
      <w:r>
        <w:t>также</w:t>
      </w:r>
      <w:r w:rsidRPr="0004735E">
        <w:t xml:space="preserve"> </w:t>
      </w:r>
      <w:r>
        <w:t>принял</w:t>
      </w:r>
      <w:r w:rsidRPr="0004735E">
        <w:t xml:space="preserve"> </w:t>
      </w:r>
      <w:r>
        <w:t>участие</w:t>
      </w:r>
      <w:r w:rsidRPr="0004735E">
        <w:t xml:space="preserve"> </w:t>
      </w:r>
      <w:r>
        <w:t>в</w:t>
      </w:r>
      <w:r w:rsidRPr="0004735E">
        <w:t xml:space="preserve"> </w:t>
      </w:r>
      <w:r>
        <w:t>мероприятии по презентации новых поправок к ДОПОГ, проводившемся в Российской Федерации,</w:t>
      </w:r>
      <w:r w:rsidRPr="0004735E">
        <w:t xml:space="preserve"> </w:t>
      </w:r>
      <w:r>
        <w:t>и</w:t>
      </w:r>
      <w:r w:rsidRPr="0004735E">
        <w:t xml:space="preserve"> </w:t>
      </w:r>
      <w:r>
        <w:t>в</w:t>
      </w:r>
      <w:r w:rsidRPr="0004735E">
        <w:t xml:space="preserve"> </w:t>
      </w:r>
      <w:r>
        <w:t>конференциях и рабочих совещаниях в Китае и Монголии, где обсуждается возможность присоединения к ДОПОГ.</w:t>
      </w:r>
    </w:p>
    <w:p w:rsidR="00FB103A" w:rsidRPr="00C05910" w:rsidRDefault="00FB103A" w:rsidP="005C42BE">
      <w:pPr>
        <w:pStyle w:val="H1GR"/>
      </w:pPr>
      <w:r w:rsidRPr="0004735E">
        <w:tab/>
      </w:r>
      <w:r>
        <w:t>II</w:t>
      </w:r>
      <w:r w:rsidRPr="00C05910">
        <w:t>.</w:t>
      </w:r>
      <w:r w:rsidRPr="00C05910">
        <w:tab/>
        <w:t>Направление деятельности 9.</w:t>
      </w:r>
      <w:r w:rsidRPr="00903A82">
        <w:t>b</w:t>
      </w:r>
      <w:r w:rsidRPr="00C05910">
        <w:br/>
        <w:t>Перевозка опасных грузов (ЕЭК ООН)</w:t>
      </w:r>
    </w:p>
    <w:p w:rsidR="00FB103A" w:rsidRPr="00C05910" w:rsidRDefault="00FB103A" w:rsidP="005C42BE">
      <w:pPr>
        <w:pStyle w:val="H23GR"/>
        <w:rPr>
          <w:rFonts w:eastAsia="MS Mincho"/>
          <w:lang w:eastAsia="ja-JP"/>
        </w:rPr>
      </w:pPr>
      <w:r w:rsidRPr="00C05910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A</w:t>
      </w:r>
      <w:r w:rsidRPr="00C05910">
        <w:rPr>
          <w:rFonts w:eastAsia="MS Mincho"/>
          <w:lang w:eastAsia="ja-JP"/>
        </w:rPr>
        <w:t>.</w:t>
      </w:r>
      <w:r w:rsidRPr="00C05910">
        <w:rPr>
          <w:rFonts w:eastAsia="MS Mincho"/>
          <w:lang w:eastAsia="ja-JP"/>
        </w:rPr>
        <w:tab/>
      </w:r>
      <w:r w:rsidRPr="00C05910">
        <w:t>Ожидаемое достижение (ОД 9.</w:t>
      </w:r>
      <w:r w:rsidRPr="00903A82">
        <w:t>b</w:t>
      </w:r>
      <w:r w:rsidRPr="00C05910">
        <w:t>)</w:t>
      </w:r>
    </w:p>
    <w:p w:rsidR="00FB103A" w:rsidRDefault="00FB103A" w:rsidP="005C42BE">
      <w:pPr>
        <w:pStyle w:val="SingleTxtGR"/>
      </w:pPr>
      <w:r w:rsidRPr="00A65CC7">
        <w:t>9.</w:t>
      </w:r>
      <w:r w:rsidRPr="00A65CC7">
        <w:tab/>
        <w:t xml:space="preserve">Принятие дорожной карты по созданию административных структур, необходимых для применения ДОПОГ. </w:t>
      </w:r>
      <w:r w:rsidRPr="00FF70C6">
        <w:t>Разработка на основе этой дорожной карты рекомендаций и/или руководящих принципов.</w:t>
      </w:r>
    </w:p>
    <w:p w:rsidR="00FB103A" w:rsidRPr="00A10261" w:rsidRDefault="00FB103A" w:rsidP="005C42BE">
      <w:pPr>
        <w:pStyle w:val="H23GR"/>
        <w:rPr>
          <w:rFonts w:eastAsia="MS Mincho"/>
          <w:lang w:eastAsia="ja-JP"/>
        </w:rPr>
      </w:pPr>
      <w:r w:rsidRPr="00FF70C6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B</w:t>
      </w:r>
      <w:r w:rsidRPr="00A10261">
        <w:rPr>
          <w:rFonts w:eastAsia="MS Mincho"/>
          <w:lang w:eastAsia="ja-JP"/>
        </w:rPr>
        <w:t>.</w:t>
      </w:r>
      <w:r w:rsidRPr="00A10261">
        <w:rPr>
          <w:rFonts w:eastAsia="MS Mincho"/>
          <w:lang w:eastAsia="ja-JP"/>
        </w:rPr>
        <w:tab/>
      </w:r>
      <w:r w:rsidRPr="00A10261">
        <w:t>Показатели достижения</w:t>
      </w:r>
    </w:p>
    <w:p w:rsidR="00FB103A" w:rsidRPr="00A10261" w:rsidRDefault="00FB103A" w:rsidP="00A31520">
      <w:pPr>
        <w:pStyle w:val="H4GR"/>
      </w:pPr>
      <w:r w:rsidRPr="00A10261">
        <w:rPr>
          <w:rFonts w:eastAsia="MS Mincho"/>
          <w:lang w:eastAsia="ja-JP"/>
        </w:rPr>
        <w:tab/>
      </w:r>
      <w:r w:rsidRPr="00A10261">
        <w:tab/>
        <w:t>Принятие дорожной карты и разработка рекомендаций/руководящих принципов (ПД 9.</w:t>
      </w:r>
      <w:r w:rsidRPr="00903A82">
        <w:t>b</w:t>
      </w:r>
      <w:r w:rsidRPr="00A10261">
        <w:t>)</w:t>
      </w:r>
    </w:p>
    <w:p w:rsidR="00FB103A" w:rsidRDefault="00FB103A" w:rsidP="00A31520">
      <w:pPr>
        <w:pStyle w:val="H4GR"/>
      </w:pPr>
      <w:r w:rsidRPr="00A10261">
        <w:tab/>
      </w:r>
      <w:r w:rsidRPr="00A10261">
        <w:tab/>
      </w:r>
      <w:r w:rsidRPr="00FF70C6">
        <w:t>Показатели результативности:</w:t>
      </w:r>
    </w:p>
    <w:p w:rsidR="00FB103A" w:rsidRPr="00A10261" w:rsidRDefault="00FB103A" w:rsidP="00A31520">
      <w:pPr>
        <w:pStyle w:val="SingleTxtGR"/>
        <w:rPr>
          <w:b/>
        </w:rPr>
      </w:pPr>
      <w:r w:rsidRPr="00A10261">
        <w:t>Целевые показатели на 201</w:t>
      </w:r>
      <w:r>
        <w:t>6</w:t>
      </w:r>
      <w:r w:rsidRPr="00A10261">
        <w:t>–201</w:t>
      </w:r>
      <w:r>
        <w:t>7</w:t>
      </w:r>
      <w:r w:rsidRPr="00A10261">
        <w:t xml:space="preserve"> годы: не применимо.</w:t>
      </w:r>
    </w:p>
    <w:p w:rsidR="00FB103A" w:rsidRPr="00A10261" w:rsidRDefault="00FB103A" w:rsidP="00A31520">
      <w:pPr>
        <w:pStyle w:val="H1GR"/>
      </w:pPr>
      <w:r w:rsidRPr="00A10261">
        <w:tab/>
      </w:r>
      <w:r>
        <w:t>III</w:t>
      </w:r>
      <w:r w:rsidRPr="00A10261">
        <w:t>.</w:t>
      </w:r>
      <w:r w:rsidRPr="00A10261">
        <w:tab/>
        <w:t>Направление деятельности 9.с</w:t>
      </w:r>
      <w:r w:rsidRPr="00A10261">
        <w:br/>
        <w:t>Перевозка опасных грузов (ЕЭК ООН)</w:t>
      </w:r>
    </w:p>
    <w:p w:rsidR="00FB103A" w:rsidRPr="00A10261" w:rsidRDefault="00FB103A" w:rsidP="00A31520">
      <w:pPr>
        <w:pStyle w:val="H23GR"/>
        <w:rPr>
          <w:rFonts w:eastAsia="MS Mincho"/>
          <w:lang w:eastAsia="ja-JP"/>
        </w:rPr>
      </w:pPr>
      <w:r w:rsidRPr="00A10261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A</w:t>
      </w:r>
      <w:r w:rsidRPr="00A10261">
        <w:rPr>
          <w:rFonts w:eastAsia="MS Mincho"/>
          <w:lang w:eastAsia="ja-JP"/>
        </w:rPr>
        <w:t>.</w:t>
      </w:r>
      <w:r w:rsidRPr="00A10261">
        <w:rPr>
          <w:rFonts w:eastAsia="MS Mincho"/>
          <w:lang w:eastAsia="ja-JP"/>
        </w:rPr>
        <w:tab/>
      </w:r>
      <w:r w:rsidRPr="00A10261">
        <w:t>Ожидаемое достижение (ОД 9.с)</w:t>
      </w:r>
    </w:p>
    <w:p w:rsidR="00FB103A" w:rsidRDefault="00FB103A" w:rsidP="00A31520">
      <w:pPr>
        <w:pStyle w:val="SingleTxtGR"/>
      </w:pPr>
      <w:r w:rsidRPr="00CA187E">
        <w:t>10.</w:t>
      </w:r>
      <w:r w:rsidRPr="00CA187E">
        <w:tab/>
        <w:t>Последующая деятельность в контексте реализации дорожной карты по вопросам присоединения к ДОПОГ и его применения (</w:t>
      </w:r>
      <w:r w:rsidRPr="00903A82">
        <w:t>ECE</w:t>
      </w:r>
      <w:r w:rsidRPr="00CA187E">
        <w:t>/</w:t>
      </w:r>
      <w:r w:rsidRPr="00903A82">
        <w:t>TRANS</w:t>
      </w:r>
      <w:r w:rsidRPr="00CA187E">
        <w:t>/238) для новых и существующих Договаривающихся сторон ДОПОГ.</w:t>
      </w:r>
    </w:p>
    <w:p w:rsidR="00FB103A" w:rsidRPr="00CA187E" w:rsidRDefault="00FB103A" w:rsidP="00A31520">
      <w:pPr>
        <w:pStyle w:val="H23GR"/>
        <w:rPr>
          <w:rFonts w:eastAsia="MS Mincho"/>
          <w:lang w:eastAsia="ja-JP"/>
        </w:rPr>
      </w:pPr>
      <w:r w:rsidRPr="00FF70C6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B</w:t>
      </w:r>
      <w:r w:rsidRPr="00CA187E">
        <w:rPr>
          <w:rFonts w:eastAsia="MS Mincho"/>
          <w:lang w:eastAsia="ja-JP"/>
        </w:rPr>
        <w:t>.</w:t>
      </w:r>
      <w:r w:rsidRPr="00CA187E">
        <w:rPr>
          <w:rFonts w:eastAsia="MS Mincho"/>
          <w:lang w:eastAsia="ja-JP"/>
        </w:rPr>
        <w:tab/>
      </w:r>
      <w:r w:rsidRPr="00CA187E">
        <w:t>Показатели достижения</w:t>
      </w:r>
    </w:p>
    <w:p w:rsidR="00FB103A" w:rsidRPr="00CA187E" w:rsidRDefault="00FB103A" w:rsidP="00A31520">
      <w:pPr>
        <w:pStyle w:val="H4GR"/>
      </w:pPr>
      <w:r w:rsidRPr="00CA187E">
        <w:rPr>
          <w:rFonts w:eastAsia="MS Mincho"/>
          <w:lang w:eastAsia="ja-JP"/>
        </w:rPr>
        <w:tab/>
      </w:r>
      <w:r w:rsidRPr="00CA187E">
        <w:tab/>
        <w:t>Завершение подготовки и размещение на веб-сайте ЕЭК информации, касающейся стран, являющихся Договаривающимися сторонами ДОПОГ, и</w:t>
      </w:r>
      <w:r>
        <w:t> </w:t>
      </w:r>
      <w:r w:rsidRPr="00CA187E">
        <w:t>информации, подлежащей обязательному представлению (информация о</w:t>
      </w:r>
      <w:r>
        <w:t> </w:t>
      </w:r>
      <w:r w:rsidRPr="00CA187E">
        <w:t>свидетельствах о подготовке водителей и информация, указанная в</w:t>
      </w:r>
      <w:r>
        <w:t> </w:t>
      </w:r>
      <w:r w:rsidRPr="00CA187E">
        <w:t xml:space="preserve">приложении </w:t>
      </w:r>
      <w:r w:rsidRPr="00903A82">
        <w:t>I</w:t>
      </w:r>
      <w:r w:rsidRPr="00CA187E">
        <w:t xml:space="preserve"> к дорожной карте) (ПД 9.</w:t>
      </w:r>
      <w:r w:rsidRPr="00903A82">
        <w:t>c</w:t>
      </w:r>
      <w:r w:rsidRPr="00CA187E">
        <w:t>)</w:t>
      </w:r>
    </w:p>
    <w:p w:rsidR="00FB103A" w:rsidRPr="00CA187E" w:rsidRDefault="00FB103A" w:rsidP="00A31520">
      <w:pPr>
        <w:pStyle w:val="H4GR"/>
      </w:pPr>
      <w:r w:rsidRPr="00CA187E">
        <w:tab/>
      </w:r>
      <w:r w:rsidRPr="00CA187E">
        <w:tab/>
        <w:t>Показатели результативности:</w:t>
      </w:r>
    </w:p>
    <w:p w:rsidR="00FB103A" w:rsidRDefault="00FB103A" w:rsidP="00A31520">
      <w:pPr>
        <w:pStyle w:val="SingleTxtGR"/>
      </w:pPr>
      <w:r w:rsidRPr="00CA187E">
        <w:t>Целевые показатели на 201</w:t>
      </w:r>
      <w:r>
        <w:t>6</w:t>
      </w:r>
      <w:r w:rsidRPr="00CA187E">
        <w:t>−201</w:t>
      </w:r>
      <w:r>
        <w:t>7</w:t>
      </w:r>
      <w:r w:rsidRPr="00CA187E">
        <w:t xml:space="preserve"> годы: наличие </w:t>
      </w:r>
      <w:r>
        <w:t xml:space="preserve">и обновление </w:t>
      </w:r>
      <w:r w:rsidRPr="00CA187E">
        <w:t>информации по 75% Договаривающихся сторон ДОПОГ.</w:t>
      </w:r>
    </w:p>
    <w:p w:rsidR="00FB103A" w:rsidRPr="00A31520" w:rsidRDefault="00FB103A" w:rsidP="00A31520">
      <w:pPr>
        <w:pStyle w:val="SingleTxtGR"/>
        <w:rPr>
          <w:b/>
        </w:rPr>
      </w:pPr>
      <w:r w:rsidRPr="00A31520">
        <w:rPr>
          <w:b/>
        </w:rPr>
        <w:t xml:space="preserve">Фактические показатели за 2016−2017 </w:t>
      </w:r>
      <w:r w:rsidR="00244394">
        <w:rPr>
          <w:b/>
        </w:rPr>
        <w:t>годы: наличие информации по 75% </w:t>
      </w:r>
      <w:r w:rsidRPr="00A31520">
        <w:rPr>
          <w:b/>
        </w:rPr>
        <w:t>Договаривающихся сторон ДОПОГ.</w:t>
      </w:r>
    </w:p>
    <w:p w:rsidR="00FB103A" w:rsidRPr="0006246F" w:rsidRDefault="00FB103A" w:rsidP="00A31520">
      <w:pPr>
        <w:pStyle w:val="H23GR"/>
      </w:pPr>
      <w:r w:rsidRPr="00FF70C6">
        <w:tab/>
      </w:r>
      <w:r>
        <w:t>C</w:t>
      </w:r>
      <w:r w:rsidRPr="0006246F">
        <w:t>.</w:t>
      </w:r>
      <w:r w:rsidRPr="0006246F">
        <w:tab/>
        <w:t>Оценка результативности</w:t>
      </w:r>
    </w:p>
    <w:p w:rsidR="00FB103A" w:rsidRDefault="00FB103A" w:rsidP="00A31520">
      <w:pPr>
        <w:pStyle w:val="SingleTxtGR"/>
      </w:pPr>
      <w:r w:rsidRPr="0006246F">
        <w:t>11.</w:t>
      </w:r>
      <w:r w:rsidRPr="0006246F">
        <w:tab/>
      </w:r>
      <w:r>
        <w:t>С присоединением Грузии 19 сентября 2016 года ч</w:t>
      </w:r>
      <w:r w:rsidRPr="0006246F">
        <w:t>исло Договаривающихся сторон ДОПОГ составляет 4</w:t>
      </w:r>
      <w:r>
        <w:t>9</w:t>
      </w:r>
      <w:r w:rsidRPr="0006246F">
        <w:t xml:space="preserve">. </w:t>
      </w:r>
    </w:p>
    <w:p w:rsidR="00FB103A" w:rsidRPr="00FF70C6" w:rsidRDefault="00FB103A" w:rsidP="00A31520">
      <w:pPr>
        <w:pStyle w:val="SingleTxtGR"/>
      </w:pPr>
      <w:r w:rsidRPr="0006246F">
        <w:t>12.</w:t>
      </w:r>
      <w:r w:rsidRPr="0006246F">
        <w:tab/>
        <w:t>На странице «Информация по странам»</w:t>
      </w:r>
      <w:r w:rsidRPr="00A31251">
        <w:rPr>
          <w:sz w:val="18"/>
          <w:vertAlign w:val="superscript"/>
        </w:rPr>
        <w:footnoteReference w:id="5"/>
      </w:r>
      <w:r w:rsidRPr="0006246F">
        <w:t xml:space="preserve"> веб-сайта ЕЭК указаны адреса органов и назначенных ими организаций, обладающих компетенцией согласно внутригосударственному законодательству в вопросах применения ДОПОГ. Секретариат обновляет содержание этой страницы в соответствии с информацией, поступающей от Договаривающихся сторон. Информация по 3</w:t>
      </w:r>
      <w:r>
        <w:t>5</w:t>
      </w:r>
      <w:r w:rsidRPr="0006246F">
        <w:t xml:space="preserve"> странам является подробной и обновляется. В случае еще 1</w:t>
      </w:r>
      <w:r>
        <w:t>1</w:t>
      </w:r>
      <w:r w:rsidRPr="0006246F">
        <w:t xml:space="preserve"> стран (Азербайджана, Албании, Андорры, Беларуси, Исландии, Казахстана, Кипра, Лихтенштейна, Марокко, Черногории и Эстонии) указаны контактные данные основного компетентного органа. </w:t>
      </w:r>
      <w:r w:rsidRPr="00FF70C6">
        <w:t xml:space="preserve">По </w:t>
      </w:r>
      <w:r>
        <w:t>двум</w:t>
      </w:r>
      <w:r w:rsidRPr="00FF70C6">
        <w:t xml:space="preserve"> из стран (</w:t>
      </w:r>
      <w:r>
        <w:t>Грузия</w:t>
      </w:r>
      <w:r w:rsidRPr="00FF70C6">
        <w:t xml:space="preserve"> </w:t>
      </w:r>
      <w:r>
        <w:t>и</w:t>
      </w:r>
      <w:r w:rsidRPr="00FF70C6">
        <w:t xml:space="preserve"> Таджикистан) информация отсутствует. </w:t>
      </w:r>
    </w:p>
    <w:p w:rsidR="00FB103A" w:rsidRDefault="00FB103A" w:rsidP="00A31520">
      <w:pPr>
        <w:pStyle w:val="SingleTxtGR"/>
      </w:pPr>
      <w:r w:rsidRPr="00B205DA">
        <w:t>13.</w:t>
      </w:r>
      <w:r w:rsidRPr="00B205DA">
        <w:tab/>
        <w:t>На странице «Свидетельства ДОПОГ о подготовке водителей»</w:t>
      </w:r>
      <w:r w:rsidRPr="00A31251">
        <w:rPr>
          <w:sz w:val="18"/>
          <w:vertAlign w:val="superscript"/>
        </w:rPr>
        <w:footnoteReference w:id="6"/>
      </w:r>
      <w:r w:rsidRPr="00B205DA">
        <w:t xml:space="preserve"> содержатся образцы свидетельств ДОПОГ о подготовке водителей, выдаваемых в соответствии с пунктом 8.2.2.8.5 ДОПОГ. Образцы своих свидетельств представил</w:t>
      </w:r>
      <w:r>
        <w:t>и</w:t>
      </w:r>
      <w:r w:rsidRPr="00B205DA">
        <w:t xml:space="preserve"> 3</w:t>
      </w:r>
      <w:r>
        <w:t xml:space="preserve">4 </w:t>
      </w:r>
      <w:r w:rsidRPr="00B205DA">
        <w:t>стран</w:t>
      </w:r>
      <w:r>
        <w:t>ы</w:t>
      </w:r>
      <w:r w:rsidRPr="00B205DA">
        <w:t>. Информация о том, выдаются ли эти свидетельства в остальных странах, отсутствует.</w:t>
      </w:r>
    </w:p>
    <w:p w:rsidR="00FB103A" w:rsidRDefault="00FB103A" w:rsidP="00A31520">
      <w:pPr>
        <w:pStyle w:val="SingleTxtGR"/>
      </w:pPr>
      <w:r w:rsidRPr="00B205DA">
        <w:t>14.</w:t>
      </w:r>
      <w:r w:rsidRPr="00B205DA">
        <w:tab/>
        <w:t>На странице «Языковые версии (ДОПОГ, инструкции в письменной форме)»</w:t>
      </w:r>
      <w:r w:rsidRPr="00A31251">
        <w:rPr>
          <w:sz w:val="18"/>
          <w:vertAlign w:val="superscript"/>
        </w:rPr>
        <w:footnoteReference w:id="7"/>
      </w:r>
      <w:r w:rsidRPr="00B205DA">
        <w:t xml:space="preserve"> приведены официальные переводы письменных инструкций – в соответствии с пунктом 5.4.3.4 ДОПОГ, – направляемых компетентными органами. На</w:t>
      </w:r>
      <w:r>
        <w:t> </w:t>
      </w:r>
      <w:r w:rsidRPr="00B205DA">
        <w:t>случай чрезвычайной ситуации, которая может возникнуть в результате аварии во время перевозки, эти инструкции должны быть предоставлены членам экипажа транспортного средства на языке(ах), на котором(ых) каждый член экипажа может читать и который(е) он понимает. В случае 1</w:t>
      </w:r>
      <w:r>
        <w:t>0</w:t>
      </w:r>
      <w:r w:rsidRPr="00B205DA">
        <w:t xml:space="preserve"> стран (Албании, Азербайджана, Андорры, бывшей югославской Республики Македония, Исландии, Марокко, Туниса, Украины, Хорватии и Черногории) переводы на официальный(ые) язык(и) этих стран на веб-сайте отсутствуют. Доступны могут быть также варианты на других основных неофициальных языках, используемых в той или иной стране. В случае остальных стран (7</w:t>
      </w:r>
      <w:r>
        <w:t>9</w:t>
      </w:r>
      <w:r w:rsidRPr="00B205DA">
        <w:t>%) с текстами соответствующих документов можно ознакомиться не менее чем на одном официальном языке.</w:t>
      </w:r>
    </w:p>
    <w:p w:rsidR="00FB103A" w:rsidRPr="001E28F3" w:rsidRDefault="00FB103A" w:rsidP="00A31520">
      <w:pPr>
        <w:pStyle w:val="SingleTxtGR"/>
      </w:pPr>
      <w:r w:rsidRPr="00B205DA">
        <w:t>15.</w:t>
      </w:r>
      <w:r w:rsidRPr="00B205DA">
        <w:tab/>
        <w:t>Страница «Многосторонние соглашения»</w:t>
      </w:r>
      <w:r w:rsidRPr="00A31251">
        <w:rPr>
          <w:sz w:val="18"/>
          <w:vertAlign w:val="superscript"/>
        </w:rPr>
        <w:footnoteReference w:id="8"/>
      </w:r>
      <w:r w:rsidRPr="00B205DA">
        <w:t xml:space="preserve"> содержит перечень действующих двусторонних и многосторонних соглашений, заключенных в соответствии с разделом 1.5.1 ДОПОГ. Секретариат еженедельно обновляет содержание этой страницы в соответствии с информацией, поступающей от компетентных органов ДОПОГ. </w:t>
      </w:r>
      <w:r w:rsidRPr="001E28F3">
        <w:t>Информация, приведенная на этой странице, считается полной.</w:t>
      </w:r>
    </w:p>
    <w:p w:rsidR="00FB103A" w:rsidRDefault="00FB103A" w:rsidP="00A31520">
      <w:pPr>
        <w:pStyle w:val="SingleTxtGR"/>
      </w:pPr>
      <w:r w:rsidRPr="00B205DA">
        <w:t>16.</w:t>
      </w:r>
      <w:r w:rsidRPr="00B205DA">
        <w:tab/>
        <w:t>На странице «Отчеты о происшествиях»</w:t>
      </w:r>
      <w:r w:rsidRPr="00A31251">
        <w:rPr>
          <w:sz w:val="18"/>
          <w:vertAlign w:val="superscript"/>
        </w:rPr>
        <w:footnoteReference w:id="9"/>
      </w:r>
      <w:r w:rsidRPr="00B205DA">
        <w:t xml:space="preserve"> размещены отчеты о серьезных авариях или инцидентах, переданные Договаривающимися сторонами в соответствии с пунктом 1.8.5.2 ДОПОГ. С 2004 года отчеты, поступающие от Договаривающихся сторон, публикуются на веб-сайте ЕЭК, но только с согласия направивших их компетентных органов, поскольку некоторые отчеты могут содержа</w:t>
      </w:r>
      <w:r>
        <w:t>ть конфиденциальную информацию.</w:t>
      </w:r>
    </w:p>
    <w:p w:rsidR="00FB103A" w:rsidRPr="00B205DA" w:rsidRDefault="00FB103A" w:rsidP="00A31520">
      <w:pPr>
        <w:pStyle w:val="H23GR"/>
        <w:rPr>
          <w:rFonts w:eastAsia="MS Mincho"/>
          <w:lang w:eastAsia="ja-JP"/>
        </w:rPr>
      </w:pPr>
      <w:r w:rsidRPr="00CD3525">
        <w:tab/>
      </w:r>
      <w:r>
        <w:t>D</w:t>
      </w:r>
      <w:r w:rsidRPr="00B205DA">
        <w:t>.</w:t>
      </w:r>
      <w:r w:rsidRPr="00B205DA">
        <w:tab/>
        <w:t>Извлеченные уроки/области, в которых необходимы улучшения</w:t>
      </w:r>
    </w:p>
    <w:p w:rsidR="00FB103A" w:rsidRPr="00FA2685" w:rsidRDefault="00FB103A" w:rsidP="00A31520">
      <w:pPr>
        <w:pStyle w:val="SingleTxtGR"/>
      </w:pPr>
      <w:r w:rsidRPr="00B205DA">
        <w:t>[17.</w:t>
      </w:r>
      <w:r w:rsidRPr="00B205DA">
        <w:tab/>
        <w:t xml:space="preserve">На своей </w:t>
      </w:r>
      <w:r w:rsidRPr="00C91987">
        <w:rPr>
          <w:bCs/>
        </w:rPr>
        <w:t>10</w:t>
      </w:r>
      <w:r>
        <w:rPr>
          <w:bCs/>
        </w:rPr>
        <w:t>3</w:t>
      </w:r>
      <w:r w:rsidRPr="00C91987">
        <w:rPr>
          <w:bCs/>
        </w:rPr>
        <w:t>-</w:t>
      </w:r>
      <w:r>
        <w:rPr>
          <w:bCs/>
        </w:rPr>
        <w:t>й</w:t>
      </w:r>
      <w:r w:rsidRPr="00C91987">
        <w:t xml:space="preserve"> </w:t>
      </w:r>
      <w:r>
        <w:t>сессии</w:t>
      </w:r>
      <w:r w:rsidRPr="00C91987">
        <w:t xml:space="preserve"> </w:t>
      </w:r>
      <w:r w:rsidRPr="00B205DA">
        <w:t>Рабочая группа сделала вывод о том, что она располагает более 75% информации. Страны, которые указали только контактн</w:t>
      </w:r>
      <w:r>
        <w:t>ые</w:t>
      </w:r>
      <w:r w:rsidRPr="00B205DA">
        <w:t xml:space="preserve"> </w:t>
      </w:r>
      <w:r>
        <w:t>данные</w:t>
      </w:r>
      <w:r w:rsidRPr="00B205DA">
        <w:t xml:space="preserve"> </w:t>
      </w:r>
      <w:r>
        <w:t>основного</w:t>
      </w:r>
      <w:r w:rsidRPr="00B205DA">
        <w:t xml:space="preserve"> компетентного органа, могли бы представить более подробные сведения. Рабочая группа отметила, что для облегчения взаимодействия между Договаривающимися сторонами было бы полезно указать, по</w:t>
      </w:r>
      <w:r>
        <w:t> </w:t>
      </w:r>
      <w:r w:rsidRPr="00B205DA">
        <w:t xml:space="preserve">крайней мере, адрес электронной почты. Странам, не указавшим эти данные, предлагается сообщить секретариату ЕЭК адреса органов и назначенных ими организаций, обладающих компетенцией, согласно внутригосударственному законодательству, в вопросах применения ДОПОГ, со ссылкой в каждом случае на соответствующее положение ДОПОГ, а также адреса, по которым следует направлять соответствующие заявки. В надлежащих случаях странам предлагается подтвердить, что компетенцией в отношении всех требований ДОПОГ обладает только </w:t>
      </w:r>
      <w:r>
        <w:t>основной компетентный орган</w:t>
      </w:r>
      <w:r w:rsidRPr="00FA2685">
        <w:t>.]</w:t>
      </w:r>
    </w:p>
    <w:p w:rsidR="00045DF2" w:rsidRPr="00045DF2" w:rsidRDefault="00FB103A" w:rsidP="00A31520">
      <w:pPr>
        <w:pStyle w:val="SingleTxtGR"/>
      </w:pPr>
      <w:r w:rsidRPr="00FF70C6">
        <w:t>18.</w:t>
      </w:r>
      <w:r w:rsidRPr="00FF70C6">
        <w:tab/>
        <w:t>Рабочая группа также предложила странам, не предоставившим образцы выдаваемых ими свидетельств ДОПОГ о подготовке водителей, сделать это или, в соответствующих случаях, подтвердить, что они не осуществляют выдачу таких свидетельств.</w:t>
      </w:r>
      <w:r w:rsidRPr="00B56487">
        <w:t xml:space="preserve"> [</w:t>
      </w:r>
      <w:r w:rsidRPr="00FF70C6">
        <w:t>Рабочая</w:t>
      </w:r>
      <w:r w:rsidRPr="00B56487">
        <w:t xml:space="preserve"> </w:t>
      </w:r>
      <w:r w:rsidRPr="00FF70C6">
        <w:t>группа</w:t>
      </w:r>
      <w:r w:rsidRPr="00B56487">
        <w:t xml:space="preserve"> </w:t>
      </w:r>
      <w:r>
        <w:t>просила</w:t>
      </w:r>
      <w:r w:rsidRPr="00B56487">
        <w:t xml:space="preserve"> </w:t>
      </w:r>
      <w:r>
        <w:t>секретариат</w:t>
      </w:r>
      <w:r w:rsidRPr="00B56487">
        <w:t xml:space="preserve"> </w:t>
      </w:r>
      <w:r>
        <w:t>направить указанным странам официальный запрос на этот счет.</w:t>
      </w:r>
      <w:r w:rsidRPr="00B56487">
        <w:t>]</w:t>
      </w:r>
    </w:p>
    <w:p w:rsidR="00FB103A" w:rsidRDefault="00FB103A" w:rsidP="00A31520">
      <w:pPr>
        <w:pStyle w:val="HChGR"/>
      </w:pPr>
      <w:r w:rsidRPr="00EF7C68">
        <w:br w:type="page"/>
      </w:r>
      <w:r>
        <w:t>Приложение II</w:t>
      </w:r>
    </w:p>
    <w:p w:rsidR="00FB103A" w:rsidRDefault="00FB103A" w:rsidP="00A31520">
      <w:pPr>
        <w:pStyle w:val="HChGR"/>
      </w:pPr>
      <w:r>
        <w:tab/>
      </w:r>
      <w:r>
        <w:tab/>
        <w:t>План двухгодичной оценки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3017"/>
        <w:gridCol w:w="3358"/>
      </w:tblGrid>
      <w:tr w:rsidR="00FB103A" w:rsidRPr="00FF70C6" w:rsidTr="0097626A">
        <w:trPr>
          <w:cantSplit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FB103A" w:rsidRPr="00CD3525" w:rsidRDefault="00FB103A" w:rsidP="0097626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120"/>
              <w:ind w:right="45"/>
              <w:rPr>
                <w:rFonts w:eastAsia="Calibri"/>
                <w:i/>
              </w:rPr>
            </w:pPr>
            <w:r w:rsidRPr="00BF1B79">
              <w:rPr>
                <w:i/>
              </w:rPr>
              <w:t>Цель</w:t>
            </w:r>
            <w:r w:rsidRPr="00CD3525">
              <w:rPr>
                <w:i/>
              </w:rPr>
              <w:t xml:space="preserve"> </w:t>
            </w:r>
            <w:r>
              <w:rPr>
                <w:i/>
              </w:rPr>
              <w:t>Организации</w:t>
            </w:r>
            <w:r w:rsidRPr="00244394">
              <w:rPr>
                <w:i/>
              </w:rPr>
              <w:t>:</w:t>
            </w:r>
            <w:r w:rsidRPr="00CD3525">
              <w:t xml:space="preserve"> </w:t>
            </w:r>
            <w:r w:rsidRPr="005D1B5B">
              <w:t>содействие</w:t>
            </w:r>
            <w:r w:rsidRPr="00CD3525">
              <w:t xml:space="preserve"> </w:t>
            </w:r>
            <w:r w:rsidRPr="005D1B5B">
              <w:t>развитию</w:t>
            </w:r>
            <w:r w:rsidRPr="00CD3525">
              <w:t xml:space="preserve"> </w:t>
            </w:r>
            <w:r w:rsidRPr="005D1B5B">
              <w:t>устойчивой</w:t>
            </w:r>
            <w:r w:rsidRPr="00CD3525">
              <w:t xml:space="preserve"> </w:t>
            </w:r>
            <w:r w:rsidRPr="005D1B5B">
              <w:t>системы</w:t>
            </w:r>
            <w:r w:rsidRPr="00CD3525">
              <w:t xml:space="preserve"> </w:t>
            </w:r>
            <w:r w:rsidRPr="005D1B5B">
              <w:t>внутренних</w:t>
            </w:r>
            <w:r w:rsidRPr="00CD3525">
              <w:t xml:space="preserve"> </w:t>
            </w:r>
            <w:r w:rsidRPr="005D1B5B">
              <w:t>перевозок</w:t>
            </w:r>
            <w:r w:rsidRPr="00CD3525">
              <w:t xml:space="preserve">, </w:t>
            </w:r>
            <w:r w:rsidRPr="005D1B5B">
              <w:t>включая</w:t>
            </w:r>
            <w:r w:rsidRPr="00CD3525">
              <w:t xml:space="preserve"> </w:t>
            </w:r>
            <w:r w:rsidRPr="005D1B5B">
              <w:t>грузовые</w:t>
            </w:r>
            <w:r w:rsidRPr="00CD3525">
              <w:t xml:space="preserve"> </w:t>
            </w:r>
            <w:r w:rsidRPr="005D1B5B">
              <w:t>и</w:t>
            </w:r>
            <w:r w:rsidRPr="00CD3525">
              <w:t xml:space="preserve"> </w:t>
            </w:r>
            <w:r w:rsidRPr="005D1B5B">
              <w:t>пассажирские</w:t>
            </w:r>
            <w:r w:rsidRPr="00CD3525">
              <w:t xml:space="preserve"> </w:t>
            </w:r>
            <w:r w:rsidRPr="005D1B5B">
              <w:t>перевозки</w:t>
            </w:r>
            <w:r w:rsidRPr="00CD3525">
              <w:t xml:space="preserve">, </w:t>
            </w:r>
            <w:r>
              <w:t>в</w:t>
            </w:r>
            <w:r w:rsidRPr="00CD3525">
              <w:t xml:space="preserve"> </w:t>
            </w:r>
            <w:r>
              <w:t>целях</w:t>
            </w:r>
            <w:r w:rsidRPr="00CD3525">
              <w:t xml:space="preserve"> </w:t>
            </w:r>
            <w:r>
              <w:t>обеспечения</w:t>
            </w:r>
            <w:r w:rsidRPr="00CD3525">
              <w:t xml:space="preserve"> </w:t>
            </w:r>
            <w:r>
              <w:t>ее</w:t>
            </w:r>
            <w:r w:rsidRPr="00CD3525">
              <w:t xml:space="preserve"> </w:t>
            </w:r>
            <w:r w:rsidRPr="005D1B5B">
              <w:t>безопасно</w:t>
            </w:r>
            <w:r>
              <w:t>сти</w:t>
            </w:r>
            <w:r w:rsidRPr="00CD3525">
              <w:t xml:space="preserve">, </w:t>
            </w:r>
            <w:r w:rsidRPr="005D1B5B">
              <w:t>чисто</w:t>
            </w:r>
            <w:r>
              <w:t>ты</w:t>
            </w:r>
            <w:r w:rsidRPr="00CD3525">
              <w:t xml:space="preserve"> </w:t>
            </w:r>
            <w:r w:rsidRPr="005D1B5B">
              <w:t>и</w:t>
            </w:r>
            <w:r w:rsidRPr="00CD3525">
              <w:t xml:space="preserve"> </w:t>
            </w:r>
            <w:r w:rsidRPr="005D1B5B">
              <w:t>конкурентоспособно</w:t>
            </w:r>
            <w:r>
              <w:t>сти</w:t>
            </w:r>
            <w:r w:rsidRPr="00CD3525">
              <w:rPr>
                <w:rFonts w:eastAsia="Calibri"/>
                <w:i/>
              </w:rPr>
              <w:t xml:space="preserve"> </w:t>
            </w:r>
          </w:p>
        </w:tc>
      </w:tr>
      <w:tr w:rsidR="00FB103A" w:rsidRPr="00745273" w:rsidTr="0097626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B103A" w:rsidRPr="0049411F" w:rsidRDefault="00FB103A" w:rsidP="0097626A">
            <w:pPr>
              <w:spacing w:before="80" w:after="80" w:line="200" w:lineRule="atLeast"/>
              <w:rPr>
                <w:i/>
                <w:sz w:val="16"/>
                <w:lang w:eastAsia="ru-RU"/>
              </w:rPr>
            </w:pPr>
            <w:r w:rsidRPr="00472FB5">
              <w:rPr>
                <w:i/>
                <w:sz w:val="16"/>
              </w:rPr>
              <w:t>Ожидаемые достижения</w:t>
            </w:r>
            <w:r w:rsidRPr="00472FB5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Секретариата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B103A" w:rsidRPr="0049411F" w:rsidRDefault="00FB103A" w:rsidP="0097626A">
            <w:pPr>
              <w:spacing w:before="80" w:after="80" w:line="200" w:lineRule="atLeast"/>
              <w:rPr>
                <w:i/>
                <w:sz w:val="16"/>
                <w:lang w:eastAsia="ru-RU"/>
              </w:rPr>
            </w:pPr>
            <w:r w:rsidRPr="00745273">
              <w:rPr>
                <w:i/>
                <w:sz w:val="16"/>
                <w:szCs w:val="16"/>
              </w:rPr>
              <w:t>Показатели достижения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B103A" w:rsidRPr="0049411F" w:rsidRDefault="00FB103A" w:rsidP="0097626A">
            <w:pPr>
              <w:spacing w:before="80" w:after="80" w:line="200" w:lineRule="atLeast"/>
              <w:rPr>
                <w:i/>
                <w:sz w:val="16"/>
                <w:lang w:eastAsia="ru-RU"/>
              </w:rPr>
            </w:pPr>
            <w:r w:rsidRPr="00472FB5">
              <w:rPr>
                <w:i/>
                <w:sz w:val="16"/>
              </w:rPr>
              <w:t xml:space="preserve">Ожидаемые достижения и показатели достижения для двухгодичной оценки </w:t>
            </w:r>
            <w:r w:rsidR="005B4CF3">
              <w:rPr>
                <w:i/>
                <w:sz w:val="16"/>
              </w:rPr>
              <w:br/>
            </w:r>
            <w:r w:rsidRPr="00472FB5">
              <w:rPr>
                <w:i/>
                <w:sz w:val="16"/>
              </w:rPr>
              <w:t>за 201</w:t>
            </w:r>
            <w:r>
              <w:rPr>
                <w:i/>
                <w:sz w:val="16"/>
              </w:rPr>
              <w:t>8</w:t>
            </w:r>
            <w:r w:rsidRPr="00472FB5">
              <w:rPr>
                <w:i/>
                <w:sz w:val="16"/>
              </w:rPr>
              <w:t>−201</w:t>
            </w:r>
            <w:r>
              <w:rPr>
                <w:i/>
                <w:sz w:val="16"/>
              </w:rPr>
              <w:t>9</w:t>
            </w:r>
            <w:r w:rsidRPr="00472FB5">
              <w:rPr>
                <w:i/>
                <w:sz w:val="16"/>
              </w:rPr>
              <w:t xml:space="preserve"> годы</w:t>
            </w:r>
          </w:p>
        </w:tc>
      </w:tr>
      <w:tr w:rsidR="00FB103A" w:rsidRPr="00745273" w:rsidTr="0097626A">
        <w:trPr>
          <w:cantSplit/>
          <w:trHeight w:hRule="exact" w:val="86"/>
        </w:trPr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FB103A" w:rsidRPr="00745273" w:rsidRDefault="00FB103A" w:rsidP="0097626A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120"/>
              <w:ind w:right="43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FB103A" w:rsidRPr="00745273" w:rsidRDefault="00FB103A" w:rsidP="0097626A">
            <w:pPr>
              <w:tabs>
                <w:tab w:val="left" w:pos="288"/>
                <w:tab w:val="left" w:pos="576"/>
                <w:tab w:val="left" w:pos="1008"/>
                <w:tab w:val="left" w:pos="1152"/>
              </w:tabs>
              <w:spacing w:before="40" w:after="120"/>
              <w:ind w:left="576" w:right="43" w:hanging="432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FB103A" w:rsidRPr="00745273" w:rsidRDefault="00FB103A" w:rsidP="0097626A">
            <w:pPr>
              <w:tabs>
                <w:tab w:val="left" w:pos="288"/>
                <w:tab w:val="left" w:pos="576"/>
                <w:tab w:val="left" w:pos="1008"/>
                <w:tab w:val="left" w:pos="1152"/>
              </w:tabs>
              <w:spacing w:before="40" w:after="120"/>
              <w:ind w:left="576" w:right="43" w:hanging="432"/>
              <w:rPr>
                <w:rFonts w:eastAsia="Calibri"/>
              </w:rPr>
            </w:pPr>
          </w:p>
        </w:tc>
      </w:tr>
      <w:tr w:rsidR="00FB103A" w:rsidRPr="00FF70C6" w:rsidTr="0097626A">
        <w:trPr>
          <w:cantSplit/>
        </w:trPr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FB103A" w:rsidRPr="00A55936" w:rsidRDefault="00FB103A" w:rsidP="005B4CF3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120"/>
              <w:ind w:right="77"/>
              <w:rPr>
                <w:rFonts w:eastAsia="Calibri"/>
              </w:rPr>
            </w:pPr>
            <w:r w:rsidRPr="005D1B5B">
              <w:t>a)</w:t>
            </w:r>
            <w:r w:rsidRPr="005D1B5B">
              <w:tab/>
              <w:t xml:space="preserve">Укрепление нормативно-правовой базы для международных наземных перевозок (автомобильным, железнодорожным и внутренним водным транспортом и </w:t>
            </w:r>
            <w:r>
              <w:t>интермодальных</w:t>
            </w:r>
            <w:r w:rsidRPr="005D1B5B">
              <w:t xml:space="preserve"> перевозок), транспортной инфраструктуры, </w:t>
            </w:r>
            <w:r>
              <w:t>облегчения пересечения границ</w:t>
            </w:r>
            <w:r w:rsidRPr="005D1B5B">
              <w:t xml:space="preserve">, перевозки опасных грузов, </w:t>
            </w:r>
            <w:r>
              <w:t>оп</w:t>
            </w:r>
            <w:r w:rsidRPr="005D1B5B">
              <w:t>ределения конструкции транспортных средств и оказания других транспортных услуг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B103A" w:rsidRDefault="00FB103A" w:rsidP="00655F8D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left="432" w:right="90" w:hanging="432"/>
            </w:pPr>
            <w:r w:rsidRPr="005D1B5B">
              <w:t>i)</w:t>
            </w:r>
            <w:r w:rsidRPr="005D1B5B">
              <w:tab/>
              <w:t>Увеличение числа действующих правовых документов Организации Объединенных Наций по вопросам транспорта, находящихся в ведении ЕЭК</w:t>
            </w:r>
          </w:p>
          <w:p w:rsidR="00FB103A" w:rsidRPr="0097693F" w:rsidRDefault="00FB103A" w:rsidP="00655F8D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left="432" w:right="90" w:hanging="432"/>
              <w:rPr>
                <w:rFonts w:eastAsia="Calibri"/>
              </w:rPr>
            </w:pPr>
            <w:r w:rsidRPr="005D1B5B">
              <w:t>ii)</w:t>
            </w:r>
            <w:r w:rsidRPr="005D1B5B">
              <w:tab/>
              <w:t xml:space="preserve">Число принятых новых нормативных положений, касающихся транспортных средств, и поправок </w:t>
            </w:r>
            <w:r w:rsidR="00655F8D">
              <w:br/>
            </w:r>
            <w:r w:rsidRPr="005D1B5B">
              <w:t>к ним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B103A" w:rsidRPr="00CD3525" w:rsidRDefault="00FB103A" w:rsidP="0097626A">
            <w:pPr>
              <w:tabs>
                <w:tab w:val="left" w:pos="288"/>
                <w:tab w:val="left" w:pos="576"/>
                <w:tab w:val="left" w:pos="1008"/>
                <w:tab w:val="left" w:pos="1152"/>
              </w:tabs>
              <w:spacing w:before="40" w:after="120"/>
              <w:ind w:left="576" w:right="43" w:hanging="432"/>
              <w:rPr>
                <w:rFonts w:eastAsia="Calibri"/>
              </w:rPr>
            </w:pPr>
          </w:p>
        </w:tc>
      </w:tr>
      <w:tr w:rsidR="00FB103A" w:rsidRPr="00FF70C6" w:rsidTr="0097626A">
        <w:trPr>
          <w:cantSplit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FB103A" w:rsidRPr="00CD3525" w:rsidRDefault="00FB103A" w:rsidP="0097626A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120"/>
              <w:ind w:right="43"/>
              <w:rPr>
                <w:rFonts w:eastAsia="Calibr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Default="00FB103A" w:rsidP="00655F8D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left="432" w:right="90" w:hanging="432"/>
              <w:rPr>
                <w:rFonts w:eastAsia="Calibri"/>
              </w:rPr>
            </w:pPr>
            <w:r w:rsidRPr="005D1B5B">
              <w:t>iii)</w:t>
            </w:r>
            <w:r w:rsidRPr="005D1B5B">
              <w:tab/>
              <w:t>Число международных правовых документов, в которые были внесены поправки с учетом последнего пересмотренного издания Рекомендаций Организации Объединенных Наций по перевозке опасных грузов</w:t>
            </w:r>
          </w:p>
          <w:p w:rsidR="00FB103A" w:rsidRPr="00EF4B2C" w:rsidRDefault="00FB103A" w:rsidP="00655F8D">
            <w:pPr>
              <w:tabs>
                <w:tab w:val="left" w:pos="288"/>
                <w:tab w:val="left" w:pos="576"/>
                <w:tab w:val="left" w:pos="1008"/>
                <w:tab w:val="left" w:pos="1152"/>
              </w:tabs>
              <w:spacing w:before="40" w:after="120"/>
              <w:ind w:left="576" w:right="90" w:hanging="432"/>
              <w:rPr>
                <w:rFonts w:eastAsia="Calibr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Default="00FB103A" w:rsidP="00F2220A">
            <w:pPr>
              <w:tabs>
                <w:tab w:val="left" w:pos="288"/>
                <w:tab w:val="left" w:pos="1008"/>
                <w:tab w:val="left" w:pos="1152"/>
              </w:tabs>
              <w:spacing w:before="40" w:after="120"/>
              <w:ind w:left="101" w:right="43" w:hanging="1"/>
            </w:pPr>
            <w:r w:rsidRPr="00BB16BF">
              <w:rPr>
                <w:spacing w:val="3"/>
              </w:rPr>
              <w:t>О</w:t>
            </w:r>
            <w:r>
              <w:rPr>
                <w:spacing w:val="3"/>
              </w:rPr>
              <w:t>Д 9.а.</w:t>
            </w:r>
            <w:r w:rsidRPr="00BB16BF">
              <w:rPr>
                <w:spacing w:val="3"/>
              </w:rPr>
              <w:t xml:space="preserve"> Принятие поправок к </w:t>
            </w:r>
            <w:r>
              <w:rPr>
                <w:spacing w:val="3"/>
              </w:rPr>
              <w:t>ДОПОГ</w:t>
            </w:r>
            <w:r w:rsidRPr="00BB16BF">
              <w:rPr>
                <w:spacing w:val="3"/>
              </w:rPr>
              <w:t xml:space="preserve"> и − </w:t>
            </w:r>
            <w:r w:rsidRPr="005160DC">
              <w:rPr>
                <w:spacing w:val="3"/>
              </w:rPr>
              <w:t>посредством работы</w:t>
            </w:r>
            <w:r w:rsidRPr="00BB16BF">
              <w:rPr>
                <w:spacing w:val="3"/>
              </w:rPr>
              <w:t>, проводимой совместно с Межправительственной организацией по международным железнодорожным перевозкам (ОТИФ) и Центральной комиссией судоходства по Рейну (ЦКСР), − поправок</w:t>
            </w:r>
            <w:r>
              <w:rPr>
                <w:spacing w:val="3"/>
              </w:rPr>
              <w:t xml:space="preserve"> </w:t>
            </w:r>
            <w:r w:rsidRPr="001E756D">
              <w:rPr>
                <w:spacing w:val="3"/>
              </w:rPr>
              <w:t>соответственно</w:t>
            </w:r>
            <w:r w:rsidRPr="00BB16BF">
              <w:rPr>
                <w:spacing w:val="3"/>
              </w:rPr>
              <w:t xml:space="preserve"> к </w:t>
            </w:r>
            <w:r>
              <w:rPr>
                <w:spacing w:val="3"/>
              </w:rPr>
              <w:t>МПОГ</w:t>
            </w:r>
            <w:r w:rsidRPr="00BB16BF">
              <w:rPr>
                <w:spacing w:val="3"/>
              </w:rPr>
              <w:t xml:space="preserve"> и </w:t>
            </w:r>
            <w:r>
              <w:rPr>
                <w:spacing w:val="3"/>
              </w:rPr>
              <w:t>ВОПОГ</w:t>
            </w:r>
            <w:r w:rsidRPr="00BB16BF">
              <w:rPr>
                <w:spacing w:val="3"/>
              </w:rPr>
              <w:t>, направленных на поддержание необходимого уровня безопасности, защиты и охраны окружающей среды в рамках единообразной, согласованной и последовательной системы правил перевозки опасных грузов, основанной на Рекомендациях Организации Объединенных Наций по перевозке опасных грузов, и их э</w:t>
            </w:r>
            <w:r w:rsidRPr="003520E9">
              <w:t xml:space="preserve">ффективное применение </w:t>
            </w:r>
            <w:r>
              <w:t>на основе</w:t>
            </w:r>
            <w:r w:rsidRPr="003520E9">
              <w:t xml:space="preserve"> международного и национального законо</w:t>
            </w:r>
            <w:r>
              <w:t>дательства</w:t>
            </w:r>
          </w:p>
          <w:p w:rsidR="00FB103A" w:rsidRPr="00CD3525" w:rsidRDefault="00FB103A" w:rsidP="0097626A">
            <w:pPr>
              <w:tabs>
                <w:tab w:val="left" w:pos="288"/>
                <w:tab w:val="left" w:pos="1008"/>
                <w:tab w:val="left" w:pos="1152"/>
              </w:tabs>
              <w:spacing w:before="40" w:after="120"/>
              <w:ind w:left="101" w:right="43" w:firstLine="43"/>
              <w:rPr>
                <w:rFonts w:eastAsia="Calibri"/>
              </w:rPr>
            </w:pPr>
          </w:p>
        </w:tc>
      </w:tr>
      <w:tr w:rsidR="00FB103A" w:rsidRPr="002E3DFF" w:rsidTr="0097626A">
        <w:trPr>
          <w:cantSplit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Pr="00CD3525" w:rsidRDefault="00FB103A" w:rsidP="0097626A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120"/>
              <w:ind w:right="43"/>
              <w:rPr>
                <w:rFonts w:eastAsia="Calibr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Pr="00CD3525" w:rsidRDefault="00FB103A" w:rsidP="0097626A">
            <w:pPr>
              <w:tabs>
                <w:tab w:val="left" w:pos="288"/>
                <w:tab w:val="left" w:pos="576"/>
                <w:tab w:val="left" w:pos="1008"/>
                <w:tab w:val="left" w:pos="1152"/>
              </w:tabs>
              <w:spacing w:before="40" w:after="120"/>
              <w:ind w:left="576" w:right="43" w:hanging="432"/>
              <w:rPr>
                <w:rFonts w:eastAsia="Calibr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Pr="002E3DFF" w:rsidRDefault="00FB103A" w:rsidP="0097626A">
            <w:pPr>
              <w:spacing w:before="40" w:after="120"/>
              <w:ind w:left="113" w:right="113"/>
            </w:pPr>
            <w:r>
              <w:t>ПД 9.а.</w:t>
            </w:r>
            <w:r w:rsidRPr="003520E9">
              <w:t xml:space="preserve"> а) </w:t>
            </w:r>
            <w:r>
              <w:t>Поправки к ДОПОГ, МПОГ и ВОПОГ, принятые в 2017 и 2018 годах, которые вступили в силу для международных перевозок 1 января 2019 года и введены в действие для внутренних перевозок с 1 июля 2019 года во всех странах − членах ЕС и Европейского экономического пространства (ЕЭП), с учетом, в частности, Рекомендаций Организации Объединенных Наций по перевозке опасных грузов − Типовые правила 2017 года (двадцатое пересмотренное издание)</w:t>
            </w:r>
          </w:p>
        </w:tc>
      </w:tr>
      <w:tr w:rsidR="00FB103A" w:rsidRPr="00E103A7" w:rsidTr="0097626A">
        <w:trPr>
          <w:cantSplit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Pr="002E3DFF" w:rsidRDefault="00FB103A" w:rsidP="0097626A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120"/>
              <w:ind w:right="43"/>
              <w:rPr>
                <w:rFonts w:eastAsia="Calibr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Pr="002E3DFF" w:rsidRDefault="00FB103A" w:rsidP="0097626A">
            <w:pPr>
              <w:tabs>
                <w:tab w:val="left" w:pos="288"/>
                <w:tab w:val="left" w:pos="576"/>
                <w:tab w:val="left" w:pos="1008"/>
                <w:tab w:val="left" w:pos="1152"/>
              </w:tabs>
              <w:spacing w:before="40" w:after="120"/>
              <w:ind w:left="576" w:right="43" w:hanging="432"/>
              <w:rPr>
                <w:rFonts w:eastAsia="Calibr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Pr="00E103A7" w:rsidRDefault="00FB103A" w:rsidP="0097626A">
            <w:pPr>
              <w:spacing w:before="40" w:after="120"/>
              <w:ind w:left="113" w:right="113"/>
              <w:rPr>
                <w:i/>
              </w:rPr>
            </w:pPr>
            <w:r w:rsidRPr="00720B45">
              <w:rPr>
                <w:i/>
              </w:rPr>
              <w:t>Показатели результативности:</w:t>
            </w:r>
            <w:r>
              <w:t xml:space="preserve"> </w:t>
            </w:r>
            <w:r>
              <w:br/>
              <w:t xml:space="preserve">Базовый показатель на </w:t>
            </w:r>
            <w:r w:rsidR="005B4CF3">
              <w:br/>
            </w:r>
            <w:r>
              <w:t>2016</w:t>
            </w:r>
            <w:r w:rsidRPr="001B2715">
              <w:t>−</w:t>
            </w:r>
            <w:r>
              <w:t>2017</w:t>
            </w:r>
            <w:r w:rsidRPr="001B2715">
              <w:t xml:space="preserve"> </w:t>
            </w:r>
            <w:r>
              <w:t>годы: 1 </w:t>
            </w:r>
            <w:r w:rsidRPr="001B2715">
              <w:t xml:space="preserve">набор поправок к каждому правовому документу 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</w:t>
            </w:r>
            <w:r w:rsidR="005B4CF3">
              <w:br/>
            </w:r>
            <w:r>
              <w:t>2018</w:t>
            </w:r>
            <w:r w:rsidRPr="001B2715">
              <w:t>−</w:t>
            </w:r>
            <w:r>
              <w:t>2019</w:t>
            </w:r>
            <w:r w:rsidRPr="001B2715">
              <w:t xml:space="preserve"> годы: </w:t>
            </w:r>
            <w:r>
              <w:br/>
            </w:r>
            <w:r w:rsidRPr="001B2715">
              <w:t>1 набор поправок к каждому правовому документу</w:t>
            </w:r>
          </w:p>
        </w:tc>
      </w:tr>
      <w:tr w:rsidR="00FB103A" w:rsidRPr="00E103A7" w:rsidTr="0097626A">
        <w:trPr>
          <w:cantSplit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Pr="00E103A7" w:rsidRDefault="00FB103A" w:rsidP="0097626A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120"/>
              <w:ind w:right="43"/>
              <w:rPr>
                <w:rFonts w:eastAsia="Calibr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Pr="00E103A7" w:rsidRDefault="00FB103A" w:rsidP="0097626A">
            <w:pPr>
              <w:tabs>
                <w:tab w:val="left" w:pos="288"/>
                <w:tab w:val="left" w:pos="576"/>
                <w:tab w:val="left" w:pos="1008"/>
                <w:tab w:val="left" w:pos="1152"/>
              </w:tabs>
              <w:spacing w:before="40" w:after="120"/>
              <w:ind w:left="576" w:right="43" w:hanging="432"/>
              <w:rPr>
                <w:rFonts w:eastAsia="Calibr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Default="00FB103A" w:rsidP="0097626A">
            <w:pPr>
              <w:spacing w:before="40" w:after="120"/>
              <w:ind w:left="113" w:right="113"/>
            </w:pPr>
            <w:r>
              <w:t>ПД 9.а.</w:t>
            </w:r>
            <w:r w:rsidRPr="001B2715">
              <w:t xml:space="preserve"> b) Опубликование до кон</w:t>
            </w:r>
            <w:r>
              <w:t xml:space="preserve">ца </w:t>
            </w:r>
            <w:r w:rsidRPr="00F40B0F">
              <w:t>201</w:t>
            </w:r>
            <w:r>
              <w:t xml:space="preserve">8 </w:t>
            </w:r>
            <w:r w:rsidRPr="001B2715">
              <w:t xml:space="preserve">года сводных пересмотренных изданий ДОПОГ и ВОПОГ </w:t>
            </w:r>
            <w:r w:rsidRPr="00F40B0F">
              <w:t>201</w:t>
            </w:r>
            <w:r>
              <w:t>9</w:t>
            </w:r>
            <w:r w:rsidRPr="001B2715">
              <w:t xml:space="preserve"> года</w:t>
            </w:r>
          </w:p>
          <w:p w:rsidR="00FB103A" w:rsidRPr="00E103A7" w:rsidRDefault="00FB103A" w:rsidP="0097626A">
            <w:pPr>
              <w:spacing w:before="40" w:after="120"/>
              <w:ind w:left="113" w:right="113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t xml:space="preserve"> </w:t>
            </w:r>
            <w:r w:rsidRPr="001B2715">
              <w:br/>
              <w:t>Баз</w:t>
            </w:r>
            <w:r>
              <w:t xml:space="preserve">овый показатель на </w:t>
            </w:r>
            <w:r w:rsidR="005B4CF3">
              <w:br/>
            </w:r>
            <w:r>
              <w:t>2016−2017 годы: 1 ДОПОГ, 1 </w:t>
            </w:r>
            <w:r w:rsidRPr="001B2715">
              <w:t>ВОПОГ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</w:t>
            </w:r>
            <w:r w:rsidR="005B4CF3">
              <w:br/>
            </w:r>
            <w:r>
              <w:t xml:space="preserve">2018−2019 годы: </w:t>
            </w:r>
            <w:r>
              <w:br/>
              <w:t>1 ДОПОГ, 1 </w:t>
            </w:r>
            <w:r w:rsidRPr="001B2715">
              <w:t>ВОПОГ</w:t>
            </w:r>
          </w:p>
        </w:tc>
      </w:tr>
      <w:tr w:rsidR="00FB103A" w:rsidRPr="00955D20" w:rsidTr="0097626A">
        <w:trPr>
          <w:cantSplit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Default="00FB103A" w:rsidP="0097626A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120"/>
              <w:ind w:right="172"/>
              <w:rPr>
                <w:rFonts w:eastAsia="Calibri"/>
              </w:rPr>
            </w:pPr>
            <w:r w:rsidRPr="005D1B5B">
              <w:t>b)</w:t>
            </w:r>
            <w:r w:rsidRPr="005D1B5B">
              <w:tab/>
              <w:t>Расширение географического охвата и более эффективн</w:t>
            </w:r>
            <w:r>
              <w:t>ый</w:t>
            </w:r>
            <w:r w:rsidRPr="005D1B5B">
              <w:t xml:space="preserve"> </w:t>
            </w:r>
            <w:r>
              <w:t>контроль за</w:t>
            </w:r>
            <w:r w:rsidRPr="005D1B5B">
              <w:t xml:space="preserve"> </w:t>
            </w:r>
            <w:r>
              <w:t xml:space="preserve">выполнением положений </w:t>
            </w:r>
            <w:r w:rsidRPr="005D1B5B">
              <w:t>правовых документов и рекомендаций Организации Объединенных Наций по вопросам транспорта, находящихся</w:t>
            </w:r>
            <w:r>
              <w:t xml:space="preserve"> </w:t>
            </w:r>
            <w:r w:rsidRPr="005D1B5B">
              <w:t>в ведении ЕЭК</w:t>
            </w:r>
          </w:p>
          <w:p w:rsidR="00FB103A" w:rsidRPr="00721CD5" w:rsidRDefault="00FB103A" w:rsidP="0097626A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120"/>
              <w:ind w:right="43"/>
              <w:rPr>
                <w:rFonts w:eastAsia="Calibr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Default="00FB103A" w:rsidP="00655F8D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left="432" w:right="132" w:hanging="432"/>
              <w:rPr>
                <w:rFonts w:eastAsia="Calibri"/>
              </w:rPr>
            </w:pPr>
            <w:r w:rsidRPr="005D1B5B">
              <w:t>i)</w:t>
            </w:r>
            <w:r w:rsidRPr="005D1B5B">
              <w:tab/>
              <w:t>Увеличение числа государств, в том числе из других регионов, которые присоединились к правовым документам и рекомендациям Организации Объединенных Наций по вопросам транспорта, находящимся в ведении ЕЭК</w:t>
            </w:r>
          </w:p>
          <w:p w:rsidR="00FB103A" w:rsidRPr="00731FC4" w:rsidRDefault="00FB103A" w:rsidP="00655F8D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left="432" w:right="132" w:hanging="432"/>
              <w:rPr>
                <w:rFonts w:eastAsia="Calibri"/>
              </w:rPr>
            </w:pPr>
            <w:r w:rsidRPr="005D1B5B">
              <w:t>ii)</w:t>
            </w:r>
            <w:r w:rsidRPr="005D1B5B">
              <w:tab/>
              <w:t xml:space="preserve">Увеличение числа согласованных договаривающимися сторонами механизмов контроля за выполнением положений правовых документов и рекомендаций Организации Объединенных Наций, находящихся </w:t>
            </w:r>
            <w:r w:rsidR="00655F8D">
              <w:br/>
            </w:r>
            <w:r w:rsidRPr="005D1B5B">
              <w:t>в ведении ЕЭК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Default="00FB103A" w:rsidP="00113CAF">
            <w:pPr>
              <w:spacing w:before="40" w:after="120"/>
              <w:ind w:left="113" w:right="113"/>
            </w:pPr>
            <w:r>
              <w:t xml:space="preserve">ОД </w:t>
            </w:r>
            <w:r w:rsidRPr="001006CE">
              <w:t>9</w:t>
            </w:r>
            <w:r w:rsidRPr="007947D4">
              <w:t>.</w:t>
            </w:r>
            <w:r w:rsidRPr="006D5C09">
              <w:rPr>
                <w:lang w:val="en-US"/>
              </w:rPr>
              <w:t>b</w:t>
            </w:r>
            <w:r w:rsidRPr="001B2715">
              <w:t>.</w:t>
            </w:r>
            <w:r w:rsidRPr="001006CE">
              <w:t xml:space="preserve"> </w:t>
            </w:r>
            <w:r w:rsidRPr="008B2CEC">
              <w:t xml:space="preserve">Последующая деятельность по реализации </w:t>
            </w:r>
            <w:r>
              <w:t>«</w:t>
            </w:r>
            <w:r w:rsidRPr="008B2CEC">
              <w:t>дорожной карты</w:t>
            </w:r>
            <w:r>
              <w:t>»</w:t>
            </w:r>
            <w:r w:rsidRPr="008B2CEC">
              <w:t xml:space="preserve"> по вопросам присоединения к ДОПОГ и его применения </w:t>
            </w:r>
            <w:r w:rsidRPr="00585A5C">
              <w:t>(ECE/TRANS/238)</w:t>
            </w:r>
            <w:r>
              <w:t xml:space="preserve"> </w:t>
            </w:r>
            <w:r w:rsidRPr="008B2CEC">
              <w:t>для новых и существующих Договаривающихся сторон ДОПОГ</w:t>
            </w:r>
          </w:p>
          <w:p w:rsidR="00FB103A" w:rsidRDefault="00FB103A" w:rsidP="0097626A">
            <w:pPr>
              <w:spacing w:before="40" w:after="120"/>
              <w:ind w:left="113" w:right="113"/>
            </w:pPr>
            <w:r>
              <w:t xml:space="preserve">ПД </w:t>
            </w:r>
            <w:r w:rsidRPr="001006CE">
              <w:t>9</w:t>
            </w:r>
            <w:r w:rsidRPr="007947D4">
              <w:t>.</w:t>
            </w:r>
            <w:r w:rsidRPr="006D5C09">
              <w:rPr>
                <w:lang w:val="en-US"/>
              </w:rPr>
              <w:t>b</w:t>
            </w:r>
            <w:r w:rsidRPr="001B2715">
              <w:t>.</w:t>
            </w:r>
            <w:r>
              <w:t xml:space="preserve"> Дополнение и размещение на веб-сайте ЕЭК ООН информации, </w:t>
            </w:r>
            <w:r w:rsidRPr="00A60A64">
              <w:t>касающейся стран, являющихся Договаривающимися сторонами ДОПОГ, и информации, подлежащей обязательному представлению (информация</w:t>
            </w:r>
            <w:r>
              <w:t>, касающаяся</w:t>
            </w:r>
            <w:r w:rsidRPr="00A60A64">
              <w:t xml:space="preserve"> свидетельств о подготовке водител</w:t>
            </w:r>
            <w:r>
              <w:t>я,</w:t>
            </w:r>
            <w:r w:rsidRPr="00A60A64">
              <w:t xml:space="preserve"> и информация, указанная в приложении I к </w:t>
            </w:r>
            <w:r>
              <w:t>«</w:t>
            </w:r>
            <w:r w:rsidRPr="00A60A64">
              <w:t>дорожной карте</w:t>
            </w:r>
            <w:r>
              <w:t>»</w:t>
            </w:r>
            <w:r w:rsidRPr="00A60A64">
              <w:t>)</w:t>
            </w:r>
          </w:p>
          <w:p w:rsidR="00FB103A" w:rsidRPr="00955D20" w:rsidRDefault="00FB103A" w:rsidP="0097626A">
            <w:pPr>
              <w:spacing w:before="40" w:after="120"/>
              <w:ind w:left="113" w:right="113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>
              <w:t xml:space="preserve">Базовый показатель на </w:t>
            </w:r>
            <w:r w:rsidR="00113CAF">
              <w:br/>
            </w:r>
            <w:r w:rsidRPr="001720BB">
              <w:t>201</w:t>
            </w:r>
            <w:r>
              <w:t>6</w:t>
            </w:r>
            <w:r w:rsidRPr="001720BB">
              <w:t>−201</w:t>
            </w:r>
            <w:r>
              <w:t>7 годы</w:t>
            </w:r>
            <w:r w:rsidRPr="001B2715">
              <w:t xml:space="preserve">: </w:t>
            </w:r>
            <w:r>
              <w:t xml:space="preserve">Наличие информации по 75% Договаривающихся сторон ДОПОГ 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>: Наличие и обновление информации по 75% Договаривающихся сторон ДОПОГ</w:t>
            </w:r>
          </w:p>
        </w:tc>
      </w:tr>
      <w:tr w:rsidR="00FB103A" w:rsidRPr="00510001" w:rsidTr="0097626A">
        <w:trPr>
          <w:cantSplit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Pr="00731FC4" w:rsidRDefault="00FB103A" w:rsidP="0097626A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40"/>
              <w:ind w:right="122"/>
              <w:rPr>
                <w:rFonts w:eastAsia="Calibri"/>
              </w:rPr>
            </w:pPr>
            <w:r w:rsidRPr="005D1B5B">
              <w:t>с)</w:t>
            </w:r>
            <w:r w:rsidRPr="005D1B5B">
              <w:tab/>
              <w:t>Укрепление потенциала государств </w:t>
            </w:r>
            <w:r w:rsidR="0097626A">
              <w:t>–</w:t>
            </w:r>
            <w:r w:rsidRPr="005D1B5B">
              <w:t xml:space="preserve"> членов ЕЭК, в частности развивающихся стран, не имеющих выхода к морю, для создания панъевропейской и трансконтинентальной транспортной инфраструктуры и принятия мер по содействию развитию транспорта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Default="00FB103A" w:rsidP="00655F8D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left="432" w:right="119" w:hanging="432"/>
            </w:pPr>
            <w:r w:rsidRPr="005D1B5B">
              <w:t>i)</w:t>
            </w:r>
            <w:r w:rsidRPr="005D1B5B">
              <w:tab/>
              <w:t xml:space="preserve">Увеличение числа </w:t>
            </w:r>
            <w:r>
              <w:t xml:space="preserve">договаривающихся </w:t>
            </w:r>
            <w:r w:rsidRPr="005D1B5B">
              <w:t>сторон четырех основных соглашений, касающихся транспортной инфраструктуры</w:t>
            </w:r>
          </w:p>
          <w:p w:rsidR="00FB103A" w:rsidRPr="00510001" w:rsidRDefault="00FB103A" w:rsidP="00655F8D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left="432" w:right="119" w:hanging="432"/>
              <w:rPr>
                <w:rFonts w:eastAsia="Calibri"/>
              </w:rPr>
            </w:pPr>
            <w:r w:rsidRPr="005D1B5B">
              <w:t>ii)</w:t>
            </w:r>
            <w:r w:rsidRPr="005D1B5B">
              <w:tab/>
              <w:t>Увеличение числа государств-членов, использующих общую рамочную основу ЕЭК для раз</w:t>
            </w:r>
            <w:r>
              <w:t>вития</w:t>
            </w:r>
            <w:r w:rsidRPr="005D1B5B">
              <w:t xml:space="preserve"> субрегиональной транспортной инфраструктуры (Проект по евроазиатским транспортным связям, проект создания </w:t>
            </w:r>
            <w:r>
              <w:t>т</w:t>
            </w:r>
            <w:r w:rsidRPr="005D1B5B">
              <w:t xml:space="preserve">рансъевропейской автомагистрали и проект создания </w:t>
            </w:r>
            <w:r>
              <w:t>т</w:t>
            </w:r>
            <w:r w:rsidRPr="005D1B5B">
              <w:t>рансъевропейской железнодорожной магистрали)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03A" w:rsidRPr="00510001" w:rsidRDefault="00FB103A" w:rsidP="0097626A">
            <w:pPr>
              <w:tabs>
                <w:tab w:val="left" w:pos="288"/>
                <w:tab w:val="left" w:pos="576"/>
                <w:tab w:val="left" w:pos="1008"/>
                <w:tab w:val="left" w:pos="1152"/>
              </w:tabs>
              <w:spacing w:before="40" w:after="40"/>
              <w:ind w:left="576" w:right="43" w:hanging="432"/>
              <w:rPr>
                <w:rFonts w:eastAsia="Calibri"/>
              </w:rPr>
            </w:pPr>
          </w:p>
        </w:tc>
      </w:tr>
      <w:tr w:rsidR="00FB103A" w:rsidRPr="00510001" w:rsidTr="0097626A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03A" w:rsidRPr="00510001" w:rsidRDefault="00FB103A" w:rsidP="0097626A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40"/>
              <w:ind w:right="45"/>
              <w:rPr>
                <w:rFonts w:eastAsia="Calibri"/>
              </w:rPr>
            </w:pPr>
            <w:r w:rsidRPr="005D1B5B">
              <w:t>d)</w:t>
            </w:r>
            <w:r w:rsidRPr="005D1B5B">
              <w:tab/>
              <w:t xml:space="preserve">Расширение возможностей осуществления соответствующих правовых документов, норм и </w:t>
            </w:r>
            <w:r>
              <w:t>правил</w:t>
            </w:r>
            <w:r w:rsidRPr="005D1B5B">
              <w:t xml:space="preserve"> Организации Объединенных Наций</w:t>
            </w:r>
            <w:r>
              <w:t xml:space="preserve"> </w:t>
            </w:r>
            <w:r w:rsidRPr="005D1B5B">
              <w:t>по вопросам транспорта, в частности в странах Восточной и Юго-Восточной Европы, Закавказья и Центральной Азии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03A" w:rsidRDefault="00FB103A" w:rsidP="00655F8D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left="432" w:right="92" w:hanging="432"/>
              <w:rPr>
                <w:rFonts w:eastAsia="Calibri"/>
              </w:rPr>
            </w:pPr>
            <w:r w:rsidRPr="005D1B5B">
              <w:t>i)</w:t>
            </w:r>
            <w:r w:rsidRPr="005D1B5B">
              <w:tab/>
              <w:t>Увеличение числа стран Восточной и Юго-Восточ</w:t>
            </w:r>
            <w:r w:rsidR="00655F8D">
              <w:t>-</w:t>
            </w:r>
            <w:r w:rsidRPr="005D1B5B">
              <w:t>ной Европы, Закавказья и Центральной Азии, сообщивших о принятии мер, направленных на применение правовых документов,</w:t>
            </w:r>
            <w:r>
              <w:t xml:space="preserve"> </w:t>
            </w:r>
            <w:r w:rsidRPr="005D1B5B">
              <w:t xml:space="preserve">норм и </w:t>
            </w:r>
            <w:r>
              <w:t>правил</w:t>
            </w:r>
            <w:r w:rsidRPr="005D1B5B">
              <w:t xml:space="preserve"> Организации Объединенных Наций</w:t>
            </w:r>
            <w:r>
              <w:t xml:space="preserve"> </w:t>
            </w:r>
            <w:r w:rsidRPr="005D1B5B">
              <w:t xml:space="preserve">в области транспорта, находящихся </w:t>
            </w:r>
            <w:r w:rsidR="00113CAF">
              <w:br/>
            </w:r>
            <w:r w:rsidRPr="005D1B5B">
              <w:t>в ведении ЕЭК</w:t>
            </w:r>
          </w:p>
          <w:p w:rsidR="00FB103A" w:rsidRPr="00510001" w:rsidRDefault="00FB103A" w:rsidP="00655F8D">
            <w:pPr>
              <w:tabs>
                <w:tab w:val="left" w:pos="432"/>
                <w:tab w:val="left" w:pos="864"/>
                <w:tab w:val="left" w:pos="1152"/>
              </w:tabs>
              <w:spacing w:after="120"/>
              <w:ind w:left="432" w:right="92" w:hanging="432"/>
              <w:rPr>
                <w:rFonts w:eastAsia="Calibri"/>
              </w:rPr>
            </w:pPr>
            <w:r w:rsidRPr="005D1B5B">
              <w:t>ii)</w:t>
            </w:r>
            <w:r w:rsidRPr="005D1B5B">
              <w:tab/>
              <w:t>Увеличение числа государств </w:t>
            </w:r>
            <w:r w:rsidR="00113CAF">
              <w:t>–</w:t>
            </w:r>
            <w:r w:rsidRPr="005D1B5B">
              <w:t xml:space="preserve"> членов ЕЭК, установивших целевые показатели в области повышения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03A" w:rsidRPr="00510001" w:rsidRDefault="00FB103A" w:rsidP="0097626A">
            <w:pPr>
              <w:tabs>
                <w:tab w:val="left" w:pos="288"/>
                <w:tab w:val="left" w:pos="576"/>
                <w:tab w:val="left" w:pos="1008"/>
                <w:tab w:val="left" w:pos="1152"/>
              </w:tabs>
              <w:spacing w:before="40" w:after="40"/>
              <w:ind w:left="576" w:right="43" w:hanging="432"/>
              <w:rPr>
                <w:rFonts w:eastAsia="Calibri"/>
              </w:rPr>
            </w:pPr>
          </w:p>
        </w:tc>
      </w:tr>
    </w:tbl>
    <w:p w:rsidR="00FB103A" w:rsidRPr="00FB103A" w:rsidRDefault="00FB103A" w:rsidP="00FB103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103A" w:rsidRPr="00FB103A" w:rsidSect="00045D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6A" w:rsidRPr="00A312BC" w:rsidRDefault="0097626A" w:rsidP="00A312BC"/>
  </w:endnote>
  <w:endnote w:type="continuationSeparator" w:id="0">
    <w:p w:rsidR="0097626A" w:rsidRPr="00A312BC" w:rsidRDefault="0097626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6A" w:rsidRPr="00045DF2" w:rsidRDefault="0097626A">
    <w:pPr>
      <w:pStyle w:val="Footer"/>
    </w:pPr>
    <w:r w:rsidRPr="00045DF2">
      <w:rPr>
        <w:b/>
        <w:sz w:val="18"/>
      </w:rPr>
      <w:fldChar w:fldCharType="begin"/>
    </w:r>
    <w:r w:rsidRPr="00045DF2">
      <w:rPr>
        <w:b/>
        <w:sz w:val="18"/>
      </w:rPr>
      <w:instrText xml:space="preserve"> PAGE  \* MERGEFORMAT </w:instrText>
    </w:r>
    <w:r w:rsidRPr="00045DF2">
      <w:rPr>
        <w:b/>
        <w:sz w:val="18"/>
      </w:rPr>
      <w:fldChar w:fldCharType="separate"/>
    </w:r>
    <w:r w:rsidR="005A4E6A">
      <w:rPr>
        <w:b/>
        <w:noProof/>
        <w:sz w:val="18"/>
      </w:rPr>
      <w:t>2</w:t>
    </w:r>
    <w:r w:rsidRPr="00045DF2">
      <w:rPr>
        <w:b/>
        <w:sz w:val="18"/>
      </w:rPr>
      <w:fldChar w:fldCharType="end"/>
    </w:r>
    <w:r>
      <w:rPr>
        <w:b/>
        <w:sz w:val="18"/>
      </w:rPr>
      <w:tab/>
    </w:r>
    <w:r>
      <w:t>GE.17-14753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6A" w:rsidRPr="00045DF2" w:rsidRDefault="0097626A" w:rsidP="00045DF2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GE.17-14753</w:t>
    </w:r>
    <w:r>
      <w:tab/>
    </w:r>
    <w:r w:rsidRPr="00045DF2">
      <w:rPr>
        <w:b/>
        <w:sz w:val="18"/>
      </w:rPr>
      <w:fldChar w:fldCharType="begin"/>
    </w:r>
    <w:r w:rsidRPr="00045DF2">
      <w:rPr>
        <w:b/>
        <w:sz w:val="18"/>
      </w:rPr>
      <w:instrText xml:space="preserve"> PAGE  \* MERGEFORMAT </w:instrText>
    </w:r>
    <w:r w:rsidRPr="00045DF2">
      <w:rPr>
        <w:b/>
        <w:sz w:val="18"/>
      </w:rPr>
      <w:fldChar w:fldCharType="separate"/>
    </w:r>
    <w:r w:rsidR="005A4E6A">
      <w:rPr>
        <w:b/>
        <w:noProof/>
        <w:sz w:val="18"/>
      </w:rPr>
      <w:t>9</w:t>
    </w:r>
    <w:r w:rsidRPr="00045D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6A" w:rsidRPr="00045DF2" w:rsidRDefault="0097626A" w:rsidP="00045DF2">
    <w:pPr>
      <w:spacing w:before="120" w:line="240" w:lineRule="auto"/>
    </w:pPr>
    <w:r>
      <w:t>GE.</w:t>
    </w:r>
    <w:r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FC2F4E7" wp14:editId="353A09C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17-14753  (R)</w:t>
    </w:r>
    <w:r>
      <w:rPr>
        <w:lang w:val="en-US"/>
      </w:rPr>
      <w:t xml:space="preserve">  060917  </w:t>
    </w:r>
    <w:r>
      <w:t>0</w:t>
    </w:r>
    <w:r w:rsidR="003619AB">
      <w:t>6</w:t>
    </w:r>
    <w:r>
      <w:rPr>
        <w:lang w:val="en-US"/>
      </w:rPr>
      <w:t>0917</w:t>
    </w:r>
    <w:r>
      <w:br/>
    </w:r>
    <w:r w:rsidRPr="00045DF2">
      <w:rPr>
        <w:rFonts w:ascii="C39T30Lfz" w:hAnsi="C39T30Lfz"/>
        <w:spacing w:val="0"/>
        <w:w w:val="100"/>
        <w:sz w:val="56"/>
      </w:rPr>
      <w:t></w:t>
    </w:r>
    <w:r w:rsidRPr="00045DF2">
      <w:rPr>
        <w:rFonts w:ascii="C39T30Lfz" w:hAnsi="C39T30Lfz"/>
        <w:spacing w:val="0"/>
        <w:w w:val="100"/>
        <w:sz w:val="56"/>
      </w:rPr>
      <w:t></w:t>
    </w:r>
    <w:r w:rsidRPr="00045DF2">
      <w:rPr>
        <w:rFonts w:ascii="C39T30Lfz" w:hAnsi="C39T30Lfz"/>
        <w:spacing w:val="0"/>
        <w:w w:val="100"/>
        <w:sz w:val="56"/>
      </w:rPr>
      <w:t></w:t>
    </w:r>
    <w:r w:rsidRPr="00045DF2">
      <w:rPr>
        <w:rFonts w:ascii="C39T30Lfz" w:hAnsi="C39T30Lfz"/>
        <w:spacing w:val="0"/>
        <w:w w:val="100"/>
        <w:sz w:val="56"/>
      </w:rPr>
      <w:t></w:t>
    </w:r>
    <w:r w:rsidRPr="00045DF2">
      <w:rPr>
        <w:rFonts w:ascii="C39T30Lfz" w:hAnsi="C39T30Lfz"/>
        <w:spacing w:val="0"/>
        <w:w w:val="100"/>
        <w:sz w:val="56"/>
      </w:rPr>
      <w:t></w:t>
    </w:r>
    <w:r w:rsidRPr="00045DF2">
      <w:rPr>
        <w:rFonts w:ascii="C39T30Lfz" w:hAnsi="C39T30Lfz"/>
        <w:spacing w:val="0"/>
        <w:w w:val="100"/>
        <w:sz w:val="56"/>
      </w:rPr>
      <w:t></w:t>
    </w:r>
    <w:r w:rsidRPr="00045DF2">
      <w:rPr>
        <w:rFonts w:ascii="C39T30Lfz" w:hAnsi="C39T30Lfz"/>
        <w:spacing w:val="0"/>
        <w:w w:val="100"/>
        <w:sz w:val="56"/>
      </w:rPr>
      <w:t></w:t>
    </w:r>
    <w:r w:rsidRPr="00045DF2">
      <w:rPr>
        <w:rFonts w:ascii="C39T30Lfz" w:hAnsi="C39T30Lfz"/>
        <w:spacing w:val="0"/>
        <w:w w:val="100"/>
        <w:sz w:val="56"/>
      </w:rPr>
      <w:t></w:t>
    </w:r>
    <w:r w:rsidRPr="00045DF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 wp14:anchorId="0E95D231" wp14:editId="24AD4C7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2017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7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6A" w:rsidRPr="001075E9" w:rsidRDefault="0097626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626A" w:rsidRDefault="0097626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7626A" w:rsidRPr="009E0E0E" w:rsidRDefault="0097626A" w:rsidP="005C42BE">
      <w:pPr>
        <w:pStyle w:val="FootnoteText"/>
        <w:rPr>
          <w:lang w:val="ru-RU"/>
        </w:rPr>
      </w:pPr>
      <w:r>
        <w:rPr>
          <w:sz w:val="20"/>
        </w:rPr>
        <w:tab/>
      </w:r>
      <w:r w:rsidRPr="005A487A">
        <w:rPr>
          <w:rStyle w:val="FootnoteReference"/>
          <w:sz w:val="20"/>
          <w:vertAlign w:val="baseline"/>
        </w:rPr>
        <w:sym w:font="Symbol" w:char="F02A"/>
      </w:r>
      <w:r w:rsidRPr="009E0E0E">
        <w:rPr>
          <w:lang w:val="ru-RU"/>
        </w:rPr>
        <w:tab/>
      </w:r>
      <w:r w:rsidRPr="00B50CD2">
        <w:rPr>
          <w:lang w:val="ru-RU"/>
        </w:rPr>
        <w:t>В</w:t>
      </w:r>
      <w:r w:rsidRPr="009E0E0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E0E0E">
        <w:rPr>
          <w:lang w:val="ru-RU"/>
        </w:rPr>
        <w:t xml:space="preserve"> </w:t>
      </w:r>
      <w:r w:rsidRPr="00B50CD2">
        <w:rPr>
          <w:lang w:val="ru-RU"/>
        </w:rPr>
        <w:t>с</w:t>
      </w:r>
      <w:r w:rsidRPr="009E0E0E">
        <w:rPr>
          <w:lang w:val="ru-RU"/>
        </w:rPr>
        <w:t xml:space="preserve"> </w:t>
      </w:r>
      <w:r w:rsidRPr="00B50CD2">
        <w:rPr>
          <w:lang w:val="ru-RU"/>
        </w:rPr>
        <w:t>программой</w:t>
      </w:r>
      <w:r w:rsidRPr="009E0E0E">
        <w:rPr>
          <w:lang w:val="ru-RU"/>
        </w:rPr>
        <w:t xml:space="preserve"> </w:t>
      </w:r>
      <w:r w:rsidRPr="00B50CD2">
        <w:rPr>
          <w:lang w:val="ru-RU"/>
        </w:rPr>
        <w:t>работы</w:t>
      </w:r>
      <w:r w:rsidRPr="009E0E0E">
        <w:rPr>
          <w:lang w:val="ru-RU"/>
        </w:rPr>
        <w:t xml:space="preserve"> </w:t>
      </w:r>
      <w:r w:rsidRPr="00B50CD2">
        <w:rPr>
          <w:lang w:val="ru-RU"/>
        </w:rPr>
        <w:t>Комитета</w:t>
      </w:r>
      <w:r w:rsidRPr="009E0E0E">
        <w:rPr>
          <w:lang w:val="ru-RU"/>
        </w:rPr>
        <w:t xml:space="preserve"> </w:t>
      </w:r>
      <w:r w:rsidRPr="00B50CD2">
        <w:rPr>
          <w:lang w:val="ru-RU"/>
        </w:rPr>
        <w:t>по</w:t>
      </w:r>
      <w:r w:rsidRPr="009E0E0E">
        <w:rPr>
          <w:lang w:val="ru-RU"/>
        </w:rPr>
        <w:t xml:space="preserve"> </w:t>
      </w:r>
      <w:r w:rsidRPr="00B50CD2">
        <w:rPr>
          <w:lang w:val="ru-RU"/>
        </w:rPr>
        <w:t>внутреннему</w:t>
      </w:r>
      <w:r w:rsidRPr="009E0E0E">
        <w:rPr>
          <w:lang w:val="ru-RU"/>
        </w:rPr>
        <w:t xml:space="preserve"> </w:t>
      </w:r>
      <w:r w:rsidRPr="00B50CD2">
        <w:rPr>
          <w:lang w:val="ru-RU"/>
        </w:rPr>
        <w:t>транспорту</w:t>
      </w:r>
      <w:r w:rsidRPr="009E0E0E">
        <w:rPr>
          <w:lang w:val="ru-RU"/>
        </w:rPr>
        <w:t xml:space="preserve"> </w:t>
      </w:r>
      <w:r w:rsidRPr="009E0E0E">
        <w:rPr>
          <w:lang w:val="ru-RU"/>
        </w:rPr>
        <w:br/>
      </w:r>
      <w:r w:rsidRPr="00B50CD2">
        <w:rPr>
          <w:lang w:val="ru-RU"/>
        </w:rPr>
        <w:t>на</w:t>
      </w:r>
      <w:r w:rsidRPr="00B50CD2">
        <w:rPr>
          <w:lang w:val="en-US"/>
        </w:rPr>
        <w:t> </w:t>
      </w:r>
      <w:r w:rsidRPr="009E0E0E">
        <w:rPr>
          <w:lang w:val="ru-RU"/>
        </w:rPr>
        <w:t>2016–2017</w:t>
      </w:r>
      <w:r w:rsidRPr="009E0E0E">
        <w:rPr>
          <w:lang w:val="en-US"/>
        </w:rPr>
        <w:t> </w:t>
      </w:r>
      <w:r w:rsidRPr="00B50CD2">
        <w:rPr>
          <w:lang w:val="ru-RU"/>
        </w:rPr>
        <w:t>годы</w:t>
      </w:r>
      <w:r w:rsidRPr="009E0E0E">
        <w:rPr>
          <w:lang w:val="ru-RU"/>
        </w:rPr>
        <w:t xml:space="preserve"> (</w:t>
      </w:r>
      <w:r w:rsidRPr="009E0E0E">
        <w:rPr>
          <w:lang w:val="en-US"/>
        </w:rPr>
        <w:t>ECE</w:t>
      </w:r>
      <w:r w:rsidRPr="009E0E0E">
        <w:rPr>
          <w:lang w:val="ru-RU"/>
        </w:rPr>
        <w:t>/</w:t>
      </w:r>
      <w:r w:rsidRPr="009E0E0E">
        <w:rPr>
          <w:lang w:val="en-US"/>
        </w:rPr>
        <w:t>TRANS</w:t>
      </w:r>
      <w:r w:rsidRPr="009E0E0E">
        <w:rPr>
          <w:lang w:val="ru-RU"/>
        </w:rPr>
        <w:t>/2016/28/</w:t>
      </w:r>
      <w:r w:rsidRPr="009E0E0E">
        <w:rPr>
          <w:lang w:val="en-US"/>
        </w:rPr>
        <w:t>Add</w:t>
      </w:r>
      <w:r w:rsidRPr="009E0E0E">
        <w:rPr>
          <w:lang w:val="ru-RU"/>
        </w:rPr>
        <w:t>.1 (9.1)).</w:t>
      </w:r>
    </w:p>
  </w:footnote>
  <w:footnote w:id="2">
    <w:p w:rsidR="0097626A" w:rsidRPr="005269BC" w:rsidRDefault="0097626A" w:rsidP="004228E0">
      <w:pPr>
        <w:pStyle w:val="FootnoteText"/>
        <w:rPr>
          <w:lang w:val="ru-RU"/>
        </w:rPr>
      </w:pPr>
      <w:r w:rsidRPr="004258CF">
        <w:rPr>
          <w:lang w:val="ru-RU"/>
        </w:rPr>
        <w:tab/>
      </w:r>
      <w:r>
        <w:rPr>
          <w:rStyle w:val="FootnoteReference"/>
        </w:rPr>
        <w:footnoteRef/>
      </w:r>
      <w:r w:rsidRPr="005269BC">
        <w:rPr>
          <w:lang w:val="ru-RU"/>
        </w:rPr>
        <w:tab/>
        <w:t xml:space="preserve">Европейское соглашение о </w:t>
      </w:r>
      <w:r>
        <w:rPr>
          <w:lang w:val="ru-RU"/>
        </w:rPr>
        <w:t>международной</w:t>
      </w:r>
      <w:r w:rsidRPr="005269BC">
        <w:rPr>
          <w:lang w:val="ru-RU"/>
        </w:rPr>
        <w:t xml:space="preserve"> дорожной перевозке опасных грузов. </w:t>
      </w:r>
    </w:p>
  </w:footnote>
  <w:footnote w:id="3">
    <w:p w:rsidR="0097626A" w:rsidRPr="005269BC" w:rsidRDefault="0097626A" w:rsidP="004228E0">
      <w:pPr>
        <w:pStyle w:val="FootnoteText"/>
        <w:rPr>
          <w:lang w:val="ru-RU"/>
        </w:rPr>
      </w:pPr>
      <w:r w:rsidRPr="005269BC">
        <w:rPr>
          <w:lang w:val="ru-RU"/>
        </w:rPr>
        <w:tab/>
      </w:r>
      <w:r>
        <w:rPr>
          <w:rStyle w:val="FootnoteReference"/>
        </w:rPr>
        <w:footnoteRef/>
      </w:r>
      <w:r w:rsidRPr="005269BC">
        <w:rPr>
          <w:lang w:val="ru-RU"/>
        </w:rPr>
        <w:tab/>
        <w:t xml:space="preserve">Правила международной перевозки опасных </w:t>
      </w:r>
      <w:r>
        <w:rPr>
          <w:lang w:val="ru-RU"/>
        </w:rPr>
        <w:t>грузов</w:t>
      </w:r>
      <w:r w:rsidRPr="005269BC">
        <w:rPr>
          <w:lang w:val="ru-RU"/>
        </w:rPr>
        <w:t xml:space="preserve"> по железным дорогам. </w:t>
      </w:r>
    </w:p>
  </w:footnote>
  <w:footnote w:id="4">
    <w:p w:rsidR="0097626A" w:rsidRPr="005269BC" w:rsidRDefault="0097626A" w:rsidP="004228E0">
      <w:pPr>
        <w:pStyle w:val="FootnoteText"/>
        <w:rPr>
          <w:lang w:val="ru-RU"/>
        </w:rPr>
      </w:pPr>
      <w:r w:rsidRPr="005269BC">
        <w:rPr>
          <w:lang w:val="ru-RU"/>
        </w:rPr>
        <w:tab/>
      </w:r>
      <w:r>
        <w:rPr>
          <w:rStyle w:val="FootnoteReference"/>
        </w:rPr>
        <w:footnoteRef/>
      </w:r>
      <w:r w:rsidRPr="005269BC">
        <w:rPr>
          <w:lang w:val="ru-RU"/>
        </w:rPr>
        <w:tab/>
        <w:t xml:space="preserve">Европейское соглашение о международной перевозке опасных грузов по внутренним водным путям. </w:t>
      </w:r>
    </w:p>
  </w:footnote>
  <w:footnote w:id="5">
    <w:p w:rsidR="0097626A" w:rsidRPr="00A31520" w:rsidRDefault="0097626A" w:rsidP="00A31520">
      <w:pPr>
        <w:pStyle w:val="FootnoteText"/>
        <w:rPr>
          <w:lang w:val="ru-RU"/>
        </w:rPr>
      </w:pPr>
      <w:r w:rsidRPr="00A31520">
        <w:rPr>
          <w:lang w:val="ru-RU"/>
        </w:rPr>
        <w:tab/>
      </w:r>
      <w:r w:rsidRPr="00A31520">
        <w:rPr>
          <w:rStyle w:val="FootnoteReference"/>
        </w:rPr>
        <w:footnoteRef/>
      </w:r>
      <w:hyperlink r:id="rId1" w:history="1">
        <w:r w:rsidRPr="00A31520">
          <w:rPr>
            <w:rStyle w:val="Hyperlink"/>
            <w:color w:val="auto"/>
            <w:lang w:val="ru-RU"/>
          </w:rPr>
          <w:tab/>
        </w:r>
        <w:r w:rsidRPr="00A31520">
          <w:rPr>
            <w:rStyle w:val="Hyperlink"/>
            <w:color w:val="auto"/>
          </w:rPr>
          <w:t>http</w:t>
        </w:r>
        <w:r w:rsidRPr="00A31520">
          <w:rPr>
            <w:rStyle w:val="Hyperlink"/>
            <w:color w:val="auto"/>
            <w:lang w:val="ru-RU"/>
          </w:rPr>
          <w:t>://</w:t>
        </w:r>
        <w:r w:rsidRPr="00A31520">
          <w:rPr>
            <w:rStyle w:val="Hyperlink"/>
            <w:color w:val="auto"/>
          </w:rPr>
          <w:t>www</w:t>
        </w:r>
        <w:r w:rsidRPr="00A31520">
          <w:rPr>
            <w:rStyle w:val="Hyperlink"/>
            <w:color w:val="auto"/>
            <w:lang w:val="ru-RU"/>
          </w:rPr>
          <w:t>.</w:t>
        </w:r>
        <w:r w:rsidRPr="00A31520">
          <w:rPr>
            <w:rStyle w:val="Hyperlink"/>
            <w:color w:val="auto"/>
          </w:rPr>
          <w:t>unece</w:t>
        </w:r>
        <w:r w:rsidRPr="00A31520">
          <w:rPr>
            <w:rStyle w:val="Hyperlink"/>
            <w:color w:val="auto"/>
            <w:lang w:val="ru-RU"/>
          </w:rPr>
          <w:t>.</w:t>
        </w:r>
        <w:r w:rsidRPr="00A31520">
          <w:rPr>
            <w:rStyle w:val="Hyperlink"/>
            <w:color w:val="auto"/>
          </w:rPr>
          <w:t>org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trans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danger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publi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adr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country</w:t>
        </w:r>
        <w:r w:rsidRPr="00A31520">
          <w:rPr>
            <w:rStyle w:val="Hyperlink"/>
            <w:color w:val="auto"/>
            <w:lang w:val="ru-RU"/>
          </w:rPr>
          <w:t>-</w:t>
        </w:r>
        <w:r w:rsidRPr="00A31520">
          <w:rPr>
            <w:rStyle w:val="Hyperlink"/>
            <w:color w:val="auto"/>
          </w:rPr>
          <w:t>info</w:t>
        </w:r>
        <w:r w:rsidRPr="00A31520">
          <w:rPr>
            <w:rStyle w:val="Hyperlink"/>
            <w:color w:val="auto"/>
            <w:lang w:val="ru-RU"/>
          </w:rPr>
          <w:t>_</w:t>
        </w:r>
        <w:r w:rsidRPr="00A31520">
          <w:rPr>
            <w:rStyle w:val="Hyperlink"/>
            <w:color w:val="auto"/>
          </w:rPr>
          <w:t>e</w:t>
        </w:r>
        <w:r w:rsidRPr="00A31520">
          <w:rPr>
            <w:rStyle w:val="Hyperlink"/>
            <w:color w:val="auto"/>
            <w:lang w:val="ru-RU"/>
          </w:rPr>
          <w:t>.</w:t>
        </w:r>
        <w:r w:rsidRPr="00A31520">
          <w:rPr>
            <w:rStyle w:val="Hyperlink"/>
            <w:color w:val="auto"/>
          </w:rPr>
          <w:t>html</w:t>
        </w:r>
      </w:hyperlink>
      <w:r w:rsidRPr="00A31520">
        <w:rPr>
          <w:rStyle w:val="Hyperlink"/>
          <w:color w:val="auto"/>
          <w:lang w:val="ru-RU"/>
        </w:rPr>
        <w:t>.</w:t>
      </w:r>
    </w:p>
  </w:footnote>
  <w:footnote w:id="6">
    <w:p w:rsidR="0097626A" w:rsidRPr="00A31520" w:rsidRDefault="0097626A" w:rsidP="00A31520">
      <w:pPr>
        <w:pStyle w:val="FootnoteText"/>
        <w:rPr>
          <w:lang w:val="ru-RU"/>
        </w:rPr>
      </w:pPr>
      <w:r w:rsidRPr="00A31520">
        <w:rPr>
          <w:lang w:val="ru-RU"/>
        </w:rPr>
        <w:tab/>
      </w:r>
      <w:r w:rsidRPr="00A31520">
        <w:rPr>
          <w:rStyle w:val="FootnoteReference"/>
        </w:rPr>
        <w:footnoteRef/>
      </w:r>
      <w:r w:rsidRPr="00A31520">
        <w:rPr>
          <w:lang w:val="ru-RU"/>
        </w:rPr>
        <w:tab/>
      </w:r>
      <w:hyperlink r:id="rId2" w:history="1">
        <w:r w:rsidRPr="00A31520">
          <w:rPr>
            <w:rStyle w:val="Hyperlink"/>
            <w:color w:val="auto"/>
          </w:rPr>
          <w:t>http</w:t>
        </w:r>
        <w:r w:rsidRPr="00A31520">
          <w:rPr>
            <w:rStyle w:val="Hyperlink"/>
            <w:color w:val="auto"/>
            <w:lang w:val="ru-RU"/>
          </w:rPr>
          <w:t>://</w:t>
        </w:r>
        <w:r w:rsidRPr="00A31520">
          <w:rPr>
            <w:rStyle w:val="Hyperlink"/>
            <w:color w:val="auto"/>
          </w:rPr>
          <w:t>www</w:t>
        </w:r>
        <w:r w:rsidRPr="00A31520">
          <w:rPr>
            <w:rStyle w:val="Hyperlink"/>
            <w:color w:val="auto"/>
            <w:lang w:val="ru-RU"/>
          </w:rPr>
          <w:t>.</w:t>
        </w:r>
        <w:r w:rsidRPr="00A31520">
          <w:rPr>
            <w:rStyle w:val="Hyperlink"/>
            <w:color w:val="auto"/>
          </w:rPr>
          <w:t>unece</w:t>
        </w:r>
        <w:r w:rsidRPr="00A31520">
          <w:rPr>
            <w:rStyle w:val="Hyperlink"/>
            <w:color w:val="auto"/>
            <w:lang w:val="ru-RU"/>
          </w:rPr>
          <w:t>.</w:t>
        </w:r>
        <w:r w:rsidRPr="00A31520">
          <w:rPr>
            <w:rStyle w:val="Hyperlink"/>
            <w:color w:val="auto"/>
          </w:rPr>
          <w:t>org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trans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danger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publi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adr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adr</w:t>
        </w:r>
        <w:r w:rsidRPr="00A31520">
          <w:rPr>
            <w:rStyle w:val="Hyperlink"/>
            <w:color w:val="auto"/>
            <w:lang w:val="ru-RU"/>
          </w:rPr>
          <w:t>_</w:t>
        </w:r>
        <w:r w:rsidRPr="00A31520">
          <w:rPr>
            <w:rStyle w:val="Hyperlink"/>
            <w:color w:val="auto"/>
          </w:rPr>
          <w:t>certificates</w:t>
        </w:r>
        <w:r w:rsidRPr="00A31520">
          <w:rPr>
            <w:rStyle w:val="Hyperlink"/>
            <w:color w:val="auto"/>
            <w:lang w:val="ru-RU"/>
          </w:rPr>
          <w:t>.</w:t>
        </w:r>
        <w:r w:rsidRPr="00A31520">
          <w:rPr>
            <w:rStyle w:val="Hyperlink"/>
            <w:color w:val="auto"/>
          </w:rPr>
          <w:t>html</w:t>
        </w:r>
      </w:hyperlink>
      <w:r w:rsidRPr="00A31520">
        <w:rPr>
          <w:rStyle w:val="Hyperlink"/>
          <w:color w:val="auto"/>
          <w:lang w:val="ru-RU"/>
        </w:rPr>
        <w:t>.</w:t>
      </w:r>
    </w:p>
  </w:footnote>
  <w:footnote w:id="7">
    <w:p w:rsidR="0097626A" w:rsidRPr="00A31520" w:rsidRDefault="0097626A" w:rsidP="00A31520">
      <w:pPr>
        <w:pStyle w:val="FootnoteText"/>
        <w:rPr>
          <w:lang w:val="ru-RU"/>
        </w:rPr>
      </w:pPr>
      <w:r w:rsidRPr="00A31520">
        <w:rPr>
          <w:lang w:val="ru-RU"/>
        </w:rPr>
        <w:tab/>
      </w:r>
      <w:r w:rsidRPr="00A31520">
        <w:rPr>
          <w:rStyle w:val="FootnoteReference"/>
        </w:rPr>
        <w:footnoteRef/>
      </w:r>
      <w:r w:rsidRPr="00A31520">
        <w:rPr>
          <w:lang w:val="ru-RU"/>
        </w:rPr>
        <w:tab/>
      </w:r>
      <w:hyperlink r:id="rId3" w:history="1">
        <w:r w:rsidRPr="00A31520">
          <w:rPr>
            <w:rStyle w:val="Hyperlink"/>
            <w:color w:val="auto"/>
          </w:rPr>
          <w:t>http</w:t>
        </w:r>
        <w:r w:rsidRPr="00A31520">
          <w:rPr>
            <w:rStyle w:val="Hyperlink"/>
            <w:color w:val="auto"/>
            <w:lang w:val="ru-RU"/>
          </w:rPr>
          <w:t>://</w:t>
        </w:r>
        <w:r w:rsidRPr="00A31520">
          <w:rPr>
            <w:rStyle w:val="Hyperlink"/>
            <w:color w:val="auto"/>
          </w:rPr>
          <w:t>www</w:t>
        </w:r>
        <w:r w:rsidRPr="00A31520">
          <w:rPr>
            <w:rStyle w:val="Hyperlink"/>
            <w:color w:val="auto"/>
            <w:lang w:val="ru-RU"/>
          </w:rPr>
          <w:t>.</w:t>
        </w:r>
        <w:r w:rsidRPr="00A31520">
          <w:rPr>
            <w:rStyle w:val="Hyperlink"/>
            <w:color w:val="auto"/>
          </w:rPr>
          <w:t>unece</w:t>
        </w:r>
        <w:r w:rsidRPr="00A31520">
          <w:rPr>
            <w:rStyle w:val="Hyperlink"/>
            <w:color w:val="auto"/>
            <w:lang w:val="ru-RU"/>
          </w:rPr>
          <w:t>.</w:t>
        </w:r>
        <w:r w:rsidRPr="00A31520">
          <w:rPr>
            <w:rStyle w:val="Hyperlink"/>
            <w:color w:val="auto"/>
          </w:rPr>
          <w:t>org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trans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danger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publi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adr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adr</w:t>
        </w:r>
        <w:r w:rsidRPr="00A31520">
          <w:rPr>
            <w:rStyle w:val="Hyperlink"/>
            <w:color w:val="auto"/>
            <w:lang w:val="ru-RU"/>
          </w:rPr>
          <w:t>_</w:t>
        </w:r>
        <w:r w:rsidRPr="00A31520">
          <w:rPr>
            <w:rStyle w:val="Hyperlink"/>
            <w:color w:val="auto"/>
          </w:rPr>
          <w:t>linguistic</w:t>
        </w:r>
        <w:r w:rsidRPr="00A31520">
          <w:rPr>
            <w:rStyle w:val="Hyperlink"/>
            <w:color w:val="auto"/>
            <w:lang w:val="ru-RU"/>
          </w:rPr>
          <w:t>_</w:t>
        </w:r>
        <w:r w:rsidRPr="00A31520">
          <w:rPr>
            <w:rStyle w:val="Hyperlink"/>
            <w:color w:val="auto"/>
          </w:rPr>
          <w:t>e</w:t>
        </w:r>
        <w:r w:rsidRPr="00A31520">
          <w:rPr>
            <w:rStyle w:val="Hyperlink"/>
            <w:color w:val="auto"/>
            <w:lang w:val="ru-RU"/>
          </w:rPr>
          <w:t>.</w:t>
        </w:r>
        <w:r w:rsidRPr="00A31520">
          <w:rPr>
            <w:rStyle w:val="Hyperlink"/>
            <w:color w:val="auto"/>
          </w:rPr>
          <w:t>html</w:t>
        </w:r>
      </w:hyperlink>
      <w:r w:rsidRPr="00A31520">
        <w:rPr>
          <w:rStyle w:val="Hyperlink"/>
          <w:color w:val="auto"/>
          <w:lang w:val="ru-RU"/>
        </w:rPr>
        <w:t>.</w:t>
      </w:r>
      <w:r w:rsidRPr="00A31520">
        <w:rPr>
          <w:lang w:val="ru-RU"/>
        </w:rPr>
        <w:t xml:space="preserve"> </w:t>
      </w:r>
    </w:p>
  </w:footnote>
  <w:footnote w:id="8">
    <w:p w:rsidR="0097626A" w:rsidRPr="00A31520" w:rsidRDefault="0097626A" w:rsidP="00A31520">
      <w:pPr>
        <w:pStyle w:val="FootnoteText"/>
        <w:rPr>
          <w:lang w:val="ru-RU"/>
        </w:rPr>
      </w:pPr>
      <w:r w:rsidRPr="00A31520">
        <w:rPr>
          <w:lang w:val="ru-RU"/>
        </w:rPr>
        <w:tab/>
      </w:r>
      <w:r w:rsidRPr="00A31520">
        <w:rPr>
          <w:rStyle w:val="FootnoteReference"/>
        </w:rPr>
        <w:footnoteRef/>
      </w:r>
      <w:r w:rsidRPr="00A31520">
        <w:rPr>
          <w:lang w:val="ru-RU"/>
        </w:rPr>
        <w:tab/>
      </w:r>
      <w:hyperlink r:id="rId4" w:history="1">
        <w:r w:rsidRPr="00A31520">
          <w:rPr>
            <w:rStyle w:val="Hyperlink"/>
            <w:color w:val="auto"/>
          </w:rPr>
          <w:t>http</w:t>
        </w:r>
        <w:r w:rsidRPr="00A31520">
          <w:rPr>
            <w:rStyle w:val="Hyperlink"/>
            <w:color w:val="auto"/>
            <w:lang w:val="ru-RU"/>
          </w:rPr>
          <w:t>://</w:t>
        </w:r>
        <w:r w:rsidRPr="00A31520">
          <w:rPr>
            <w:rStyle w:val="Hyperlink"/>
            <w:color w:val="auto"/>
          </w:rPr>
          <w:t>www</w:t>
        </w:r>
        <w:r w:rsidRPr="00A31520">
          <w:rPr>
            <w:rStyle w:val="Hyperlink"/>
            <w:color w:val="auto"/>
            <w:lang w:val="ru-RU"/>
          </w:rPr>
          <w:t>.</w:t>
        </w:r>
        <w:r w:rsidRPr="00A31520">
          <w:rPr>
            <w:rStyle w:val="Hyperlink"/>
            <w:color w:val="auto"/>
          </w:rPr>
          <w:t>unece</w:t>
        </w:r>
        <w:r w:rsidRPr="00A31520">
          <w:rPr>
            <w:rStyle w:val="Hyperlink"/>
            <w:color w:val="auto"/>
            <w:lang w:val="ru-RU"/>
          </w:rPr>
          <w:t>.</w:t>
        </w:r>
        <w:r w:rsidRPr="00A31520">
          <w:rPr>
            <w:rStyle w:val="Hyperlink"/>
            <w:color w:val="auto"/>
          </w:rPr>
          <w:t>org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trans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danger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multi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multi</w:t>
        </w:r>
        <w:r w:rsidRPr="00A31520">
          <w:rPr>
            <w:rStyle w:val="Hyperlink"/>
            <w:color w:val="auto"/>
            <w:lang w:val="ru-RU"/>
          </w:rPr>
          <w:t>.</w:t>
        </w:r>
        <w:r w:rsidRPr="00A31520">
          <w:rPr>
            <w:rStyle w:val="Hyperlink"/>
            <w:color w:val="auto"/>
          </w:rPr>
          <w:t>html</w:t>
        </w:r>
      </w:hyperlink>
      <w:r w:rsidRPr="00A31520">
        <w:rPr>
          <w:rStyle w:val="Hyperlink"/>
          <w:color w:val="auto"/>
          <w:lang w:val="ru-RU"/>
        </w:rPr>
        <w:t>.</w:t>
      </w:r>
      <w:r w:rsidRPr="00A31520">
        <w:rPr>
          <w:lang w:val="ru-RU"/>
        </w:rPr>
        <w:t xml:space="preserve"> </w:t>
      </w:r>
    </w:p>
  </w:footnote>
  <w:footnote w:id="9">
    <w:p w:rsidR="0097626A" w:rsidRPr="00A31520" w:rsidRDefault="0097626A" w:rsidP="00A31520">
      <w:pPr>
        <w:pStyle w:val="FootnoteText"/>
        <w:rPr>
          <w:lang w:val="ru-RU"/>
        </w:rPr>
      </w:pPr>
      <w:r w:rsidRPr="00A31520">
        <w:rPr>
          <w:lang w:val="ru-RU"/>
        </w:rPr>
        <w:tab/>
      </w:r>
      <w:r w:rsidRPr="00A31520">
        <w:rPr>
          <w:rStyle w:val="FootnoteReference"/>
        </w:rPr>
        <w:footnoteRef/>
      </w:r>
      <w:r w:rsidRPr="00A31520">
        <w:rPr>
          <w:lang w:val="ru-RU"/>
        </w:rPr>
        <w:tab/>
      </w:r>
      <w:hyperlink r:id="rId5" w:history="1">
        <w:r w:rsidRPr="00A31520">
          <w:rPr>
            <w:rStyle w:val="Hyperlink"/>
            <w:color w:val="auto"/>
          </w:rPr>
          <w:t>http</w:t>
        </w:r>
        <w:r w:rsidRPr="00A31520">
          <w:rPr>
            <w:rStyle w:val="Hyperlink"/>
            <w:color w:val="auto"/>
            <w:lang w:val="ru-RU"/>
          </w:rPr>
          <w:t>://</w:t>
        </w:r>
        <w:r w:rsidRPr="00A31520">
          <w:rPr>
            <w:rStyle w:val="Hyperlink"/>
            <w:color w:val="auto"/>
          </w:rPr>
          <w:t>www</w:t>
        </w:r>
        <w:r w:rsidRPr="00A31520">
          <w:rPr>
            <w:rStyle w:val="Hyperlink"/>
            <w:color w:val="auto"/>
            <w:lang w:val="ru-RU"/>
          </w:rPr>
          <w:t>.</w:t>
        </w:r>
        <w:r w:rsidRPr="00A31520">
          <w:rPr>
            <w:rStyle w:val="Hyperlink"/>
            <w:color w:val="auto"/>
          </w:rPr>
          <w:t>unece</w:t>
        </w:r>
        <w:r w:rsidRPr="00A31520">
          <w:rPr>
            <w:rStyle w:val="Hyperlink"/>
            <w:color w:val="auto"/>
            <w:lang w:val="ru-RU"/>
          </w:rPr>
          <w:t>.</w:t>
        </w:r>
        <w:r w:rsidRPr="00A31520">
          <w:rPr>
            <w:rStyle w:val="Hyperlink"/>
            <w:color w:val="auto"/>
          </w:rPr>
          <w:t>org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trans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danger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publi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adr</w:t>
        </w:r>
        <w:r w:rsidRPr="00A31520">
          <w:rPr>
            <w:rStyle w:val="Hyperlink"/>
            <w:color w:val="auto"/>
            <w:lang w:val="ru-RU"/>
          </w:rPr>
          <w:t>/</w:t>
        </w:r>
        <w:r w:rsidRPr="00A31520">
          <w:rPr>
            <w:rStyle w:val="Hyperlink"/>
            <w:color w:val="auto"/>
          </w:rPr>
          <w:t>accidents</w:t>
        </w:r>
        <w:r w:rsidRPr="00A31520">
          <w:rPr>
            <w:rStyle w:val="Hyperlink"/>
            <w:color w:val="auto"/>
            <w:lang w:val="ru-RU"/>
          </w:rPr>
          <w:t>.</w:t>
        </w:r>
        <w:r w:rsidRPr="00A31520">
          <w:rPr>
            <w:rStyle w:val="Hyperlink"/>
            <w:color w:val="auto"/>
          </w:rPr>
          <w:t>html</w:t>
        </w:r>
      </w:hyperlink>
      <w:r w:rsidRPr="00A31520">
        <w:rPr>
          <w:rStyle w:val="Hyperlink"/>
          <w:color w:val="auto"/>
          <w:lang w:val="ru-RU"/>
        </w:rPr>
        <w:t>.</w:t>
      </w:r>
      <w:r w:rsidRPr="00A31520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6A" w:rsidRPr="00045DF2" w:rsidRDefault="005A4E6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72936">
      <w:t>ECE/TRANS/WP.15/2017/22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6A" w:rsidRPr="00045DF2" w:rsidRDefault="005A4E6A" w:rsidP="00045DF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72936">
      <w:t>ECE/TRANS/WP.15/2017/22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CA"/>
    <w:rsid w:val="00033EE1"/>
    <w:rsid w:val="00042B72"/>
    <w:rsid w:val="00045DF2"/>
    <w:rsid w:val="000551F0"/>
    <w:rsid w:val="000558BD"/>
    <w:rsid w:val="000B57E7"/>
    <w:rsid w:val="000B6373"/>
    <w:rsid w:val="000E4E5B"/>
    <w:rsid w:val="000F09DF"/>
    <w:rsid w:val="000F61B2"/>
    <w:rsid w:val="001075E9"/>
    <w:rsid w:val="00113CAF"/>
    <w:rsid w:val="0014152F"/>
    <w:rsid w:val="00180183"/>
    <w:rsid w:val="0018024D"/>
    <w:rsid w:val="0018649F"/>
    <w:rsid w:val="00196389"/>
    <w:rsid w:val="001B3EF6"/>
    <w:rsid w:val="001C7A89"/>
    <w:rsid w:val="0024439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19AB"/>
    <w:rsid w:val="00381C24"/>
    <w:rsid w:val="00387CD4"/>
    <w:rsid w:val="003958D0"/>
    <w:rsid w:val="003A0D43"/>
    <w:rsid w:val="003A48CE"/>
    <w:rsid w:val="003B00E5"/>
    <w:rsid w:val="00407B78"/>
    <w:rsid w:val="004228E0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6A70"/>
    <w:rsid w:val="00517901"/>
    <w:rsid w:val="00526683"/>
    <w:rsid w:val="005639C1"/>
    <w:rsid w:val="005709E0"/>
    <w:rsid w:val="00572E19"/>
    <w:rsid w:val="005961C8"/>
    <w:rsid w:val="005966F1"/>
    <w:rsid w:val="005A0CCA"/>
    <w:rsid w:val="005A487A"/>
    <w:rsid w:val="005A4E6A"/>
    <w:rsid w:val="005B4CF3"/>
    <w:rsid w:val="005C42BE"/>
    <w:rsid w:val="005D7914"/>
    <w:rsid w:val="005E2B41"/>
    <w:rsid w:val="005F0B42"/>
    <w:rsid w:val="006345DB"/>
    <w:rsid w:val="00640F49"/>
    <w:rsid w:val="00655F8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2936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2DAC"/>
    <w:rsid w:val="00951972"/>
    <w:rsid w:val="009608F3"/>
    <w:rsid w:val="0097626A"/>
    <w:rsid w:val="009A24AC"/>
    <w:rsid w:val="009C6FE6"/>
    <w:rsid w:val="009D7E7D"/>
    <w:rsid w:val="00A14DA8"/>
    <w:rsid w:val="00A212CB"/>
    <w:rsid w:val="00A31251"/>
    <w:rsid w:val="00A312BC"/>
    <w:rsid w:val="00A31520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4EB8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A563B"/>
    <w:rsid w:val="00ED0B7C"/>
    <w:rsid w:val="00ED0BDA"/>
    <w:rsid w:val="00EE142A"/>
    <w:rsid w:val="00EF1360"/>
    <w:rsid w:val="00EF3220"/>
    <w:rsid w:val="00EF7C68"/>
    <w:rsid w:val="00F2220A"/>
    <w:rsid w:val="00F2523A"/>
    <w:rsid w:val="00F43903"/>
    <w:rsid w:val="00F67CBA"/>
    <w:rsid w:val="00F719F6"/>
    <w:rsid w:val="00F94155"/>
    <w:rsid w:val="00F9783F"/>
    <w:rsid w:val="00FB103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D1DA1BC-7EB1-465D-A34C-EFE18A8C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uiPriority w:val="1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">
    <w:name w:val="__Single Txt"/>
    <w:basedOn w:val="Normal"/>
    <w:qFormat/>
    <w:rsid w:val="00FB103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 w:cs="Times New Roman"/>
      <w:lang w:eastAsia="en-US"/>
    </w:rPr>
  </w:style>
  <w:style w:type="paragraph" w:customStyle="1" w:styleId="H1G">
    <w:name w:val="_ H_1_G"/>
    <w:basedOn w:val="Normal"/>
    <w:next w:val="Normal"/>
    <w:link w:val="H1GChar"/>
    <w:rsid w:val="00FB103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FB103A"/>
    <w:rPr>
      <w:b/>
      <w:sz w:val="24"/>
      <w:lang w:val="en-GB" w:eastAsia="en-US"/>
    </w:rPr>
  </w:style>
  <w:style w:type="paragraph" w:customStyle="1" w:styleId="HChG">
    <w:name w:val="_ H _Ch_G"/>
    <w:basedOn w:val="Normal"/>
    <w:next w:val="Normal"/>
    <w:link w:val="HChGChar"/>
    <w:rsid w:val="00FB103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FB103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23G">
    <w:name w:val="_ H_2/3_G"/>
    <w:basedOn w:val="Normal"/>
    <w:next w:val="Normal"/>
    <w:link w:val="H23GChar"/>
    <w:rsid w:val="00FB103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FB103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B103A"/>
    <w:rPr>
      <w:lang w:val="en-GB" w:eastAsia="en-US"/>
    </w:rPr>
  </w:style>
  <w:style w:type="character" w:customStyle="1" w:styleId="HChGChar">
    <w:name w:val="_ H _Ch_G Char"/>
    <w:link w:val="HChG"/>
    <w:locked/>
    <w:rsid w:val="00FB103A"/>
    <w:rPr>
      <w:b/>
      <w:sz w:val="28"/>
      <w:lang w:val="en-GB" w:eastAsia="en-US"/>
    </w:rPr>
  </w:style>
  <w:style w:type="character" w:customStyle="1" w:styleId="H23GChar">
    <w:name w:val="_ H_2/3_G Char"/>
    <w:link w:val="H23G"/>
    <w:rsid w:val="00FB103A"/>
    <w:rPr>
      <w:b/>
      <w:lang w:val="en-GB" w:eastAsia="en-US"/>
    </w:rPr>
  </w:style>
  <w:style w:type="paragraph" w:customStyle="1" w:styleId="H4">
    <w:name w:val="_ H_4"/>
    <w:basedOn w:val="Normal"/>
    <w:next w:val="SingleTxt"/>
    <w:qFormat/>
    <w:rsid w:val="00FB103A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eastAsiaTheme="minorHAnsi" w:cs="Times New Roman"/>
      <w:i/>
      <w:spacing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trans/danger/publi/adr/adr_linguistic_e.html" TargetMode="External"/><Relationship Id="rId2" Type="http://schemas.openxmlformats.org/officeDocument/2006/relationships/hyperlink" Target="http://www.unece.org/trans/danger/publi/adr/adr_certificates.html" TargetMode="External"/><Relationship Id="rId1" Type="http://schemas.openxmlformats.org/officeDocument/2006/relationships/hyperlink" Target="http://www.unece.org/trans/danger/publi/adr/country-info_e.html" TargetMode="External"/><Relationship Id="rId5" Type="http://schemas.openxmlformats.org/officeDocument/2006/relationships/hyperlink" Target="http://www.unece.org/trans/danger/publi/adr/accidents.html" TargetMode="External"/><Relationship Id="rId4" Type="http://schemas.openxmlformats.org/officeDocument/2006/relationships/hyperlink" Target="http://www.unece.org/trans/danger/multi/mult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2894</Words>
  <Characters>16498</Characters>
  <Application>Microsoft Office Word</Application>
  <DocSecurity>0</DocSecurity>
  <Lines>137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ECE/TRANS/WP.15/2017/22</vt:lpstr>
      <vt:lpstr>ECE/TRANS/WP.15/2017/22</vt:lpstr>
      <vt:lpstr>A/</vt:lpstr>
    </vt:vector>
  </TitlesOfParts>
  <Company>DCM</Company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ECE/TRANS/WP.15/2017/22</dc:title>
  <dc:creator>Prokoudina S.</dc:creator>
  <cp:lastModifiedBy>Christine Barrio-Champeau</cp:lastModifiedBy>
  <cp:revision>2</cp:revision>
  <cp:lastPrinted>2017-09-06T15:08:00Z</cp:lastPrinted>
  <dcterms:created xsi:type="dcterms:W3CDTF">2017-09-20T14:04:00Z</dcterms:created>
  <dcterms:modified xsi:type="dcterms:W3CDTF">2017-09-20T14:04:00Z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