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A7745"/>
        </w:tc>
        <w:tc>
          <w:tcPr>
            <w:tcW w:w="2268" w:type="dxa"/>
            <w:tcBorders>
              <w:bottom w:val="single" w:sz="4" w:space="0" w:color="auto"/>
            </w:tcBorders>
            <w:vAlign w:val="bottom"/>
          </w:tcPr>
          <w:p w:rsidR="00F35BAF" w:rsidRPr="00DB58B5" w:rsidRDefault="00F35BAF" w:rsidP="004140B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A7745" w:rsidP="00EB5203">
            <w:pPr>
              <w:jc w:val="right"/>
            </w:pPr>
            <w:r w:rsidRPr="00DA7745">
              <w:rPr>
                <w:sz w:val="40"/>
              </w:rPr>
              <w:t>ECE</w:t>
            </w:r>
            <w:r>
              <w:t>/TRANS/WP.15/201</w:t>
            </w:r>
            <w:r w:rsidR="008D688D">
              <w:t>7</w:t>
            </w:r>
            <w:r>
              <w:t>/</w:t>
            </w:r>
            <w:r w:rsidR="00EB5203">
              <w:t>6</w:t>
            </w:r>
          </w:p>
        </w:tc>
      </w:tr>
      <w:tr w:rsidR="00F35BAF" w:rsidRPr="00DB58B5" w:rsidTr="004140B7">
        <w:trPr>
          <w:trHeight w:hRule="exact" w:val="2835"/>
        </w:trPr>
        <w:tc>
          <w:tcPr>
            <w:tcW w:w="1276" w:type="dxa"/>
            <w:tcBorders>
              <w:top w:val="single" w:sz="4" w:space="0" w:color="auto"/>
              <w:bottom w:val="single" w:sz="12" w:space="0" w:color="auto"/>
            </w:tcBorders>
          </w:tcPr>
          <w:p w:rsidR="00F35BAF" w:rsidRPr="00DB58B5" w:rsidRDefault="00185A1D" w:rsidP="004140B7">
            <w:pPr>
              <w:spacing w:before="120"/>
              <w:jc w:val="center"/>
            </w:pPr>
            <w:r>
              <w:rPr>
                <w:noProof/>
                <w:lang w:val="en-US"/>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4140B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A7745" w:rsidP="004140B7">
            <w:pPr>
              <w:spacing w:before="240"/>
            </w:pPr>
            <w:r>
              <w:t>Distr. générale</w:t>
            </w:r>
          </w:p>
          <w:p w:rsidR="00DA7745" w:rsidRDefault="004F027A" w:rsidP="00DA7745">
            <w:pPr>
              <w:spacing w:line="240" w:lineRule="exact"/>
            </w:pPr>
            <w:r>
              <w:t>20</w:t>
            </w:r>
            <w:r w:rsidR="00D105AA">
              <w:t xml:space="preserve"> février</w:t>
            </w:r>
            <w:r w:rsidR="00DA7745">
              <w:t xml:space="preserve"> 201</w:t>
            </w:r>
            <w:r w:rsidR="008D688D">
              <w:t>7</w:t>
            </w:r>
          </w:p>
          <w:p w:rsidR="00DA7745" w:rsidRDefault="00DA7745" w:rsidP="00DA7745">
            <w:pPr>
              <w:spacing w:line="240" w:lineRule="exact"/>
            </w:pPr>
          </w:p>
          <w:p w:rsidR="00DA7745" w:rsidRPr="00DB58B5" w:rsidRDefault="00DA7745" w:rsidP="00DA7745">
            <w:pPr>
              <w:spacing w:line="240" w:lineRule="exact"/>
            </w:pPr>
            <w:r>
              <w:t xml:space="preserve">Original: </w:t>
            </w:r>
            <w:r w:rsidR="002220FD">
              <w:t>français</w:t>
            </w:r>
          </w:p>
        </w:tc>
      </w:tr>
    </w:tbl>
    <w:p w:rsidR="007F20FA" w:rsidRPr="000312C0" w:rsidRDefault="007F20FA" w:rsidP="007F20FA">
      <w:pPr>
        <w:spacing w:before="120"/>
        <w:rPr>
          <w:b/>
          <w:sz w:val="28"/>
          <w:szCs w:val="28"/>
        </w:rPr>
      </w:pPr>
      <w:r w:rsidRPr="000312C0">
        <w:rPr>
          <w:b/>
          <w:sz w:val="28"/>
          <w:szCs w:val="28"/>
        </w:rPr>
        <w:t>Commission économique pour l</w:t>
      </w:r>
      <w:r w:rsidR="0046071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77F73" w:rsidRPr="009E01B8" w:rsidRDefault="00E77F73" w:rsidP="00E85C74">
      <w:pPr>
        <w:spacing w:before="120"/>
        <w:rPr>
          <w:b/>
          <w:sz w:val="24"/>
          <w:szCs w:val="24"/>
        </w:rPr>
      </w:pPr>
      <w:r w:rsidRPr="009E01B8">
        <w:rPr>
          <w:b/>
          <w:sz w:val="24"/>
          <w:szCs w:val="24"/>
        </w:rPr>
        <w:t>Groupe de travail des transports de marchandises dangereuses</w:t>
      </w:r>
    </w:p>
    <w:p w:rsidR="00DA7745" w:rsidRPr="004539A2" w:rsidRDefault="008D688D" w:rsidP="00DA7745">
      <w:pPr>
        <w:spacing w:before="120"/>
        <w:rPr>
          <w:rFonts w:eastAsia="SimSun"/>
          <w:b/>
        </w:rPr>
      </w:pPr>
      <w:r>
        <w:rPr>
          <w:rFonts w:eastAsia="SimSun"/>
          <w:b/>
        </w:rPr>
        <w:t>102e</w:t>
      </w:r>
      <w:r w:rsidR="00DA7745" w:rsidRPr="004539A2">
        <w:rPr>
          <w:rFonts w:eastAsia="SimSun"/>
          <w:b/>
        </w:rPr>
        <w:t xml:space="preserve"> session </w:t>
      </w:r>
    </w:p>
    <w:p w:rsidR="00DA7745" w:rsidRPr="004539A2" w:rsidRDefault="00DA7745" w:rsidP="00DA7745">
      <w:pPr>
        <w:rPr>
          <w:rFonts w:eastAsia="SimSun"/>
        </w:rPr>
      </w:pPr>
      <w:r w:rsidRPr="004539A2">
        <w:rPr>
          <w:rFonts w:eastAsia="SimSun"/>
        </w:rPr>
        <w:t xml:space="preserve">Genève, </w:t>
      </w:r>
      <w:r w:rsidR="008D688D">
        <w:rPr>
          <w:rFonts w:eastAsia="SimSun"/>
        </w:rPr>
        <w:t>8</w:t>
      </w:r>
      <w:r>
        <w:rPr>
          <w:rFonts w:eastAsia="SimSun"/>
        </w:rPr>
        <w:t>-</w:t>
      </w:r>
      <w:r w:rsidR="000C376B">
        <w:rPr>
          <w:rFonts w:eastAsia="SimSun"/>
        </w:rPr>
        <w:t>1</w:t>
      </w:r>
      <w:r w:rsidR="008D688D">
        <w:rPr>
          <w:rFonts w:eastAsia="SimSun"/>
        </w:rPr>
        <w:t>2</w:t>
      </w:r>
      <w:r w:rsidRPr="004539A2">
        <w:rPr>
          <w:rFonts w:eastAsia="SimSun"/>
        </w:rPr>
        <w:t xml:space="preserve"> mai 201</w:t>
      </w:r>
      <w:r w:rsidR="008D688D">
        <w:rPr>
          <w:rFonts w:eastAsia="SimSun"/>
        </w:rPr>
        <w:t>7</w:t>
      </w:r>
      <w:r w:rsidRPr="004539A2">
        <w:rPr>
          <w:rFonts w:eastAsia="SimSun"/>
        </w:rPr>
        <w:t xml:space="preserve"> </w:t>
      </w:r>
    </w:p>
    <w:p w:rsidR="00EB5203" w:rsidRDefault="00EB5203" w:rsidP="00EB5203">
      <w:r>
        <w:t>Point 5 a)</w:t>
      </w:r>
      <w:r w:rsidRPr="00B93E72">
        <w:t xml:space="preserve"> de l’ordre du jour provisoire</w:t>
      </w:r>
    </w:p>
    <w:p w:rsidR="000C376B" w:rsidRPr="00D105AA" w:rsidRDefault="00EB5203" w:rsidP="00EB5203">
      <w:pPr>
        <w:rPr>
          <w:b/>
        </w:rPr>
      </w:pPr>
      <w:r w:rsidRPr="008B32D5">
        <w:rPr>
          <w:b/>
        </w:rPr>
        <w:t>Propositions d'amendement aux annexes A et B de l'ADR:</w:t>
      </w:r>
      <w:r>
        <w:rPr>
          <w:b/>
        </w:rPr>
        <w:t xml:space="preserve"> </w:t>
      </w:r>
      <w:r>
        <w:rPr>
          <w:b/>
        </w:rPr>
        <w:br/>
        <w:t>construction et agrément des véhicules</w:t>
      </w:r>
    </w:p>
    <w:p w:rsidR="00DA7745" w:rsidRPr="004539A2" w:rsidRDefault="00DA7745" w:rsidP="00DA7745">
      <w:pPr>
        <w:pStyle w:val="HChG"/>
        <w:rPr>
          <w:sz w:val="20"/>
        </w:rPr>
      </w:pPr>
      <w:r w:rsidRPr="004539A2">
        <w:tab/>
      </w:r>
      <w:r w:rsidRPr="004539A2">
        <w:tab/>
      </w:r>
      <w:r w:rsidR="00EB5203">
        <w:t>Equipement électrique - application du 9.2.2.9.1</w:t>
      </w:r>
    </w:p>
    <w:p w:rsidR="00DA7745" w:rsidRDefault="00DA7745" w:rsidP="00DA7745">
      <w:pPr>
        <w:pStyle w:val="H1G"/>
      </w:pPr>
      <w:r w:rsidRPr="004539A2">
        <w:rPr>
          <w:sz w:val="20"/>
        </w:rPr>
        <w:tab/>
      </w:r>
      <w:r w:rsidRPr="004539A2">
        <w:rPr>
          <w:sz w:val="20"/>
        </w:rPr>
        <w:tab/>
      </w:r>
      <w:r w:rsidR="000C376B">
        <w:t>Communication du</w:t>
      </w:r>
      <w:r w:rsidR="000C376B" w:rsidRPr="009D5E1C">
        <w:t xml:space="preserve"> Gouvernement de la </w:t>
      </w:r>
      <w:r w:rsidR="00EB5203">
        <w:t>France</w:t>
      </w:r>
      <w:r w:rsidR="004F027A" w:rsidRPr="00DE7F48">
        <w:rPr>
          <w:rStyle w:val="FootnoteReference"/>
          <w:b w:val="0"/>
          <w:sz w:val="20"/>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DA7745" w:rsidTr="00EC317B">
        <w:trPr>
          <w:jc w:val="center"/>
        </w:trPr>
        <w:tc>
          <w:tcPr>
            <w:tcW w:w="9637" w:type="dxa"/>
            <w:shd w:val="clear" w:color="auto" w:fill="auto"/>
          </w:tcPr>
          <w:p w:rsidR="00DA7745" w:rsidRPr="00EC317B" w:rsidRDefault="00DA7745" w:rsidP="00EC317B">
            <w:pPr>
              <w:spacing w:before="240" w:after="120"/>
              <w:ind w:left="255"/>
              <w:rPr>
                <w:i/>
                <w:sz w:val="24"/>
              </w:rPr>
            </w:pPr>
            <w:r w:rsidRPr="00EC317B">
              <w:rPr>
                <w:i/>
                <w:sz w:val="24"/>
              </w:rPr>
              <w:t>Résumé</w:t>
            </w:r>
          </w:p>
        </w:tc>
      </w:tr>
      <w:tr w:rsidR="00DA7745" w:rsidTr="00EC317B">
        <w:trPr>
          <w:jc w:val="center"/>
        </w:trPr>
        <w:tc>
          <w:tcPr>
            <w:tcW w:w="9637" w:type="dxa"/>
            <w:shd w:val="clear" w:color="auto" w:fill="auto"/>
          </w:tcPr>
          <w:p w:rsidR="00DA7745" w:rsidRDefault="00DA7745" w:rsidP="00EC317B">
            <w:pPr>
              <w:pStyle w:val="SingleTxtG"/>
              <w:ind w:left="3402" w:hanging="2268"/>
            </w:pPr>
            <w:r w:rsidRPr="00EC317B">
              <w:rPr>
                <w:b/>
                <w:szCs w:val="22"/>
              </w:rPr>
              <w:t xml:space="preserve">Résumé </w:t>
            </w:r>
            <w:r w:rsidRPr="00EC317B">
              <w:rPr>
                <w:b/>
                <w:bCs/>
              </w:rPr>
              <w:t>analytique</w:t>
            </w:r>
            <w:r w:rsidRPr="00EC317B">
              <w:rPr>
                <w:b/>
                <w:szCs w:val="22"/>
              </w:rPr>
              <w:t>:</w:t>
            </w:r>
            <w:r w:rsidRPr="004539A2">
              <w:tab/>
            </w:r>
            <w:r w:rsidR="00EB5203">
              <w:t xml:space="preserve">Le 9.2.2.9.1 de l’ADR relatif aux circuits alimentés en permanence renvoie à certaines parties de la norme CEI 60079 auxquelles les équipements doivent satisfaire. </w:t>
            </w:r>
            <w:r w:rsidR="00EB5203">
              <w:rPr>
                <w:lang w:val="fr-FR"/>
              </w:rPr>
              <w:t>La question est de savoir si des équipements visés par la partie 14 de la norme CEI 60079 conformes aux parties 26 ou 28 de cette norme peuvent être utilisés sur des véhicules FL.</w:t>
            </w:r>
          </w:p>
        </w:tc>
      </w:tr>
      <w:tr w:rsidR="00DA7745" w:rsidTr="00EC317B">
        <w:trPr>
          <w:jc w:val="center"/>
        </w:trPr>
        <w:tc>
          <w:tcPr>
            <w:tcW w:w="9637" w:type="dxa"/>
            <w:shd w:val="clear" w:color="auto" w:fill="auto"/>
          </w:tcPr>
          <w:p w:rsidR="00DA7745" w:rsidRDefault="00DA7745" w:rsidP="00EC317B">
            <w:pPr>
              <w:pStyle w:val="SingleTxtG"/>
              <w:ind w:left="3402" w:hanging="2268"/>
            </w:pPr>
            <w:r w:rsidRPr="00EC317B">
              <w:rPr>
                <w:b/>
                <w:szCs w:val="22"/>
              </w:rPr>
              <w:t xml:space="preserve">Mesures à </w:t>
            </w:r>
            <w:r w:rsidRPr="00EC317B">
              <w:rPr>
                <w:b/>
                <w:bCs/>
              </w:rPr>
              <w:t>prendre</w:t>
            </w:r>
            <w:r w:rsidRPr="00EC317B">
              <w:rPr>
                <w:b/>
                <w:szCs w:val="22"/>
              </w:rPr>
              <w:t>:</w:t>
            </w:r>
            <w:r w:rsidRPr="004539A2">
              <w:tab/>
            </w:r>
            <w:r w:rsidR="00EB5203" w:rsidRPr="005B2CEF">
              <w:rPr>
                <w:lang w:val="fr-FR"/>
              </w:rPr>
              <w:t xml:space="preserve">Modifier </w:t>
            </w:r>
            <w:r w:rsidR="00EB5203">
              <w:rPr>
                <w:lang w:val="fr-FR"/>
              </w:rPr>
              <w:t>le 9.2.2.9.1 et le 9.7.8.2 de l’ADR.</w:t>
            </w:r>
          </w:p>
        </w:tc>
      </w:tr>
      <w:tr w:rsidR="00DA7745" w:rsidTr="00EC317B">
        <w:trPr>
          <w:jc w:val="center"/>
        </w:trPr>
        <w:tc>
          <w:tcPr>
            <w:tcW w:w="9637" w:type="dxa"/>
            <w:shd w:val="clear" w:color="auto" w:fill="auto"/>
          </w:tcPr>
          <w:p w:rsidR="00DA7745" w:rsidRDefault="00EB5203" w:rsidP="00DA7745">
            <w:r>
              <w:rPr>
                <w:b/>
              </w:rPr>
              <w:tab/>
            </w:r>
            <w:r>
              <w:rPr>
                <w:b/>
              </w:rPr>
              <w:tab/>
            </w:r>
            <w:r w:rsidRPr="00F22C54">
              <w:rPr>
                <w:b/>
              </w:rPr>
              <w:t xml:space="preserve">Documents </w:t>
            </w:r>
            <w:r>
              <w:rPr>
                <w:b/>
              </w:rPr>
              <w:t>de référence:</w:t>
            </w:r>
            <w:r w:rsidRPr="00F22C54">
              <w:rPr>
                <w:b/>
              </w:rPr>
              <w:tab/>
            </w:r>
            <w:r>
              <w:t>ECE/TRANS/257.</w:t>
            </w:r>
          </w:p>
        </w:tc>
      </w:tr>
      <w:tr w:rsidR="00EB5203" w:rsidTr="00EC317B">
        <w:trPr>
          <w:jc w:val="center"/>
        </w:trPr>
        <w:tc>
          <w:tcPr>
            <w:tcW w:w="9637" w:type="dxa"/>
            <w:shd w:val="clear" w:color="auto" w:fill="auto"/>
          </w:tcPr>
          <w:p w:rsidR="00EB5203" w:rsidRDefault="00EB5203" w:rsidP="00DA7745"/>
        </w:tc>
      </w:tr>
    </w:tbl>
    <w:p w:rsidR="00EB5203" w:rsidRPr="0072378C" w:rsidRDefault="00EB5203" w:rsidP="00EB5203">
      <w:pPr>
        <w:pStyle w:val="HChG"/>
        <w:tabs>
          <w:tab w:val="clear" w:pos="851"/>
        </w:tabs>
        <w:ind w:left="567" w:right="1139" w:firstLine="567"/>
      </w:pPr>
      <w:r w:rsidRPr="0072378C">
        <w:t>Introduction</w:t>
      </w:r>
    </w:p>
    <w:p w:rsidR="00EB5203" w:rsidRDefault="00EB5203" w:rsidP="00EB5203">
      <w:pPr>
        <w:pStyle w:val="SingleTxtG"/>
      </w:pPr>
      <w:r>
        <w:t>1.</w:t>
      </w:r>
      <w:r>
        <w:tab/>
        <w:t>Le 9.2.2.9.1 de l’ADR relatif aux circuits alimentés en permanence renvoie à certaines parties de la norme CEI 60079 auxquelles les équipements doivent satisfaire.</w:t>
      </w:r>
    </w:p>
    <w:p w:rsidR="00EB5203" w:rsidRDefault="00EB5203" w:rsidP="00EB5203">
      <w:pPr>
        <w:pStyle w:val="SingleTxtG"/>
        <w:rPr>
          <w:lang w:val="fr-FR"/>
        </w:rPr>
      </w:pPr>
      <w:r>
        <w:t>2.</w:t>
      </w:r>
      <w:r>
        <w:tab/>
      </w:r>
      <w:r>
        <w:rPr>
          <w:lang w:val="fr-FR"/>
        </w:rPr>
        <w:t>La norme CEI 60079, partie 14, définit au 5.3 la relation entre le niveau de protection du matériel (EPL) et les zones:</w:t>
      </w:r>
    </w:p>
    <w:tbl>
      <w:tblPr>
        <w:tblStyle w:val="TableGrid"/>
        <w:tblW w:w="2746" w:type="pct"/>
        <w:tblInd w:w="1705" w:type="dxa"/>
        <w:tblLook w:val="01E0" w:firstRow="1" w:lastRow="1" w:firstColumn="1" w:lastColumn="1" w:noHBand="0" w:noVBand="0"/>
      </w:tblPr>
      <w:tblGrid>
        <w:gridCol w:w="1000"/>
        <w:gridCol w:w="4299"/>
      </w:tblGrid>
      <w:tr w:rsidR="00EB5203" w:rsidTr="005B00D1">
        <w:tc>
          <w:tcPr>
            <w:tcW w:w="944" w:type="pct"/>
          </w:tcPr>
          <w:p w:rsidR="00EB5203" w:rsidRPr="00E17C25" w:rsidRDefault="00EB5203" w:rsidP="005B00D1">
            <w:pPr>
              <w:pStyle w:val="SingleTxtG"/>
              <w:ind w:left="200" w:right="200"/>
              <w:jc w:val="center"/>
              <w:rPr>
                <w:b/>
                <w:lang w:val="fr-FR"/>
              </w:rPr>
            </w:pPr>
            <w:r w:rsidRPr="00E17C25">
              <w:rPr>
                <w:b/>
                <w:lang w:val="fr-FR"/>
              </w:rPr>
              <w:lastRenderedPageBreak/>
              <w:t>Zone</w:t>
            </w:r>
          </w:p>
        </w:tc>
        <w:tc>
          <w:tcPr>
            <w:tcW w:w="4056" w:type="pct"/>
          </w:tcPr>
          <w:p w:rsidR="00EB5203" w:rsidRPr="00E17C25" w:rsidRDefault="00EB5203" w:rsidP="005B00D1">
            <w:pPr>
              <w:pStyle w:val="SingleTxtG"/>
              <w:ind w:left="0" w:right="99"/>
              <w:jc w:val="center"/>
              <w:rPr>
                <w:b/>
                <w:lang w:val="fr-FR"/>
              </w:rPr>
            </w:pPr>
            <w:r w:rsidRPr="00E17C25">
              <w:rPr>
                <w:b/>
                <w:bCs/>
              </w:rPr>
              <w:t>Niveaux de protection du matériel (EPL)</w:t>
            </w:r>
          </w:p>
        </w:tc>
      </w:tr>
      <w:tr w:rsidR="00EB5203" w:rsidTr="005B00D1">
        <w:tc>
          <w:tcPr>
            <w:tcW w:w="944" w:type="pct"/>
          </w:tcPr>
          <w:p w:rsidR="00EB5203" w:rsidRDefault="00EB5203" w:rsidP="005B00D1">
            <w:pPr>
              <w:pStyle w:val="SingleTxtG"/>
              <w:ind w:left="200" w:right="200"/>
              <w:jc w:val="center"/>
              <w:rPr>
                <w:lang w:val="fr-FR"/>
              </w:rPr>
            </w:pPr>
            <w:r>
              <w:rPr>
                <w:lang w:val="fr-FR"/>
              </w:rPr>
              <w:t>0</w:t>
            </w:r>
          </w:p>
        </w:tc>
        <w:tc>
          <w:tcPr>
            <w:tcW w:w="4056" w:type="pct"/>
          </w:tcPr>
          <w:p w:rsidR="00EB5203" w:rsidRDefault="00EB5203" w:rsidP="005B00D1">
            <w:pPr>
              <w:pStyle w:val="SingleTxtG"/>
              <w:ind w:left="0" w:right="99"/>
              <w:jc w:val="center"/>
              <w:rPr>
                <w:lang w:val="fr-FR"/>
              </w:rPr>
            </w:pPr>
            <w:r>
              <w:t>“Ga”</w:t>
            </w:r>
          </w:p>
        </w:tc>
      </w:tr>
      <w:tr w:rsidR="00EB5203" w:rsidTr="005B00D1">
        <w:tc>
          <w:tcPr>
            <w:tcW w:w="944" w:type="pct"/>
          </w:tcPr>
          <w:p w:rsidR="00EB5203" w:rsidRDefault="00EB5203" w:rsidP="005B00D1">
            <w:pPr>
              <w:pStyle w:val="SingleTxtG"/>
              <w:ind w:left="200" w:right="200"/>
              <w:jc w:val="center"/>
              <w:rPr>
                <w:lang w:val="fr-FR"/>
              </w:rPr>
            </w:pPr>
            <w:r>
              <w:rPr>
                <w:lang w:val="fr-FR"/>
              </w:rPr>
              <w:t>1</w:t>
            </w:r>
          </w:p>
        </w:tc>
        <w:tc>
          <w:tcPr>
            <w:tcW w:w="4056" w:type="pct"/>
          </w:tcPr>
          <w:p w:rsidR="00EB5203" w:rsidRDefault="00EB5203" w:rsidP="005B00D1">
            <w:pPr>
              <w:pStyle w:val="SingleTxtG"/>
              <w:ind w:left="0" w:right="99"/>
              <w:jc w:val="center"/>
              <w:rPr>
                <w:lang w:val="fr-FR"/>
              </w:rPr>
            </w:pPr>
            <w:r>
              <w:t>“Ga” ou “Gb”</w:t>
            </w:r>
          </w:p>
        </w:tc>
      </w:tr>
      <w:tr w:rsidR="00EB5203" w:rsidTr="005B00D1">
        <w:tc>
          <w:tcPr>
            <w:tcW w:w="944" w:type="pct"/>
          </w:tcPr>
          <w:p w:rsidR="00EB5203" w:rsidRDefault="00EB5203" w:rsidP="005B00D1">
            <w:pPr>
              <w:pStyle w:val="SingleTxtG"/>
              <w:ind w:left="200" w:right="200"/>
              <w:jc w:val="center"/>
              <w:rPr>
                <w:lang w:val="fr-FR"/>
              </w:rPr>
            </w:pPr>
            <w:r>
              <w:rPr>
                <w:lang w:val="fr-FR"/>
              </w:rPr>
              <w:t>2</w:t>
            </w:r>
          </w:p>
        </w:tc>
        <w:tc>
          <w:tcPr>
            <w:tcW w:w="4056" w:type="pct"/>
          </w:tcPr>
          <w:p w:rsidR="00EB5203" w:rsidRDefault="00EB5203" w:rsidP="005B00D1">
            <w:pPr>
              <w:pStyle w:val="SingleTxtG"/>
              <w:ind w:left="0" w:right="99"/>
              <w:jc w:val="center"/>
              <w:rPr>
                <w:lang w:val="fr-FR"/>
              </w:rPr>
            </w:pPr>
            <w:r>
              <w:t>“Ga”, “Gb” ou “Gc”</w:t>
            </w:r>
          </w:p>
        </w:tc>
      </w:tr>
    </w:tbl>
    <w:p w:rsidR="00EB5203" w:rsidRDefault="00EB5203" w:rsidP="00222A9F">
      <w:pPr>
        <w:pStyle w:val="SingleTxtG"/>
        <w:spacing w:before="120"/>
        <w:rPr>
          <w:lang w:val="fr-FR"/>
        </w:rPr>
      </w:pPr>
      <w:r>
        <w:rPr>
          <w:lang w:val="fr-FR"/>
        </w:rPr>
        <w:t>et au 5.4.1 la relation entre les EPL et les modes de protection comme le montre l’extrait suivant du tableau 2:</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32"/>
        <w:gridCol w:w="3685"/>
        <w:gridCol w:w="1158"/>
        <w:gridCol w:w="1895"/>
      </w:tblGrid>
      <w:tr w:rsidR="00EB5203" w:rsidRPr="00EB5203" w:rsidTr="00E95ABA">
        <w:trPr>
          <w:tblHeader/>
        </w:trPr>
        <w:tc>
          <w:tcPr>
            <w:tcW w:w="600" w:type="dxa"/>
            <w:tcBorders>
              <w:top w:val="single" w:sz="4" w:space="0" w:color="auto"/>
              <w:bottom w:val="single" w:sz="12" w:space="0" w:color="auto"/>
            </w:tcBorders>
            <w:shd w:val="clear" w:color="auto" w:fill="auto"/>
          </w:tcPr>
          <w:p w:rsidR="00EB5203" w:rsidRPr="00EB5203" w:rsidRDefault="00EB5203" w:rsidP="00E95ABA">
            <w:pPr>
              <w:suppressAutoHyphens w:val="0"/>
              <w:spacing w:before="80" w:after="80" w:line="200" w:lineRule="exact"/>
              <w:ind w:right="113"/>
              <w:rPr>
                <w:i/>
                <w:sz w:val="16"/>
                <w:szCs w:val="24"/>
              </w:rPr>
            </w:pPr>
            <w:r w:rsidRPr="00EB5203">
              <w:rPr>
                <w:bCs/>
                <w:i/>
                <w:sz w:val="16"/>
              </w:rPr>
              <w:t>EPL</w:t>
            </w:r>
          </w:p>
        </w:tc>
        <w:tc>
          <w:tcPr>
            <w:tcW w:w="3500" w:type="dxa"/>
            <w:tcBorders>
              <w:top w:val="single" w:sz="4" w:space="0" w:color="auto"/>
              <w:bottom w:val="single" w:sz="12" w:space="0" w:color="auto"/>
            </w:tcBorders>
            <w:shd w:val="clear" w:color="auto" w:fill="auto"/>
          </w:tcPr>
          <w:p w:rsidR="00EB5203" w:rsidRPr="00EB5203" w:rsidRDefault="00EB5203" w:rsidP="00E95ABA">
            <w:pPr>
              <w:suppressAutoHyphens w:val="0"/>
              <w:spacing w:before="80" w:after="80" w:line="200" w:lineRule="exact"/>
              <w:ind w:right="113"/>
              <w:rPr>
                <w:i/>
                <w:sz w:val="16"/>
                <w:szCs w:val="24"/>
              </w:rPr>
            </w:pPr>
            <w:r w:rsidRPr="00EB5203">
              <w:rPr>
                <w:bCs/>
                <w:i/>
                <w:sz w:val="16"/>
              </w:rPr>
              <w:t>Mode de protection</w:t>
            </w:r>
          </w:p>
        </w:tc>
        <w:tc>
          <w:tcPr>
            <w:tcW w:w="1100" w:type="dxa"/>
            <w:tcBorders>
              <w:top w:val="single" w:sz="4" w:space="0" w:color="auto"/>
              <w:bottom w:val="single" w:sz="12" w:space="0" w:color="auto"/>
            </w:tcBorders>
            <w:shd w:val="clear" w:color="auto" w:fill="auto"/>
          </w:tcPr>
          <w:p w:rsidR="00EB5203" w:rsidRPr="00EB5203" w:rsidRDefault="00EB5203" w:rsidP="00E95ABA">
            <w:pPr>
              <w:suppressAutoHyphens w:val="0"/>
              <w:spacing w:before="80" w:after="80" w:line="200" w:lineRule="exact"/>
              <w:ind w:right="113"/>
              <w:rPr>
                <w:i/>
                <w:sz w:val="16"/>
                <w:szCs w:val="24"/>
              </w:rPr>
            </w:pPr>
            <w:r w:rsidRPr="00EB5203">
              <w:rPr>
                <w:bCs/>
                <w:i/>
                <w:sz w:val="16"/>
              </w:rPr>
              <w:t>Code</w:t>
            </w:r>
          </w:p>
        </w:tc>
        <w:tc>
          <w:tcPr>
            <w:tcW w:w="1800" w:type="dxa"/>
            <w:tcBorders>
              <w:top w:val="single" w:sz="4" w:space="0" w:color="auto"/>
              <w:bottom w:val="single" w:sz="12" w:space="0" w:color="auto"/>
            </w:tcBorders>
            <w:shd w:val="clear" w:color="auto" w:fill="auto"/>
          </w:tcPr>
          <w:p w:rsidR="00EB5203" w:rsidRPr="00EB5203" w:rsidRDefault="00EB5203" w:rsidP="00E95ABA">
            <w:pPr>
              <w:suppressAutoHyphens w:val="0"/>
              <w:spacing w:before="80" w:after="80" w:line="200" w:lineRule="exact"/>
              <w:ind w:right="113"/>
              <w:rPr>
                <w:i/>
                <w:sz w:val="16"/>
                <w:szCs w:val="24"/>
              </w:rPr>
            </w:pPr>
            <w:r w:rsidRPr="00EB5203">
              <w:rPr>
                <w:bCs/>
                <w:i/>
                <w:sz w:val="16"/>
              </w:rPr>
              <w:t>Conformément à la</w:t>
            </w:r>
          </w:p>
        </w:tc>
      </w:tr>
      <w:tr w:rsidR="00EB5203" w:rsidRPr="00EB5203" w:rsidTr="00E95ABA">
        <w:tc>
          <w:tcPr>
            <w:tcW w:w="600" w:type="dxa"/>
            <w:vMerge w:val="restart"/>
            <w:tcBorders>
              <w:top w:val="single" w:sz="12" w:space="0" w:color="auto"/>
            </w:tcBorders>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“Ga”</w:t>
            </w:r>
          </w:p>
        </w:tc>
        <w:tc>
          <w:tcPr>
            <w:tcW w:w="3500" w:type="dxa"/>
            <w:tcBorders>
              <w:top w:val="single" w:sz="12" w:space="0" w:color="auto"/>
            </w:tcBorders>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Sécurité intrinsèque</w:t>
            </w:r>
          </w:p>
        </w:tc>
        <w:tc>
          <w:tcPr>
            <w:tcW w:w="1100" w:type="dxa"/>
            <w:tcBorders>
              <w:top w:val="single" w:sz="12" w:space="0" w:color="auto"/>
            </w:tcBorders>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“ia”</w:t>
            </w:r>
          </w:p>
        </w:tc>
        <w:tc>
          <w:tcPr>
            <w:tcW w:w="1800" w:type="dxa"/>
            <w:tcBorders>
              <w:top w:val="single" w:sz="12" w:space="0" w:color="auto"/>
            </w:tcBorders>
            <w:shd w:val="clear" w:color="auto" w:fill="auto"/>
          </w:tcPr>
          <w:p w:rsidR="00EB5203" w:rsidRPr="00EB5203" w:rsidRDefault="00E95ABA" w:rsidP="00E95ABA">
            <w:pPr>
              <w:suppressAutoHyphens w:val="0"/>
              <w:spacing w:before="144" w:after="144" w:line="220" w:lineRule="exact"/>
              <w:ind w:right="113"/>
              <w:rPr>
                <w:sz w:val="18"/>
                <w:szCs w:val="24"/>
              </w:rPr>
            </w:pPr>
            <w:hyperlink r:id="rId9" w:history="1">
              <w:r w:rsidR="00EB5203" w:rsidRPr="00EB5203">
                <w:rPr>
                  <w:rStyle w:val="Hyperlink"/>
                  <w:color w:val="auto"/>
                  <w:sz w:val="18"/>
                </w:rPr>
                <w:t>CEI 60079-11</w:t>
              </w:r>
            </w:hyperlink>
            <w:r w:rsidR="00EB5203" w:rsidRPr="00EB5203">
              <w:rPr>
                <w:sz w:val="18"/>
              </w:rPr>
              <w:t xml:space="preserve"> </w:t>
            </w:r>
          </w:p>
        </w:tc>
      </w:tr>
      <w:tr w:rsidR="00EB5203" w:rsidRPr="00EB5203" w:rsidTr="00E95ABA">
        <w:tc>
          <w:tcPr>
            <w:tcW w:w="600" w:type="dxa"/>
            <w:vMerge/>
            <w:shd w:val="clear" w:color="auto" w:fill="auto"/>
          </w:tcPr>
          <w:p w:rsidR="00EB5203" w:rsidRPr="00EB5203" w:rsidRDefault="00EB5203" w:rsidP="00E95ABA">
            <w:pPr>
              <w:suppressAutoHyphens w:val="0"/>
              <w:spacing w:before="144" w:after="144" w:line="220" w:lineRule="exact"/>
              <w:ind w:right="113"/>
              <w:rPr>
                <w:sz w:val="18"/>
                <w:szCs w:val="24"/>
              </w:rPr>
            </w:pPr>
          </w:p>
        </w:tc>
        <w:tc>
          <w:tcPr>
            <w:tcW w:w="3500" w:type="dxa"/>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Encapsulage</w:t>
            </w:r>
          </w:p>
        </w:tc>
        <w:tc>
          <w:tcPr>
            <w:tcW w:w="1100" w:type="dxa"/>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“ma”</w:t>
            </w:r>
          </w:p>
        </w:tc>
        <w:tc>
          <w:tcPr>
            <w:tcW w:w="1800" w:type="dxa"/>
            <w:shd w:val="clear" w:color="auto" w:fill="auto"/>
          </w:tcPr>
          <w:p w:rsidR="00EB5203" w:rsidRPr="00EB5203" w:rsidRDefault="00E95ABA" w:rsidP="00E95ABA">
            <w:pPr>
              <w:suppressAutoHyphens w:val="0"/>
              <w:spacing w:before="144" w:after="144" w:line="220" w:lineRule="exact"/>
              <w:ind w:right="113"/>
              <w:rPr>
                <w:sz w:val="18"/>
                <w:szCs w:val="24"/>
              </w:rPr>
            </w:pPr>
            <w:hyperlink r:id="rId10" w:history="1">
              <w:r w:rsidR="00EB5203" w:rsidRPr="00EB5203">
                <w:rPr>
                  <w:rStyle w:val="Hyperlink"/>
                  <w:color w:val="auto"/>
                  <w:sz w:val="18"/>
                </w:rPr>
                <w:t>CEI 60079-18</w:t>
              </w:r>
            </w:hyperlink>
            <w:r w:rsidR="00EB5203" w:rsidRPr="00EB5203">
              <w:rPr>
                <w:sz w:val="18"/>
              </w:rPr>
              <w:t xml:space="preserve"> </w:t>
            </w:r>
          </w:p>
        </w:tc>
      </w:tr>
      <w:tr w:rsidR="00EB5203" w:rsidRPr="00EB5203" w:rsidTr="00E95ABA">
        <w:tc>
          <w:tcPr>
            <w:tcW w:w="600" w:type="dxa"/>
            <w:vMerge/>
            <w:shd w:val="clear" w:color="auto" w:fill="auto"/>
          </w:tcPr>
          <w:p w:rsidR="00EB5203" w:rsidRPr="00EB5203" w:rsidRDefault="00EB5203" w:rsidP="00E95ABA">
            <w:pPr>
              <w:suppressAutoHyphens w:val="0"/>
              <w:spacing w:before="144" w:after="144" w:line="220" w:lineRule="exact"/>
              <w:ind w:right="113"/>
              <w:rPr>
                <w:sz w:val="18"/>
                <w:szCs w:val="24"/>
              </w:rPr>
            </w:pPr>
          </w:p>
        </w:tc>
        <w:tc>
          <w:tcPr>
            <w:tcW w:w="3500" w:type="dxa"/>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Deux modes de protection indépendants, chacun satisfaisant à l'EPL "Gb"</w:t>
            </w:r>
          </w:p>
        </w:tc>
        <w:tc>
          <w:tcPr>
            <w:tcW w:w="1100" w:type="dxa"/>
            <w:shd w:val="clear" w:color="auto" w:fill="auto"/>
          </w:tcPr>
          <w:p w:rsidR="00EB5203" w:rsidRPr="00EB5203" w:rsidRDefault="00EB5203" w:rsidP="00E95ABA">
            <w:pPr>
              <w:suppressAutoHyphens w:val="0"/>
              <w:spacing w:before="144" w:after="144" w:line="220" w:lineRule="exact"/>
              <w:ind w:right="113"/>
              <w:rPr>
                <w:sz w:val="18"/>
                <w:szCs w:val="24"/>
              </w:rPr>
            </w:pPr>
          </w:p>
        </w:tc>
        <w:tc>
          <w:tcPr>
            <w:tcW w:w="1800" w:type="dxa"/>
            <w:shd w:val="clear" w:color="auto" w:fill="auto"/>
          </w:tcPr>
          <w:p w:rsidR="00EB5203" w:rsidRPr="00EB5203" w:rsidRDefault="00E95ABA" w:rsidP="00E95ABA">
            <w:pPr>
              <w:suppressAutoHyphens w:val="0"/>
              <w:spacing w:before="144" w:after="144" w:line="220" w:lineRule="exact"/>
              <w:ind w:right="113"/>
              <w:rPr>
                <w:sz w:val="18"/>
                <w:szCs w:val="24"/>
              </w:rPr>
            </w:pPr>
            <w:hyperlink r:id="rId11" w:history="1">
              <w:r w:rsidR="00EB5203" w:rsidRPr="00EB5203">
                <w:rPr>
                  <w:rStyle w:val="Hyperlink"/>
                  <w:color w:val="auto"/>
                  <w:sz w:val="18"/>
                </w:rPr>
                <w:t>CEI 60079-26</w:t>
              </w:r>
            </w:hyperlink>
            <w:r w:rsidR="00EB5203" w:rsidRPr="00EB5203">
              <w:rPr>
                <w:sz w:val="18"/>
              </w:rPr>
              <w:t xml:space="preserve"> </w:t>
            </w:r>
          </w:p>
        </w:tc>
      </w:tr>
      <w:tr w:rsidR="00EB5203" w:rsidRPr="00EB5203" w:rsidTr="00E95ABA">
        <w:tc>
          <w:tcPr>
            <w:tcW w:w="600" w:type="dxa"/>
            <w:vMerge/>
            <w:shd w:val="clear" w:color="auto" w:fill="auto"/>
          </w:tcPr>
          <w:p w:rsidR="00EB5203" w:rsidRPr="00EB5203" w:rsidRDefault="00EB5203" w:rsidP="00E95ABA">
            <w:pPr>
              <w:suppressAutoHyphens w:val="0"/>
              <w:spacing w:before="144" w:after="144" w:line="220" w:lineRule="exact"/>
              <w:ind w:right="113"/>
              <w:rPr>
                <w:sz w:val="18"/>
                <w:szCs w:val="24"/>
              </w:rPr>
            </w:pPr>
          </w:p>
        </w:tc>
        <w:tc>
          <w:tcPr>
            <w:tcW w:w="3500" w:type="dxa"/>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Protection du matériel et des systèmes de transmission utilisant le rayonnement optique</w:t>
            </w:r>
          </w:p>
        </w:tc>
        <w:tc>
          <w:tcPr>
            <w:tcW w:w="1100" w:type="dxa"/>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“op is”</w:t>
            </w:r>
          </w:p>
        </w:tc>
        <w:tc>
          <w:tcPr>
            <w:tcW w:w="1800" w:type="dxa"/>
            <w:shd w:val="clear" w:color="auto" w:fill="auto"/>
          </w:tcPr>
          <w:p w:rsidR="00EB5203" w:rsidRPr="00EB5203" w:rsidRDefault="00E95ABA" w:rsidP="00E95ABA">
            <w:pPr>
              <w:suppressAutoHyphens w:val="0"/>
              <w:spacing w:before="144" w:after="144" w:line="220" w:lineRule="exact"/>
              <w:ind w:right="113"/>
              <w:rPr>
                <w:sz w:val="18"/>
                <w:szCs w:val="24"/>
              </w:rPr>
            </w:pPr>
            <w:hyperlink r:id="rId12" w:history="1">
              <w:r w:rsidR="00EB5203" w:rsidRPr="00EB5203">
                <w:rPr>
                  <w:rStyle w:val="Hyperlink"/>
                  <w:color w:val="auto"/>
                  <w:sz w:val="18"/>
                </w:rPr>
                <w:t>CEI 60079-28</w:t>
              </w:r>
            </w:hyperlink>
            <w:r w:rsidR="00EB5203" w:rsidRPr="00EB5203">
              <w:rPr>
                <w:sz w:val="18"/>
              </w:rPr>
              <w:t xml:space="preserve"> </w:t>
            </w:r>
          </w:p>
        </w:tc>
      </w:tr>
      <w:tr w:rsidR="00EB5203" w:rsidRPr="00EB5203" w:rsidTr="00E95ABA">
        <w:tc>
          <w:tcPr>
            <w:tcW w:w="600" w:type="dxa"/>
            <w:vMerge w:val="restart"/>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“Gb”</w:t>
            </w:r>
          </w:p>
        </w:tc>
        <w:tc>
          <w:tcPr>
            <w:tcW w:w="3500" w:type="dxa"/>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Enveloppes antidéflagrantes</w:t>
            </w:r>
          </w:p>
        </w:tc>
        <w:tc>
          <w:tcPr>
            <w:tcW w:w="1100" w:type="dxa"/>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“d”</w:t>
            </w:r>
          </w:p>
        </w:tc>
        <w:tc>
          <w:tcPr>
            <w:tcW w:w="1800" w:type="dxa"/>
            <w:shd w:val="clear" w:color="auto" w:fill="auto"/>
          </w:tcPr>
          <w:p w:rsidR="00EB5203" w:rsidRPr="00EB5203" w:rsidRDefault="00E95ABA" w:rsidP="00E95ABA">
            <w:pPr>
              <w:suppressAutoHyphens w:val="0"/>
              <w:spacing w:before="144" w:after="144" w:line="220" w:lineRule="exact"/>
              <w:ind w:right="113"/>
              <w:rPr>
                <w:sz w:val="18"/>
                <w:szCs w:val="24"/>
              </w:rPr>
            </w:pPr>
            <w:hyperlink r:id="rId13" w:history="1">
              <w:r w:rsidR="00EB5203" w:rsidRPr="00EB5203">
                <w:rPr>
                  <w:rStyle w:val="Hyperlink"/>
                  <w:color w:val="auto"/>
                  <w:sz w:val="18"/>
                </w:rPr>
                <w:t>CEI 60079-1</w:t>
              </w:r>
            </w:hyperlink>
            <w:r w:rsidR="00EB5203" w:rsidRPr="00EB5203">
              <w:rPr>
                <w:sz w:val="18"/>
              </w:rPr>
              <w:t xml:space="preserve"> </w:t>
            </w:r>
          </w:p>
        </w:tc>
      </w:tr>
      <w:tr w:rsidR="00EB5203" w:rsidRPr="00EB5203" w:rsidTr="00E95ABA">
        <w:tc>
          <w:tcPr>
            <w:tcW w:w="600" w:type="dxa"/>
            <w:vMerge/>
            <w:shd w:val="clear" w:color="auto" w:fill="auto"/>
          </w:tcPr>
          <w:p w:rsidR="00EB5203" w:rsidRPr="00EB5203" w:rsidRDefault="00EB5203" w:rsidP="00E95ABA">
            <w:pPr>
              <w:suppressAutoHyphens w:val="0"/>
              <w:spacing w:before="144" w:after="144" w:line="220" w:lineRule="exact"/>
              <w:ind w:right="113"/>
              <w:rPr>
                <w:sz w:val="18"/>
                <w:szCs w:val="24"/>
              </w:rPr>
            </w:pPr>
          </w:p>
        </w:tc>
        <w:tc>
          <w:tcPr>
            <w:tcW w:w="3500" w:type="dxa"/>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Sécurité augmentée</w:t>
            </w:r>
          </w:p>
        </w:tc>
        <w:tc>
          <w:tcPr>
            <w:tcW w:w="1100" w:type="dxa"/>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“e”</w:t>
            </w:r>
          </w:p>
        </w:tc>
        <w:tc>
          <w:tcPr>
            <w:tcW w:w="1800" w:type="dxa"/>
            <w:shd w:val="clear" w:color="auto" w:fill="auto"/>
          </w:tcPr>
          <w:p w:rsidR="00EB5203" w:rsidRPr="00EB5203" w:rsidRDefault="00E95ABA" w:rsidP="00E95ABA">
            <w:pPr>
              <w:suppressAutoHyphens w:val="0"/>
              <w:spacing w:before="144" w:after="144" w:line="220" w:lineRule="exact"/>
              <w:ind w:right="113"/>
              <w:rPr>
                <w:sz w:val="18"/>
                <w:szCs w:val="24"/>
              </w:rPr>
            </w:pPr>
            <w:hyperlink r:id="rId14" w:history="1">
              <w:r w:rsidR="00EB5203" w:rsidRPr="00EB5203">
                <w:rPr>
                  <w:rStyle w:val="Hyperlink"/>
                  <w:color w:val="auto"/>
                  <w:sz w:val="18"/>
                </w:rPr>
                <w:t>CEI 60079-7</w:t>
              </w:r>
            </w:hyperlink>
            <w:r w:rsidR="00EB5203" w:rsidRPr="00EB5203">
              <w:rPr>
                <w:sz w:val="18"/>
              </w:rPr>
              <w:t xml:space="preserve"> </w:t>
            </w:r>
          </w:p>
        </w:tc>
      </w:tr>
      <w:tr w:rsidR="00EB5203" w:rsidRPr="00EB5203" w:rsidTr="00E95ABA">
        <w:tc>
          <w:tcPr>
            <w:tcW w:w="600" w:type="dxa"/>
            <w:vMerge/>
            <w:shd w:val="clear" w:color="auto" w:fill="auto"/>
          </w:tcPr>
          <w:p w:rsidR="00EB5203" w:rsidRPr="00EB5203" w:rsidRDefault="00EB5203" w:rsidP="00E95ABA">
            <w:pPr>
              <w:suppressAutoHyphens w:val="0"/>
              <w:spacing w:before="144" w:after="144" w:line="220" w:lineRule="exact"/>
              <w:ind w:right="113"/>
              <w:rPr>
                <w:sz w:val="18"/>
                <w:szCs w:val="24"/>
              </w:rPr>
            </w:pPr>
          </w:p>
        </w:tc>
        <w:tc>
          <w:tcPr>
            <w:tcW w:w="3500" w:type="dxa"/>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Sécurité intrinsèque</w:t>
            </w:r>
          </w:p>
        </w:tc>
        <w:tc>
          <w:tcPr>
            <w:tcW w:w="1100" w:type="dxa"/>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“ib”</w:t>
            </w:r>
          </w:p>
        </w:tc>
        <w:tc>
          <w:tcPr>
            <w:tcW w:w="1800" w:type="dxa"/>
            <w:shd w:val="clear" w:color="auto" w:fill="auto"/>
          </w:tcPr>
          <w:p w:rsidR="00EB5203" w:rsidRPr="00EB5203" w:rsidRDefault="00E95ABA" w:rsidP="00E95ABA">
            <w:pPr>
              <w:suppressAutoHyphens w:val="0"/>
              <w:spacing w:before="144" w:after="144" w:line="220" w:lineRule="exact"/>
              <w:ind w:right="113"/>
              <w:rPr>
                <w:sz w:val="18"/>
                <w:szCs w:val="24"/>
              </w:rPr>
            </w:pPr>
            <w:hyperlink r:id="rId15" w:history="1">
              <w:r w:rsidR="00EB5203" w:rsidRPr="00EB5203">
                <w:rPr>
                  <w:rStyle w:val="Hyperlink"/>
                  <w:color w:val="auto"/>
                  <w:sz w:val="18"/>
                </w:rPr>
                <w:t>CEI 60079-11</w:t>
              </w:r>
            </w:hyperlink>
            <w:r w:rsidR="00EB5203" w:rsidRPr="00EB5203">
              <w:rPr>
                <w:sz w:val="18"/>
              </w:rPr>
              <w:t xml:space="preserve"> </w:t>
            </w:r>
          </w:p>
        </w:tc>
      </w:tr>
      <w:tr w:rsidR="00EB5203" w:rsidRPr="00EB5203" w:rsidTr="00E95ABA">
        <w:tc>
          <w:tcPr>
            <w:tcW w:w="600" w:type="dxa"/>
            <w:vMerge/>
            <w:shd w:val="clear" w:color="auto" w:fill="auto"/>
          </w:tcPr>
          <w:p w:rsidR="00EB5203" w:rsidRPr="00EB5203" w:rsidRDefault="00EB5203" w:rsidP="00E95ABA">
            <w:pPr>
              <w:suppressAutoHyphens w:val="0"/>
              <w:spacing w:before="144" w:after="144" w:line="220" w:lineRule="exact"/>
              <w:ind w:right="113"/>
              <w:rPr>
                <w:sz w:val="18"/>
                <w:szCs w:val="24"/>
              </w:rPr>
            </w:pPr>
          </w:p>
        </w:tc>
        <w:tc>
          <w:tcPr>
            <w:tcW w:w="3500" w:type="dxa"/>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Encapsulage</w:t>
            </w:r>
          </w:p>
        </w:tc>
        <w:tc>
          <w:tcPr>
            <w:tcW w:w="1100" w:type="dxa"/>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“m” “mb”</w:t>
            </w:r>
          </w:p>
        </w:tc>
        <w:tc>
          <w:tcPr>
            <w:tcW w:w="1800" w:type="dxa"/>
            <w:shd w:val="clear" w:color="auto" w:fill="auto"/>
          </w:tcPr>
          <w:p w:rsidR="00EB5203" w:rsidRPr="00EB5203" w:rsidRDefault="00E95ABA" w:rsidP="00E95ABA">
            <w:pPr>
              <w:suppressAutoHyphens w:val="0"/>
              <w:spacing w:before="144" w:after="144" w:line="220" w:lineRule="exact"/>
              <w:ind w:right="113"/>
              <w:rPr>
                <w:sz w:val="18"/>
                <w:szCs w:val="24"/>
              </w:rPr>
            </w:pPr>
            <w:hyperlink r:id="rId16" w:history="1">
              <w:r w:rsidR="00EB5203" w:rsidRPr="00EB5203">
                <w:rPr>
                  <w:rStyle w:val="Hyperlink"/>
                  <w:color w:val="auto"/>
                  <w:sz w:val="18"/>
                </w:rPr>
                <w:t>CEI 60079-18</w:t>
              </w:r>
            </w:hyperlink>
            <w:r w:rsidR="00EB5203" w:rsidRPr="00EB5203">
              <w:rPr>
                <w:sz w:val="18"/>
              </w:rPr>
              <w:t xml:space="preserve"> </w:t>
            </w:r>
          </w:p>
        </w:tc>
      </w:tr>
      <w:tr w:rsidR="00EB5203" w:rsidRPr="00EB5203" w:rsidTr="00E95ABA">
        <w:tc>
          <w:tcPr>
            <w:tcW w:w="600" w:type="dxa"/>
            <w:vMerge/>
            <w:shd w:val="clear" w:color="auto" w:fill="auto"/>
          </w:tcPr>
          <w:p w:rsidR="00EB5203" w:rsidRPr="00EB5203" w:rsidRDefault="00EB5203" w:rsidP="00E95ABA">
            <w:pPr>
              <w:suppressAutoHyphens w:val="0"/>
              <w:spacing w:before="144" w:after="144" w:line="220" w:lineRule="exact"/>
              <w:ind w:right="113"/>
              <w:rPr>
                <w:sz w:val="18"/>
                <w:szCs w:val="24"/>
              </w:rPr>
            </w:pPr>
          </w:p>
        </w:tc>
        <w:tc>
          <w:tcPr>
            <w:tcW w:w="3500" w:type="dxa"/>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Immersion dans l’huile</w:t>
            </w:r>
          </w:p>
        </w:tc>
        <w:tc>
          <w:tcPr>
            <w:tcW w:w="1100" w:type="dxa"/>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“o”</w:t>
            </w:r>
          </w:p>
        </w:tc>
        <w:tc>
          <w:tcPr>
            <w:tcW w:w="1800" w:type="dxa"/>
            <w:shd w:val="clear" w:color="auto" w:fill="auto"/>
          </w:tcPr>
          <w:p w:rsidR="00EB5203" w:rsidRPr="00EB5203" w:rsidRDefault="00E95ABA" w:rsidP="00E95ABA">
            <w:pPr>
              <w:suppressAutoHyphens w:val="0"/>
              <w:spacing w:before="144" w:after="144" w:line="220" w:lineRule="exact"/>
              <w:ind w:right="113"/>
              <w:rPr>
                <w:sz w:val="18"/>
                <w:szCs w:val="24"/>
              </w:rPr>
            </w:pPr>
            <w:hyperlink r:id="rId17" w:history="1">
              <w:r w:rsidR="00EB5203" w:rsidRPr="00EB5203">
                <w:rPr>
                  <w:rStyle w:val="Hyperlink"/>
                  <w:color w:val="auto"/>
                  <w:sz w:val="18"/>
                </w:rPr>
                <w:t>CEI 60079-6</w:t>
              </w:r>
            </w:hyperlink>
            <w:r w:rsidR="00EB5203" w:rsidRPr="00EB5203">
              <w:rPr>
                <w:sz w:val="18"/>
              </w:rPr>
              <w:t xml:space="preserve"> </w:t>
            </w:r>
          </w:p>
        </w:tc>
      </w:tr>
      <w:tr w:rsidR="00EB5203" w:rsidRPr="00EB5203" w:rsidTr="00E95ABA">
        <w:tc>
          <w:tcPr>
            <w:tcW w:w="600" w:type="dxa"/>
            <w:vMerge/>
            <w:shd w:val="clear" w:color="auto" w:fill="auto"/>
          </w:tcPr>
          <w:p w:rsidR="00EB5203" w:rsidRPr="00EB5203" w:rsidRDefault="00EB5203" w:rsidP="00E95ABA">
            <w:pPr>
              <w:suppressAutoHyphens w:val="0"/>
              <w:spacing w:before="144" w:after="144" w:line="220" w:lineRule="exact"/>
              <w:ind w:right="113"/>
              <w:rPr>
                <w:sz w:val="18"/>
                <w:szCs w:val="24"/>
              </w:rPr>
            </w:pPr>
          </w:p>
        </w:tc>
        <w:tc>
          <w:tcPr>
            <w:tcW w:w="3500" w:type="dxa"/>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Enveloppes à surpression interne</w:t>
            </w:r>
          </w:p>
        </w:tc>
        <w:tc>
          <w:tcPr>
            <w:tcW w:w="1100" w:type="dxa"/>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“p”, “px”, “py”, “pxb” ou “pyb”</w:t>
            </w:r>
          </w:p>
        </w:tc>
        <w:tc>
          <w:tcPr>
            <w:tcW w:w="1800" w:type="dxa"/>
            <w:shd w:val="clear" w:color="auto" w:fill="auto"/>
          </w:tcPr>
          <w:p w:rsidR="00EB5203" w:rsidRPr="00EB5203" w:rsidRDefault="00E95ABA" w:rsidP="00E95ABA">
            <w:pPr>
              <w:suppressAutoHyphens w:val="0"/>
              <w:spacing w:before="144" w:after="144" w:line="220" w:lineRule="exact"/>
              <w:ind w:right="113"/>
              <w:rPr>
                <w:sz w:val="18"/>
                <w:szCs w:val="24"/>
              </w:rPr>
            </w:pPr>
            <w:hyperlink r:id="rId18" w:history="1">
              <w:r w:rsidR="00EB5203" w:rsidRPr="00EB5203">
                <w:rPr>
                  <w:rStyle w:val="Hyperlink"/>
                  <w:color w:val="auto"/>
                  <w:sz w:val="18"/>
                </w:rPr>
                <w:t>CEI 60079-2</w:t>
              </w:r>
            </w:hyperlink>
            <w:r w:rsidR="00EB5203" w:rsidRPr="00EB5203">
              <w:rPr>
                <w:sz w:val="18"/>
              </w:rPr>
              <w:t xml:space="preserve"> </w:t>
            </w:r>
          </w:p>
        </w:tc>
      </w:tr>
      <w:tr w:rsidR="00EB5203" w:rsidRPr="00EB5203" w:rsidTr="00E95ABA">
        <w:tc>
          <w:tcPr>
            <w:tcW w:w="600" w:type="dxa"/>
            <w:vMerge/>
            <w:shd w:val="clear" w:color="auto" w:fill="auto"/>
          </w:tcPr>
          <w:p w:rsidR="00EB5203" w:rsidRPr="00EB5203" w:rsidRDefault="00EB5203" w:rsidP="00E95ABA">
            <w:pPr>
              <w:suppressAutoHyphens w:val="0"/>
              <w:spacing w:before="144" w:after="144" w:line="220" w:lineRule="exact"/>
              <w:ind w:right="113"/>
              <w:rPr>
                <w:sz w:val="18"/>
                <w:szCs w:val="24"/>
              </w:rPr>
            </w:pPr>
          </w:p>
        </w:tc>
        <w:tc>
          <w:tcPr>
            <w:tcW w:w="3500" w:type="dxa"/>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Remplissage pulvérulent</w:t>
            </w:r>
          </w:p>
        </w:tc>
        <w:tc>
          <w:tcPr>
            <w:tcW w:w="1100" w:type="dxa"/>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“q”</w:t>
            </w:r>
          </w:p>
        </w:tc>
        <w:tc>
          <w:tcPr>
            <w:tcW w:w="1800" w:type="dxa"/>
            <w:shd w:val="clear" w:color="auto" w:fill="auto"/>
          </w:tcPr>
          <w:p w:rsidR="00EB5203" w:rsidRPr="00EB5203" w:rsidRDefault="00E95ABA" w:rsidP="00E95ABA">
            <w:pPr>
              <w:suppressAutoHyphens w:val="0"/>
              <w:spacing w:before="144" w:after="144" w:line="220" w:lineRule="exact"/>
              <w:ind w:right="113"/>
              <w:rPr>
                <w:sz w:val="18"/>
                <w:szCs w:val="24"/>
              </w:rPr>
            </w:pPr>
            <w:hyperlink r:id="rId19" w:history="1">
              <w:r w:rsidR="00EB5203" w:rsidRPr="00EB5203">
                <w:rPr>
                  <w:rStyle w:val="Hyperlink"/>
                  <w:color w:val="auto"/>
                  <w:sz w:val="18"/>
                </w:rPr>
                <w:t>CEI 60079-5</w:t>
              </w:r>
            </w:hyperlink>
            <w:r w:rsidR="00EB5203" w:rsidRPr="00EB5203">
              <w:rPr>
                <w:sz w:val="18"/>
              </w:rPr>
              <w:t xml:space="preserve"> </w:t>
            </w:r>
          </w:p>
        </w:tc>
      </w:tr>
      <w:tr w:rsidR="00EB5203" w:rsidRPr="00EB5203" w:rsidTr="00E95ABA">
        <w:trPr>
          <w:trHeight w:val="693"/>
        </w:trPr>
        <w:tc>
          <w:tcPr>
            <w:tcW w:w="600" w:type="dxa"/>
            <w:vMerge/>
            <w:shd w:val="clear" w:color="auto" w:fill="auto"/>
          </w:tcPr>
          <w:p w:rsidR="00EB5203" w:rsidRPr="00EB5203" w:rsidRDefault="00EB5203" w:rsidP="00E95ABA">
            <w:pPr>
              <w:suppressAutoHyphens w:val="0"/>
              <w:spacing w:before="144" w:after="144" w:line="220" w:lineRule="exact"/>
              <w:ind w:right="113"/>
              <w:rPr>
                <w:sz w:val="18"/>
                <w:szCs w:val="24"/>
              </w:rPr>
            </w:pPr>
          </w:p>
        </w:tc>
        <w:tc>
          <w:tcPr>
            <w:tcW w:w="3500" w:type="dxa"/>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Protection du matériel et des systèmes de transmission utilisant le rayonnement optique</w:t>
            </w:r>
          </w:p>
        </w:tc>
        <w:tc>
          <w:tcPr>
            <w:tcW w:w="1100" w:type="dxa"/>
            <w:shd w:val="clear" w:color="auto" w:fill="auto"/>
          </w:tcPr>
          <w:p w:rsidR="00EB5203" w:rsidRPr="004F027A" w:rsidRDefault="00EB5203" w:rsidP="00E95ABA">
            <w:pPr>
              <w:suppressAutoHyphens w:val="0"/>
              <w:spacing w:before="144" w:after="144" w:line="220" w:lineRule="exact"/>
              <w:ind w:right="113"/>
              <w:rPr>
                <w:sz w:val="18"/>
                <w:szCs w:val="24"/>
                <w:lang w:val="en-US"/>
              </w:rPr>
            </w:pPr>
            <w:r w:rsidRPr="004F027A">
              <w:rPr>
                <w:sz w:val="18"/>
                <w:lang w:val="en-US"/>
              </w:rPr>
              <w:t>“op is”</w:t>
            </w:r>
          </w:p>
          <w:p w:rsidR="00EB5203" w:rsidRPr="004F027A" w:rsidRDefault="00EB5203" w:rsidP="00E95ABA">
            <w:pPr>
              <w:suppressAutoHyphens w:val="0"/>
              <w:spacing w:before="144" w:after="144" w:line="220" w:lineRule="exact"/>
              <w:ind w:right="113"/>
              <w:rPr>
                <w:sz w:val="18"/>
                <w:szCs w:val="24"/>
                <w:lang w:val="en-US"/>
              </w:rPr>
            </w:pPr>
            <w:r w:rsidRPr="004F027A">
              <w:rPr>
                <w:sz w:val="18"/>
                <w:lang w:val="en-US"/>
              </w:rPr>
              <w:t>“op sh”</w:t>
            </w:r>
          </w:p>
          <w:p w:rsidR="00EB5203" w:rsidRPr="004F027A" w:rsidRDefault="00EB5203" w:rsidP="00E95ABA">
            <w:pPr>
              <w:suppressAutoHyphens w:val="0"/>
              <w:spacing w:before="144" w:after="144" w:line="220" w:lineRule="exact"/>
              <w:ind w:right="113"/>
              <w:rPr>
                <w:sz w:val="18"/>
                <w:szCs w:val="24"/>
                <w:lang w:val="en-US"/>
              </w:rPr>
            </w:pPr>
            <w:r w:rsidRPr="004F027A">
              <w:rPr>
                <w:sz w:val="18"/>
                <w:lang w:val="en-US"/>
              </w:rPr>
              <w:t>“op pr”</w:t>
            </w:r>
          </w:p>
        </w:tc>
        <w:tc>
          <w:tcPr>
            <w:tcW w:w="1800" w:type="dxa"/>
            <w:shd w:val="clear" w:color="auto" w:fill="auto"/>
          </w:tcPr>
          <w:p w:rsidR="00EB5203" w:rsidRPr="00EB5203" w:rsidRDefault="00E95ABA" w:rsidP="00E95ABA">
            <w:pPr>
              <w:suppressAutoHyphens w:val="0"/>
              <w:spacing w:before="144" w:after="144" w:line="220" w:lineRule="exact"/>
              <w:ind w:right="113"/>
              <w:rPr>
                <w:sz w:val="18"/>
                <w:szCs w:val="24"/>
              </w:rPr>
            </w:pPr>
            <w:hyperlink r:id="rId20" w:history="1">
              <w:r w:rsidR="00EB5203" w:rsidRPr="00EB5203">
                <w:rPr>
                  <w:rStyle w:val="Hyperlink"/>
                  <w:color w:val="auto"/>
                  <w:sz w:val="18"/>
                </w:rPr>
                <w:t>CEI 60079-28</w:t>
              </w:r>
            </w:hyperlink>
            <w:r w:rsidR="00EB5203" w:rsidRPr="00EB5203">
              <w:rPr>
                <w:sz w:val="18"/>
              </w:rPr>
              <w:t xml:space="preserve"> </w:t>
            </w:r>
          </w:p>
        </w:tc>
      </w:tr>
      <w:tr w:rsidR="00EB5203" w:rsidRPr="00EB5203" w:rsidTr="00E95ABA">
        <w:tc>
          <w:tcPr>
            <w:tcW w:w="600" w:type="dxa"/>
            <w:vMerge w:val="restart"/>
            <w:shd w:val="clear" w:color="auto" w:fill="auto"/>
          </w:tcPr>
          <w:p w:rsidR="00EB5203" w:rsidRPr="00EB5203" w:rsidRDefault="00EB5203" w:rsidP="00E95ABA">
            <w:pPr>
              <w:suppressAutoHyphens w:val="0"/>
              <w:spacing w:before="144" w:after="144" w:line="220" w:lineRule="exact"/>
              <w:ind w:right="113"/>
              <w:rPr>
                <w:sz w:val="18"/>
                <w:szCs w:val="24"/>
              </w:rPr>
            </w:pPr>
            <w:r w:rsidRPr="00EB5203">
              <w:rPr>
                <w:sz w:val="18"/>
              </w:rPr>
              <w:t>“Gc”</w:t>
            </w:r>
          </w:p>
        </w:tc>
        <w:tc>
          <w:tcPr>
            <w:tcW w:w="3500" w:type="dxa"/>
            <w:shd w:val="clear" w:color="auto" w:fill="auto"/>
          </w:tcPr>
          <w:p w:rsidR="00EB5203" w:rsidRPr="00EB5203" w:rsidRDefault="00EB5203" w:rsidP="00E95ABA">
            <w:pPr>
              <w:suppressAutoHyphens w:val="0"/>
              <w:spacing w:before="144" w:after="144" w:line="220" w:lineRule="exact"/>
              <w:ind w:right="113"/>
              <w:rPr>
                <w:sz w:val="18"/>
              </w:rPr>
            </w:pPr>
            <w:r w:rsidRPr="00EB5203">
              <w:rPr>
                <w:sz w:val="18"/>
              </w:rPr>
              <w:t>Sécurité intrinsèque</w:t>
            </w:r>
          </w:p>
        </w:tc>
        <w:tc>
          <w:tcPr>
            <w:tcW w:w="1100" w:type="dxa"/>
            <w:shd w:val="clear" w:color="auto" w:fill="auto"/>
          </w:tcPr>
          <w:p w:rsidR="00EB5203" w:rsidRPr="00EB5203" w:rsidRDefault="00EB5203" w:rsidP="00E95ABA">
            <w:pPr>
              <w:suppressAutoHyphens w:val="0"/>
              <w:spacing w:before="144" w:after="144" w:line="220" w:lineRule="exact"/>
              <w:ind w:right="113"/>
              <w:rPr>
                <w:sz w:val="18"/>
              </w:rPr>
            </w:pPr>
            <w:r w:rsidRPr="00EB5203">
              <w:rPr>
                <w:sz w:val="18"/>
              </w:rPr>
              <w:t>“ic”</w:t>
            </w:r>
          </w:p>
        </w:tc>
        <w:tc>
          <w:tcPr>
            <w:tcW w:w="1800" w:type="dxa"/>
            <w:shd w:val="clear" w:color="auto" w:fill="auto"/>
          </w:tcPr>
          <w:p w:rsidR="00EB5203" w:rsidRPr="00EB5203" w:rsidRDefault="00E95ABA" w:rsidP="00E95ABA">
            <w:pPr>
              <w:suppressAutoHyphens w:val="0"/>
              <w:spacing w:before="144" w:after="144" w:line="220" w:lineRule="exact"/>
              <w:ind w:right="113"/>
              <w:rPr>
                <w:sz w:val="18"/>
              </w:rPr>
            </w:pPr>
            <w:hyperlink r:id="rId21" w:history="1">
              <w:r w:rsidR="00EB5203" w:rsidRPr="00EB5203">
                <w:rPr>
                  <w:sz w:val="18"/>
                </w:rPr>
                <w:t>CEI 60079-11</w:t>
              </w:r>
            </w:hyperlink>
            <w:r w:rsidR="00EB5203" w:rsidRPr="00EB5203">
              <w:rPr>
                <w:sz w:val="18"/>
              </w:rPr>
              <w:t xml:space="preserve"> </w:t>
            </w:r>
          </w:p>
        </w:tc>
      </w:tr>
      <w:tr w:rsidR="00EB5203" w:rsidRPr="00EB5203" w:rsidTr="00E95ABA">
        <w:tc>
          <w:tcPr>
            <w:tcW w:w="600" w:type="dxa"/>
            <w:vMerge/>
            <w:shd w:val="clear" w:color="auto" w:fill="auto"/>
          </w:tcPr>
          <w:p w:rsidR="00EB5203" w:rsidRPr="00EB5203" w:rsidRDefault="00EB5203" w:rsidP="00E95ABA">
            <w:pPr>
              <w:suppressAutoHyphens w:val="0"/>
              <w:spacing w:before="144" w:after="144" w:line="220" w:lineRule="exact"/>
              <w:ind w:right="113"/>
              <w:rPr>
                <w:sz w:val="18"/>
                <w:szCs w:val="24"/>
              </w:rPr>
            </w:pPr>
          </w:p>
        </w:tc>
        <w:tc>
          <w:tcPr>
            <w:tcW w:w="3500" w:type="dxa"/>
            <w:shd w:val="clear" w:color="auto" w:fill="auto"/>
          </w:tcPr>
          <w:p w:rsidR="00EB5203" w:rsidRPr="00EB5203" w:rsidRDefault="00EB5203" w:rsidP="00E95ABA">
            <w:pPr>
              <w:suppressAutoHyphens w:val="0"/>
              <w:spacing w:before="144" w:after="144" w:line="220" w:lineRule="exact"/>
              <w:ind w:right="113"/>
              <w:rPr>
                <w:sz w:val="18"/>
              </w:rPr>
            </w:pPr>
            <w:r w:rsidRPr="00EB5203">
              <w:rPr>
                <w:sz w:val="18"/>
              </w:rPr>
              <w:t>Encapsulage</w:t>
            </w:r>
          </w:p>
        </w:tc>
        <w:tc>
          <w:tcPr>
            <w:tcW w:w="1100" w:type="dxa"/>
            <w:shd w:val="clear" w:color="auto" w:fill="auto"/>
          </w:tcPr>
          <w:p w:rsidR="00EB5203" w:rsidRPr="00EB5203" w:rsidRDefault="00EB5203" w:rsidP="00E95ABA">
            <w:pPr>
              <w:suppressAutoHyphens w:val="0"/>
              <w:spacing w:before="144" w:after="144" w:line="220" w:lineRule="exact"/>
              <w:ind w:right="113"/>
              <w:rPr>
                <w:sz w:val="18"/>
              </w:rPr>
            </w:pPr>
            <w:r w:rsidRPr="00EB5203">
              <w:rPr>
                <w:sz w:val="18"/>
              </w:rPr>
              <w:t>“mc”</w:t>
            </w:r>
          </w:p>
        </w:tc>
        <w:tc>
          <w:tcPr>
            <w:tcW w:w="1800" w:type="dxa"/>
            <w:shd w:val="clear" w:color="auto" w:fill="auto"/>
          </w:tcPr>
          <w:p w:rsidR="00EB5203" w:rsidRPr="00EB5203" w:rsidRDefault="00E95ABA" w:rsidP="00E95ABA">
            <w:pPr>
              <w:suppressAutoHyphens w:val="0"/>
              <w:spacing w:before="144" w:after="144" w:line="220" w:lineRule="exact"/>
              <w:ind w:right="113"/>
              <w:rPr>
                <w:sz w:val="18"/>
              </w:rPr>
            </w:pPr>
            <w:hyperlink r:id="rId22" w:history="1">
              <w:r w:rsidR="00EB5203" w:rsidRPr="00EB5203">
                <w:rPr>
                  <w:sz w:val="18"/>
                </w:rPr>
                <w:t>CEI 60079-18</w:t>
              </w:r>
            </w:hyperlink>
            <w:r w:rsidR="00EB5203" w:rsidRPr="00EB5203">
              <w:rPr>
                <w:sz w:val="18"/>
              </w:rPr>
              <w:t xml:space="preserve"> </w:t>
            </w:r>
          </w:p>
        </w:tc>
      </w:tr>
      <w:tr w:rsidR="00EB5203" w:rsidRPr="00EB5203" w:rsidTr="00E95ABA">
        <w:tc>
          <w:tcPr>
            <w:tcW w:w="600" w:type="dxa"/>
            <w:vMerge/>
            <w:shd w:val="clear" w:color="auto" w:fill="auto"/>
          </w:tcPr>
          <w:p w:rsidR="00EB5203" w:rsidRPr="00EB5203" w:rsidRDefault="00EB5203" w:rsidP="00E95ABA">
            <w:pPr>
              <w:suppressAutoHyphens w:val="0"/>
              <w:spacing w:before="144" w:after="144" w:line="220" w:lineRule="exact"/>
              <w:ind w:right="113"/>
              <w:rPr>
                <w:sz w:val="18"/>
                <w:szCs w:val="24"/>
              </w:rPr>
            </w:pPr>
          </w:p>
        </w:tc>
        <w:tc>
          <w:tcPr>
            <w:tcW w:w="3500" w:type="dxa"/>
            <w:shd w:val="clear" w:color="auto" w:fill="auto"/>
          </w:tcPr>
          <w:p w:rsidR="00EB5203" w:rsidRPr="00EB5203" w:rsidRDefault="00EB5203" w:rsidP="00E95ABA">
            <w:pPr>
              <w:suppressAutoHyphens w:val="0"/>
              <w:spacing w:before="144" w:after="144" w:line="220" w:lineRule="exact"/>
              <w:ind w:right="113"/>
              <w:rPr>
                <w:sz w:val="18"/>
              </w:rPr>
            </w:pPr>
            <w:r w:rsidRPr="00EB5203">
              <w:rPr>
                <w:sz w:val="18"/>
              </w:rPr>
              <w:t>Sans étincelle</w:t>
            </w:r>
          </w:p>
        </w:tc>
        <w:tc>
          <w:tcPr>
            <w:tcW w:w="1100" w:type="dxa"/>
            <w:shd w:val="clear" w:color="auto" w:fill="auto"/>
          </w:tcPr>
          <w:p w:rsidR="00EB5203" w:rsidRPr="00EB5203" w:rsidRDefault="00EB5203" w:rsidP="00E95ABA">
            <w:pPr>
              <w:suppressAutoHyphens w:val="0"/>
              <w:spacing w:before="144" w:after="144" w:line="220" w:lineRule="exact"/>
              <w:ind w:right="113"/>
              <w:rPr>
                <w:sz w:val="18"/>
              </w:rPr>
            </w:pPr>
            <w:r w:rsidRPr="00EB5203">
              <w:rPr>
                <w:sz w:val="18"/>
              </w:rPr>
              <w:t>“n” ou “nA”</w:t>
            </w:r>
          </w:p>
        </w:tc>
        <w:tc>
          <w:tcPr>
            <w:tcW w:w="1800" w:type="dxa"/>
            <w:shd w:val="clear" w:color="auto" w:fill="auto"/>
          </w:tcPr>
          <w:p w:rsidR="00EB5203" w:rsidRPr="00EB5203" w:rsidRDefault="00E95ABA" w:rsidP="00E95ABA">
            <w:pPr>
              <w:suppressAutoHyphens w:val="0"/>
              <w:spacing w:before="144" w:after="144" w:line="220" w:lineRule="exact"/>
              <w:ind w:right="113"/>
              <w:rPr>
                <w:sz w:val="18"/>
              </w:rPr>
            </w:pPr>
            <w:hyperlink r:id="rId23" w:history="1">
              <w:r w:rsidR="00EB5203" w:rsidRPr="00EB5203">
                <w:rPr>
                  <w:sz w:val="18"/>
                </w:rPr>
                <w:t>CEI 60079-15</w:t>
              </w:r>
            </w:hyperlink>
            <w:r w:rsidR="00EB5203" w:rsidRPr="00EB5203">
              <w:rPr>
                <w:sz w:val="18"/>
              </w:rPr>
              <w:t xml:space="preserve"> </w:t>
            </w:r>
          </w:p>
        </w:tc>
      </w:tr>
      <w:tr w:rsidR="00EB5203" w:rsidRPr="00EB5203" w:rsidTr="00E95ABA">
        <w:tc>
          <w:tcPr>
            <w:tcW w:w="600" w:type="dxa"/>
            <w:vMerge/>
            <w:shd w:val="clear" w:color="auto" w:fill="auto"/>
          </w:tcPr>
          <w:p w:rsidR="00EB5203" w:rsidRPr="00EB5203" w:rsidRDefault="00EB5203" w:rsidP="00E95ABA">
            <w:pPr>
              <w:suppressAutoHyphens w:val="0"/>
              <w:spacing w:before="144" w:after="144" w:line="220" w:lineRule="exact"/>
              <w:ind w:right="113"/>
              <w:rPr>
                <w:sz w:val="18"/>
                <w:szCs w:val="24"/>
              </w:rPr>
            </w:pPr>
          </w:p>
        </w:tc>
        <w:tc>
          <w:tcPr>
            <w:tcW w:w="3500" w:type="dxa"/>
            <w:shd w:val="clear" w:color="auto" w:fill="auto"/>
          </w:tcPr>
          <w:p w:rsidR="00EB5203" w:rsidRPr="00EB5203" w:rsidRDefault="00EB5203" w:rsidP="00E95ABA">
            <w:pPr>
              <w:suppressAutoHyphens w:val="0"/>
              <w:spacing w:before="144" w:after="144" w:line="220" w:lineRule="exact"/>
              <w:ind w:right="113"/>
              <w:rPr>
                <w:sz w:val="18"/>
              </w:rPr>
            </w:pPr>
            <w:r w:rsidRPr="00EB5203">
              <w:rPr>
                <w:sz w:val="18"/>
              </w:rPr>
              <w:t>Respiration limitée</w:t>
            </w:r>
          </w:p>
        </w:tc>
        <w:tc>
          <w:tcPr>
            <w:tcW w:w="1100" w:type="dxa"/>
            <w:shd w:val="clear" w:color="auto" w:fill="auto"/>
          </w:tcPr>
          <w:p w:rsidR="00EB5203" w:rsidRPr="00EB5203" w:rsidRDefault="00EB5203" w:rsidP="00E95ABA">
            <w:pPr>
              <w:suppressAutoHyphens w:val="0"/>
              <w:spacing w:before="144" w:after="144" w:line="220" w:lineRule="exact"/>
              <w:ind w:right="113"/>
              <w:rPr>
                <w:sz w:val="18"/>
              </w:rPr>
            </w:pPr>
            <w:r w:rsidRPr="00EB5203">
              <w:rPr>
                <w:sz w:val="18"/>
              </w:rPr>
              <w:t>“nR”</w:t>
            </w:r>
          </w:p>
        </w:tc>
        <w:tc>
          <w:tcPr>
            <w:tcW w:w="1800" w:type="dxa"/>
            <w:shd w:val="clear" w:color="auto" w:fill="auto"/>
          </w:tcPr>
          <w:p w:rsidR="00EB5203" w:rsidRPr="00EB5203" w:rsidRDefault="00E95ABA" w:rsidP="00E95ABA">
            <w:pPr>
              <w:suppressAutoHyphens w:val="0"/>
              <w:spacing w:before="144" w:after="144" w:line="220" w:lineRule="exact"/>
              <w:ind w:right="113"/>
              <w:rPr>
                <w:sz w:val="18"/>
              </w:rPr>
            </w:pPr>
            <w:hyperlink r:id="rId24" w:history="1">
              <w:r w:rsidR="00EB5203" w:rsidRPr="00EB5203">
                <w:rPr>
                  <w:sz w:val="18"/>
                </w:rPr>
                <w:t>CEI 60079-15</w:t>
              </w:r>
            </w:hyperlink>
            <w:r w:rsidR="00EB5203" w:rsidRPr="00EB5203">
              <w:rPr>
                <w:sz w:val="18"/>
              </w:rPr>
              <w:t xml:space="preserve"> </w:t>
            </w:r>
          </w:p>
        </w:tc>
      </w:tr>
      <w:tr w:rsidR="00EB5203" w:rsidRPr="00EB5203" w:rsidTr="00E95ABA">
        <w:tc>
          <w:tcPr>
            <w:tcW w:w="600" w:type="dxa"/>
            <w:vMerge/>
            <w:shd w:val="clear" w:color="auto" w:fill="auto"/>
          </w:tcPr>
          <w:p w:rsidR="00EB5203" w:rsidRPr="00EB5203" w:rsidRDefault="00EB5203" w:rsidP="00E95ABA">
            <w:pPr>
              <w:suppressAutoHyphens w:val="0"/>
              <w:spacing w:before="144" w:after="144" w:line="220" w:lineRule="exact"/>
              <w:ind w:right="113"/>
              <w:rPr>
                <w:sz w:val="18"/>
                <w:szCs w:val="24"/>
              </w:rPr>
            </w:pPr>
          </w:p>
        </w:tc>
        <w:tc>
          <w:tcPr>
            <w:tcW w:w="3500" w:type="dxa"/>
            <w:shd w:val="clear" w:color="auto" w:fill="auto"/>
          </w:tcPr>
          <w:p w:rsidR="00EB5203" w:rsidRPr="00EB5203" w:rsidRDefault="00EB5203" w:rsidP="00E95ABA">
            <w:pPr>
              <w:suppressAutoHyphens w:val="0"/>
              <w:spacing w:before="144" w:after="144" w:line="220" w:lineRule="exact"/>
              <w:ind w:right="113"/>
              <w:rPr>
                <w:sz w:val="18"/>
              </w:rPr>
            </w:pPr>
            <w:r w:rsidRPr="00EB5203">
              <w:rPr>
                <w:sz w:val="18"/>
              </w:rPr>
              <w:t>Limitation d’énergie</w:t>
            </w:r>
          </w:p>
        </w:tc>
        <w:tc>
          <w:tcPr>
            <w:tcW w:w="1100" w:type="dxa"/>
            <w:shd w:val="clear" w:color="auto" w:fill="auto"/>
          </w:tcPr>
          <w:p w:rsidR="00EB5203" w:rsidRPr="00EB5203" w:rsidRDefault="00EB5203" w:rsidP="00E95ABA">
            <w:pPr>
              <w:suppressAutoHyphens w:val="0"/>
              <w:spacing w:before="144" w:after="144" w:line="220" w:lineRule="exact"/>
              <w:ind w:right="113"/>
              <w:rPr>
                <w:sz w:val="18"/>
              </w:rPr>
            </w:pPr>
            <w:r w:rsidRPr="00EB5203">
              <w:rPr>
                <w:sz w:val="18"/>
              </w:rPr>
              <w:t>“nL”</w:t>
            </w:r>
          </w:p>
        </w:tc>
        <w:tc>
          <w:tcPr>
            <w:tcW w:w="1800" w:type="dxa"/>
            <w:shd w:val="clear" w:color="auto" w:fill="auto"/>
          </w:tcPr>
          <w:p w:rsidR="00EB5203" w:rsidRPr="00EB5203" w:rsidRDefault="00E95ABA" w:rsidP="00E95ABA">
            <w:pPr>
              <w:suppressAutoHyphens w:val="0"/>
              <w:spacing w:before="144" w:after="144" w:line="220" w:lineRule="exact"/>
              <w:ind w:right="113"/>
              <w:rPr>
                <w:sz w:val="18"/>
              </w:rPr>
            </w:pPr>
            <w:hyperlink r:id="rId25" w:history="1">
              <w:r w:rsidR="00EB5203" w:rsidRPr="00EB5203">
                <w:rPr>
                  <w:sz w:val="18"/>
                </w:rPr>
                <w:t>CEI 60079-15</w:t>
              </w:r>
            </w:hyperlink>
            <w:r w:rsidR="00EB5203" w:rsidRPr="00EB5203">
              <w:rPr>
                <w:sz w:val="18"/>
              </w:rPr>
              <w:t xml:space="preserve"> </w:t>
            </w:r>
          </w:p>
        </w:tc>
      </w:tr>
      <w:tr w:rsidR="00EB5203" w:rsidRPr="00EB5203" w:rsidTr="00E95ABA">
        <w:tc>
          <w:tcPr>
            <w:tcW w:w="600" w:type="dxa"/>
            <w:vMerge/>
            <w:shd w:val="clear" w:color="auto" w:fill="auto"/>
          </w:tcPr>
          <w:p w:rsidR="00EB5203" w:rsidRPr="00EB5203" w:rsidRDefault="00EB5203" w:rsidP="00E95ABA">
            <w:pPr>
              <w:suppressAutoHyphens w:val="0"/>
              <w:spacing w:before="144" w:after="144" w:line="220" w:lineRule="exact"/>
              <w:ind w:right="113"/>
              <w:rPr>
                <w:sz w:val="18"/>
                <w:szCs w:val="24"/>
              </w:rPr>
            </w:pPr>
          </w:p>
        </w:tc>
        <w:tc>
          <w:tcPr>
            <w:tcW w:w="3500" w:type="dxa"/>
            <w:shd w:val="clear" w:color="auto" w:fill="auto"/>
          </w:tcPr>
          <w:p w:rsidR="00EB5203" w:rsidRPr="00EB5203" w:rsidRDefault="00EB5203" w:rsidP="00E95ABA">
            <w:pPr>
              <w:suppressAutoHyphens w:val="0"/>
              <w:spacing w:before="144" w:after="144" w:line="220" w:lineRule="exact"/>
              <w:ind w:right="113"/>
              <w:rPr>
                <w:sz w:val="18"/>
              </w:rPr>
            </w:pPr>
            <w:r w:rsidRPr="00EB5203">
              <w:rPr>
                <w:sz w:val="18"/>
              </w:rPr>
              <w:t>Matériel susceptible de produire des étincelles</w:t>
            </w:r>
          </w:p>
        </w:tc>
        <w:tc>
          <w:tcPr>
            <w:tcW w:w="1100" w:type="dxa"/>
            <w:shd w:val="clear" w:color="auto" w:fill="auto"/>
          </w:tcPr>
          <w:p w:rsidR="00EB5203" w:rsidRPr="00EB5203" w:rsidRDefault="00EB5203" w:rsidP="00E95ABA">
            <w:pPr>
              <w:suppressAutoHyphens w:val="0"/>
              <w:spacing w:before="144" w:after="144" w:line="220" w:lineRule="exact"/>
              <w:ind w:right="113"/>
              <w:rPr>
                <w:sz w:val="18"/>
              </w:rPr>
            </w:pPr>
            <w:r w:rsidRPr="00EB5203">
              <w:rPr>
                <w:sz w:val="18"/>
              </w:rPr>
              <w:t>“nC”</w:t>
            </w:r>
          </w:p>
        </w:tc>
        <w:tc>
          <w:tcPr>
            <w:tcW w:w="1800" w:type="dxa"/>
            <w:shd w:val="clear" w:color="auto" w:fill="auto"/>
          </w:tcPr>
          <w:p w:rsidR="00EB5203" w:rsidRPr="00EB5203" w:rsidRDefault="00E95ABA" w:rsidP="00E95ABA">
            <w:pPr>
              <w:suppressAutoHyphens w:val="0"/>
              <w:spacing w:before="144" w:after="144" w:line="220" w:lineRule="exact"/>
              <w:ind w:right="113"/>
              <w:rPr>
                <w:sz w:val="18"/>
              </w:rPr>
            </w:pPr>
            <w:hyperlink r:id="rId26" w:history="1">
              <w:r w:rsidR="00EB5203" w:rsidRPr="00EB5203">
                <w:rPr>
                  <w:sz w:val="18"/>
                </w:rPr>
                <w:t>CEI 60079-15</w:t>
              </w:r>
            </w:hyperlink>
            <w:r w:rsidR="00EB5203" w:rsidRPr="00EB5203">
              <w:rPr>
                <w:sz w:val="18"/>
              </w:rPr>
              <w:t xml:space="preserve"> </w:t>
            </w:r>
          </w:p>
        </w:tc>
      </w:tr>
      <w:tr w:rsidR="00EB5203" w:rsidRPr="00EB5203" w:rsidTr="00E95ABA">
        <w:tc>
          <w:tcPr>
            <w:tcW w:w="600" w:type="dxa"/>
            <w:vMerge/>
            <w:shd w:val="clear" w:color="auto" w:fill="auto"/>
          </w:tcPr>
          <w:p w:rsidR="00EB5203" w:rsidRPr="00EB5203" w:rsidRDefault="00EB5203" w:rsidP="00E95ABA">
            <w:pPr>
              <w:suppressAutoHyphens w:val="0"/>
              <w:spacing w:before="144" w:after="144" w:line="220" w:lineRule="exact"/>
              <w:ind w:right="113"/>
              <w:rPr>
                <w:sz w:val="18"/>
                <w:szCs w:val="24"/>
              </w:rPr>
            </w:pPr>
          </w:p>
        </w:tc>
        <w:tc>
          <w:tcPr>
            <w:tcW w:w="3500" w:type="dxa"/>
            <w:shd w:val="clear" w:color="auto" w:fill="auto"/>
          </w:tcPr>
          <w:p w:rsidR="00EB5203" w:rsidRPr="00EB5203" w:rsidRDefault="00EB5203" w:rsidP="00E95ABA">
            <w:pPr>
              <w:suppressAutoHyphens w:val="0"/>
              <w:spacing w:before="144" w:after="144" w:line="220" w:lineRule="exact"/>
              <w:ind w:right="113"/>
              <w:rPr>
                <w:sz w:val="18"/>
              </w:rPr>
            </w:pPr>
            <w:r w:rsidRPr="00EB5203">
              <w:rPr>
                <w:sz w:val="18"/>
              </w:rPr>
              <w:t>Enveloppes à surpression interne</w:t>
            </w:r>
          </w:p>
        </w:tc>
        <w:tc>
          <w:tcPr>
            <w:tcW w:w="1100" w:type="dxa"/>
            <w:shd w:val="clear" w:color="auto" w:fill="auto"/>
          </w:tcPr>
          <w:p w:rsidR="00EB5203" w:rsidRPr="00EB5203" w:rsidRDefault="00EB5203" w:rsidP="00E95ABA">
            <w:pPr>
              <w:suppressAutoHyphens w:val="0"/>
              <w:spacing w:before="144" w:after="144" w:line="220" w:lineRule="exact"/>
              <w:ind w:right="113"/>
              <w:rPr>
                <w:sz w:val="18"/>
              </w:rPr>
            </w:pPr>
            <w:r w:rsidRPr="00EB5203">
              <w:rPr>
                <w:sz w:val="18"/>
              </w:rPr>
              <w:t>“pz” ou “pzc”</w:t>
            </w:r>
          </w:p>
        </w:tc>
        <w:tc>
          <w:tcPr>
            <w:tcW w:w="1800" w:type="dxa"/>
            <w:shd w:val="clear" w:color="auto" w:fill="auto"/>
          </w:tcPr>
          <w:p w:rsidR="00EB5203" w:rsidRPr="00EB5203" w:rsidRDefault="00E95ABA" w:rsidP="00E95ABA">
            <w:pPr>
              <w:suppressAutoHyphens w:val="0"/>
              <w:spacing w:before="144" w:after="144" w:line="220" w:lineRule="exact"/>
              <w:ind w:right="113"/>
              <w:rPr>
                <w:sz w:val="18"/>
              </w:rPr>
            </w:pPr>
            <w:hyperlink r:id="rId27" w:history="1">
              <w:r w:rsidR="00EB5203" w:rsidRPr="00EB5203">
                <w:rPr>
                  <w:sz w:val="18"/>
                </w:rPr>
                <w:t>CEI 60079-2</w:t>
              </w:r>
            </w:hyperlink>
            <w:r w:rsidR="00EB5203" w:rsidRPr="00EB5203">
              <w:rPr>
                <w:sz w:val="18"/>
              </w:rPr>
              <w:t xml:space="preserve"> </w:t>
            </w:r>
          </w:p>
        </w:tc>
      </w:tr>
      <w:tr w:rsidR="00EB5203" w:rsidRPr="00EB5203" w:rsidTr="00E95ABA">
        <w:trPr>
          <w:trHeight w:val="821"/>
        </w:trPr>
        <w:tc>
          <w:tcPr>
            <w:tcW w:w="600" w:type="dxa"/>
            <w:vMerge/>
            <w:shd w:val="clear" w:color="auto" w:fill="auto"/>
          </w:tcPr>
          <w:p w:rsidR="00EB5203" w:rsidRPr="00EB5203" w:rsidRDefault="00EB5203" w:rsidP="00E95ABA">
            <w:pPr>
              <w:suppressAutoHyphens w:val="0"/>
              <w:spacing w:before="144" w:after="144" w:line="220" w:lineRule="exact"/>
              <w:ind w:right="113"/>
              <w:rPr>
                <w:sz w:val="18"/>
                <w:szCs w:val="24"/>
              </w:rPr>
            </w:pPr>
          </w:p>
        </w:tc>
        <w:tc>
          <w:tcPr>
            <w:tcW w:w="3500" w:type="dxa"/>
            <w:shd w:val="clear" w:color="auto" w:fill="auto"/>
          </w:tcPr>
          <w:p w:rsidR="00EB5203" w:rsidRPr="00EB5203" w:rsidRDefault="00EB5203" w:rsidP="00E95ABA">
            <w:pPr>
              <w:suppressAutoHyphens w:val="0"/>
              <w:spacing w:before="144" w:after="144" w:line="220" w:lineRule="exact"/>
              <w:ind w:right="113"/>
              <w:rPr>
                <w:sz w:val="18"/>
              </w:rPr>
            </w:pPr>
            <w:r w:rsidRPr="00EB5203">
              <w:rPr>
                <w:sz w:val="18"/>
              </w:rPr>
              <w:t>Protection du matériel et des systèmes de</w:t>
            </w:r>
            <w:r w:rsidR="00E95ABA">
              <w:rPr>
                <w:sz w:val="18"/>
              </w:rPr>
              <w:t xml:space="preserve"> </w:t>
            </w:r>
            <w:bookmarkStart w:id="0" w:name="_GoBack"/>
            <w:bookmarkEnd w:id="0"/>
            <w:r w:rsidRPr="00EB5203">
              <w:rPr>
                <w:sz w:val="18"/>
              </w:rPr>
              <w:t>transmission utilisant le rayonnement optique</w:t>
            </w:r>
          </w:p>
        </w:tc>
        <w:tc>
          <w:tcPr>
            <w:tcW w:w="1100" w:type="dxa"/>
            <w:shd w:val="clear" w:color="auto" w:fill="auto"/>
          </w:tcPr>
          <w:p w:rsidR="00EB5203" w:rsidRPr="004F027A" w:rsidRDefault="00EB5203" w:rsidP="00E95ABA">
            <w:pPr>
              <w:suppressAutoHyphens w:val="0"/>
              <w:spacing w:before="144" w:after="144" w:line="220" w:lineRule="exact"/>
              <w:ind w:right="113"/>
              <w:rPr>
                <w:sz w:val="18"/>
                <w:lang w:val="en-US"/>
              </w:rPr>
            </w:pPr>
            <w:r w:rsidRPr="004F027A">
              <w:rPr>
                <w:sz w:val="18"/>
                <w:lang w:val="en-US"/>
              </w:rPr>
              <w:t>“op is”</w:t>
            </w:r>
          </w:p>
          <w:p w:rsidR="00EB5203" w:rsidRPr="004F027A" w:rsidRDefault="00EB5203" w:rsidP="00E95ABA">
            <w:pPr>
              <w:suppressAutoHyphens w:val="0"/>
              <w:spacing w:line="220" w:lineRule="exact"/>
              <w:ind w:right="113"/>
              <w:rPr>
                <w:sz w:val="18"/>
                <w:lang w:val="en-US"/>
              </w:rPr>
            </w:pPr>
            <w:r w:rsidRPr="004F027A">
              <w:rPr>
                <w:sz w:val="18"/>
                <w:lang w:val="en-US"/>
              </w:rPr>
              <w:t>“op sh”</w:t>
            </w:r>
          </w:p>
          <w:p w:rsidR="00EB5203" w:rsidRPr="004F027A" w:rsidRDefault="00EB5203" w:rsidP="00E95ABA">
            <w:pPr>
              <w:suppressAutoHyphens w:val="0"/>
              <w:spacing w:before="144" w:after="144" w:line="220" w:lineRule="exact"/>
              <w:ind w:right="113"/>
              <w:rPr>
                <w:sz w:val="18"/>
                <w:lang w:val="en-US"/>
              </w:rPr>
            </w:pPr>
            <w:r w:rsidRPr="004F027A">
              <w:rPr>
                <w:sz w:val="18"/>
                <w:lang w:val="en-US"/>
              </w:rPr>
              <w:t>“op pr”</w:t>
            </w:r>
          </w:p>
        </w:tc>
        <w:tc>
          <w:tcPr>
            <w:tcW w:w="1800" w:type="dxa"/>
            <w:shd w:val="clear" w:color="auto" w:fill="auto"/>
          </w:tcPr>
          <w:p w:rsidR="00EB5203" w:rsidRPr="00EB5203" w:rsidRDefault="00E95ABA" w:rsidP="00E95ABA">
            <w:pPr>
              <w:suppressAutoHyphens w:val="0"/>
              <w:spacing w:before="144" w:after="144" w:line="220" w:lineRule="exact"/>
              <w:ind w:right="113"/>
              <w:rPr>
                <w:sz w:val="18"/>
              </w:rPr>
            </w:pPr>
            <w:hyperlink r:id="rId28" w:history="1">
              <w:r w:rsidR="00EB5203" w:rsidRPr="00EB5203">
                <w:rPr>
                  <w:sz w:val="18"/>
                </w:rPr>
                <w:t>CEI 60079-28</w:t>
              </w:r>
            </w:hyperlink>
            <w:r w:rsidR="00EB5203" w:rsidRPr="00EB5203">
              <w:rPr>
                <w:sz w:val="18"/>
              </w:rPr>
              <w:t xml:space="preserve"> </w:t>
            </w:r>
          </w:p>
        </w:tc>
      </w:tr>
    </w:tbl>
    <w:p w:rsidR="00EB5203" w:rsidRDefault="00EB5203" w:rsidP="00222A9F">
      <w:pPr>
        <w:pStyle w:val="SingleTxtG"/>
        <w:spacing w:before="120"/>
        <w:rPr>
          <w:lang w:val="fr-FR"/>
        </w:rPr>
      </w:pPr>
      <w:r>
        <w:rPr>
          <w:lang w:val="fr-FR"/>
        </w:rPr>
        <w:t>3.</w:t>
      </w:r>
      <w:r>
        <w:rPr>
          <w:lang w:val="fr-FR"/>
        </w:rPr>
        <w:tab/>
        <w:t>Le tableau ci-dessus fait apparaître la référence à des parties de la norme CEI 60079 qui ne sont actuellement pas visées au 9.2.2.9.1. Il s’agit des parties 26 et 28.</w:t>
      </w:r>
    </w:p>
    <w:p w:rsidR="00EB5203" w:rsidRDefault="00EB5203" w:rsidP="00EB5203">
      <w:pPr>
        <w:pStyle w:val="SingleTxtG"/>
      </w:pPr>
      <w:r>
        <w:t>4.</w:t>
      </w:r>
      <w:r>
        <w:tab/>
        <w:t>La question est de savoir s’il serait judicieux d’ajouter ces parties au 9.2.2.9.1 ainsi qu’au 9.7.8.2 pouvant couvrir des équipements tels que par exemple des sondes anti-débordement.</w:t>
      </w:r>
    </w:p>
    <w:p w:rsidR="00EB5203" w:rsidRDefault="00EB5203" w:rsidP="00EB5203">
      <w:pPr>
        <w:pStyle w:val="SingleTxtG"/>
      </w:pPr>
      <w:r>
        <w:t>5.</w:t>
      </w:r>
      <w:r>
        <w:tab/>
        <w:t>Si le Groupe de travail considère que les parties 26 et 28 de la norme CEI 60079 sont pertinentes, les modifications suivantes peuvent être effectuées.</w:t>
      </w:r>
    </w:p>
    <w:p w:rsidR="00EB5203" w:rsidRDefault="00EB5203" w:rsidP="00EB5203">
      <w:pPr>
        <w:pStyle w:val="HChG"/>
        <w:tabs>
          <w:tab w:val="clear" w:pos="851"/>
        </w:tabs>
        <w:ind w:left="567" w:right="0" w:firstLine="567"/>
      </w:pPr>
      <w:r>
        <w:t>Proposition</w:t>
      </w:r>
    </w:p>
    <w:p w:rsidR="00EB5203" w:rsidRDefault="00EB5203" w:rsidP="00EB5203">
      <w:pPr>
        <w:pStyle w:val="SingleTxtG"/>
      </w:pPr>
      <w:r>
        <w:t>6.</w:t>
      </w:r>
      <w:r>
        <w:tab/>
        <w:t>Au 9.2.2.9.1 a), remplacer «parties 1, 2, 5, 6, 7, 11, 15 ou 18» par: «parties 1, 2, 5, 6, 7, 11, 15, 18, 26 ou 28».</w:t>
      </w:r>
    </w:p>
    <w:p w:rsidR="00EB5203" w:rsidRDefault="00EB5203" w:rsidP="00EB5203">
      <w:pPr>
        <w:pStyle w:val="SingleTxtG"/>
      </w:pPr>
      <w:r>
        <w:t>7.</w:t>
      </w:r>
      <w:r>
        <w:tab/>
        <w:t>Au 9.7.8.2, remplacer «parties 1, 2, 5, 6, 7, 11 ou 18» par: «parties 1, 2, 5, 6, 7, 11, 18, 26 ou 28».</w:t>
      </w:r>
    </w:p>
    <w:p w:rsidR="008D688D" w:rsidRPr="008D688D" w:rsidRDefault="008D688D" w:rsidP="008D688D">
      <w:pPr>
        <w:spacing w:before="240"/>
        <w:ind w:left="1134" w:right="1134"/>
        <w:jc w:val="center"/>
        <w:rPr>
          <w:rFonts w:ascii="TimesNewRomanPSMT" w:hAnsi="TimesNewRomanPSMT" w:cs="TimesNewRomanPSMT"/>
          <w:u w:val="single"/>
          <w:lang w:eastAsia="fr-CH"/>
        </w:rPr>
      </w:pPr>
      <w:r>
        <w:rPr>
          <w:rFonts w:ascii="TimesNewRomanPSMT" w:hAnsi="TimesNewRomanPSMT" w:cs="TimesNewRomanPSMT"/>
          <w:u w:val="single"/>
          <w:lang w:eastAsia="fr-CH"/>
        </w:rPr>
        <w:tab/>
      </w:r>
      <w:r>
        <w:rPr>
          <w:rFonts w:ascii="TimesNewRomanPSMT" w:hAnsi="TimesNewRomanPSMT" w:cs="TimesNewRomanPSMT"/>
          <w:u w:val="single"/>
          <w:lang w:eastAsia="fr-CH"/>
        </w:rPr>
        <w:tab/>
      </w:r>
      <w:r>
        <w:rPr>
          <w:rFonts w:ascii="TimesNewRomanPSMT" w:hAnsi="TimesNewRomanPSMT" w:cs="TimesNewRomanPSMT"/>
          <w:u w:val="single"/>
          <w:lang w:eastAsia="fr-CH"/>
        </w:rPr>
        <w:tab/>
      </w:r>
    </w:p>
    <w:sectPr w:rsidR="008D688D" w:rsidRPr="008D688D" w:rsidSect="00DA7745">
      <w:headerReference w:type="even" r:id="rId29"/>
      <w:headerReference w:type="default" r:id="rId30"/>
      <w:footerReference w:type="even" r:id="rId31"/>
      <w:footerReference w:type="default" r:id="rId3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0AF" w:rsidRDefault="002650AF" w:rsidP="00F95C08">
      <w:pPr>
        <w:spacing w:line="240" w:lineRule="auto"/>
      </w:pPr>
    </w:p>
  </w:endnote>
  <w:endnote w:type="continuationSeparator" w:id="0">
    <w:p w:rsidR="002650AF" w:rsidRPr="00AC3823" w:rsidRDefault="002650AF" w:rsidP="00AC3823">
      <w:pPr>
        <w:pStyle w:val="Footer"/>
      </w:pPr>
    </w:p>
  </w:endnote>
  <w:endnote w:type="continuationNotice" w:id="1">
    <w:p w:rsidR="002650AF" w:rsidRDefault="002650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745" w:rsidRPr="00DA7745" w:rsidRDefault="00DA7745" w:rsidP="00DA7745">
    <w:pPr>
      <w:pStyle w:val="Footer"/>
      <w:tabs>
        <w:tab w:val="right" w:pos="9638"/>
      </w:tabs>
    </w:pPr>
    <w:r w:rsidRPr="00DA7745">
      <w:rPr>
        <w:b/>
        <w:sz w:val="18"/>
      </w:rPr>
      <w:fldChar w:fldCharType="begin"/>
    </w:r>
    <w:r w:rsidRPr="00DA7745">
      <w:rPr>
        <w:b/>
        <w:sz w:val="18"/>
      </w:rPr>
      <w:instrText xml:space="preserve"> PAGE  \* MERGEFORMAT </w:instrText>
    </w:r>
    <w:r w:rsidRPr="00DA7745">
      <w:rPr>
        <w:b/>
        <w:sz w:val="18"/>
      </w:rPr>
      <w:fldChar w:fldCharType="separate"/>
    </w:r>
    <w:r w:rsidR="00E95ABA">
      <w:rPr>
        <w:b/>
        <w:noProof/>
        <w:sz w:val="18"/>
      </w:rPr>
      <w:t>2</w:t>
    </w:r>
    <w:r w:rsidRPr="00DA774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817628"/>
      <w:docPartObj>
        <w:docPartGallery w:val="Page Numbers (Bottom of Page)"/>
        <w:docPartUnique/>
      </w:docPartObj>
    </w:sdtPr>
    <w:sdtEndPr>
      <w:rPr>
        <w:b/>
        <w:sz w:val="18"/>
        <w:szCs w:val="18"/>
      </w:rPr>
    </w:sdtEndPr>
    <w:sdtContent>
      <w:p w:rsidR="008A2657" w:rsidRPr="008A2657" w:rsidRDefault="008A2657">
        <w:pPr>
          <w:pStyle w:val="Footer"/>
          <w:jc w:val="right"/>
          <w:rPr>
            <w:b/>
            <w:sz w:val="18"/>
            <w:szCs w:val="18"/>
          </w:rPr>
        </w:pPr>
        <w:r w:rsidRPr="008A2657">
          <w:rPr>
            <w:b/>
            <w:sz w:val="18"/>
            <w:szCs w:val="18"/>
          </w:rPr>
          <w:fldChar w:fldCharType="begin"/>
        </w:r>
        <w:r w:rsidRPr="008A2657">
          <w:rPr>
            <w:b/>
            <w:sz w:val="18"/>
            <w:szCs w:val="18"/>
          </w:rPr>
          <w:instrText>PAGE   \* MERGEFORMAT</w:instrText>
        </w:r>
        <w:r w:rsidRPr="008A2657">
          <w:rPr>
            <w:b/>
            <w:sz w:val="18"/>
            <w:szCs w:val="18"/>
          </w:rPr>
          <w:fldChar w:fldCharType="separate"/>
        </w:r>
        <w:r w:rsidR="00E95ABA" w:rsidRPr="00E95ABA">
          <w:rPr>
            <w:b/>
            <w:noProof/>
            <w:sz w:val="18"/>
            <w:szCs w:val="18"/>
            <w:lang w:val="fr-FR"/>
          </w:rPr>
          <w:t>3</w:t>
        </w:r>
        <w:r w:rsidRPr="008A2657">
          <w:rP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0AF" w:rsidRPr="00AC3823" w:rsidRDefault="002650AF" w:rsidP="00AC3823">
      <w:pPr>
        <w:pStyle w:val="Footer"/>
        <w:tabs>
          <w:tab w:val="right" w:pos="2155"/>
        </w:tabs>
        <w:spacing w:after="80" w:line="240" w:lineRule="atLeast"/>
        <w:ind w:left="680"/>
        <w:rPr>
          <w:u w:val="single"/>
        </w:rPr>
      </w:pPr>
      <w:r>
        <w:rPr>
          <w:u w:val="single"/>
        </w:rPr>
        <w:tab/>
      </w:r>
    </w:p>
  </w:footnote>
  <w:footnote w:type="continuationSeparator" w:id="0">
    <w:p w:rsidR="002650AF" w:rsidRPr="00AC3823" w:rsidRDefault="002650AF" w:rsidP="00AC3823">
      <w:pPr>
        <w:pStyle w:val="Footer"/>
        <w:tabs>
          <w:tab w:val="right" w:pos="2155"/>
        </w:tabs>
        <w:spacing w:after="80" w:line="240" w:lineRule="atLeast"/>
        <w:ind w:left="680"/>
        <w:rPr>
          <w:u w:val="single"/>
        </w:rPr>
      </w:pPr>
      <w:r>
        <w:rPr>
          <w:u w:val="single"/>
        </w:rPr>
        <w:tab/>
      </w:r>
    </w:p>
  </w:footnote>
  <w:footnote w:type="continuationNotice" w:id="1">
    <w:p w:rsidR="002650AF" w:rsidRPr="00AC3823" w:rsidRDefault="002650AF">
      <w:pPr>
        <w:spacing w:line="240" w:lineRule="auto"/>
        <w:rPr>
          <w:sz w:val="2"/>
          <w:szCs w:val="2"/>
        </w:rPr>
      </w:pPr>
    </w:p>
  </w:footnote>
  <w:footnote w:id="2">
    <w:p w:rsidR="004F027A" w:rsidRPr="00DD3512" w:rsidRDefault="004F027A" w:rsidP="004F027A">
      <w:pPr>
        <w:pStyle w:val="FootnoteText"/>
        <w:tabs>
          <w:tab w:val="clear" w:pos="1021"/>
        </w:tabs>
        <w:kinsoku/>
        <w:overflowPunct/>
        <w:autoSpaceDE/>
        <w:autoSpaceDN/>
        <w:adjustRightInd/>
        <w:snapToGrid/>
        <w:ind w:left="1418" w:hanging="284"/>
        <w:jc w:val="both"/>
        <w:rPr>
          <w:lang w:val="fr-FR"/>
        </w:rPr>
      </w:pPr>
      <w:r w:rsidRPr="0087307F">
        <w:rPr>
          <w:rStyle w:val="FootnoteReference"/>
          <w:sz w:val="20"/>
        </w:rPr>
        <w:sym w:font="Symbol" w:char="F02A"/>
      </w:r>
      <w:r>
        <w:tab/>
      </w:r>
      <w:r>
        <w:rPr>
          <w:lang w:eastAsia="en-GB"/>
        </w:rPr>
        <w:t>Conformément au programme de travail du Comité des transports intérieurs pour 2016-2017 (ECE/TRANS/2016/28/Add.1, par. 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745" w:rsidRPr="00DA7745" w:rsidRDefault="00DA7745">
    <w:pPr>
      <w:pStyle w:val="Header"/>
    </w:pPr>
    <w:r>
      <w:t>ECE/TRANS/WP.15/201</w:t>
    </w:r>
    <w:r w:rsidR="00EB5203">
      <w:t>7</w:t>
    </w:r>
    <w:r>
      <w:t>/</w:t>
    </w:r>
    <w:r w:rsidR="00EB5203">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745" w:rsidRPr="00DA7745" w:rsidRDefault="00DA7745" w:rsidP="00DA7745">
    <w:pPr>
      <w:pStyle w:val="Header"/>
      <w:jc w:val="right"/>
    </w:pPr>
    <w:r>
      <w:t>ECE/TRANS/WP.15/201</w:t>
    </w:r>
    <w:r w:rsidR="00EB5203">
      <w:t>7</w:t>
    </w:r>
    <w:r>
      <w:t>/</w:t>
    </w:r>
    <w:r w:rsidR="00EB5203">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7780053A"/>
    <w:lvl w:ilvl="0" w:tplc="F9E0C3B2">
      <w:start w:val="1"/>
      <w:numFmt w:val="bullet"/>
      <w:lvlText w:val="•"/>
      <w:lvlJc w:val="left"/>
      <w:pPr>
        <w:tabs>
          <w:tab w:val="num" w:pos="1701"/>
        </w:tabs>
        <w:ind w:left="1701" w:hanging="170"/>
      </w:pPr>
      <w:rPr>
        <w:rFonts w:ascii="Times New Roman" w:hAnsi="Times New Roman" w:cs="Times New Roman" w:hint="default"/>
        <w:b w:val="0"/>
        <w:i w:val="0"/>
        <w:sz w:val="20"/>
        <w:lang w:val="fr-CH"/>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73"/>
    <w:rsid w:val="00017F94"/>
    <w:rsid w:val="00023842"/>
    <w:rsid w:val="000334F9"/>
    <w:rsid w:val="0006052F"/>
    <w:rsid w:val="0007796D"/>
    <w:rsid w:val="000B7790"/>
    <w:rsid w:val="000C376B"/>
    <w:rsid w:val="00111F2F"/>
    <w:rsid w:val="0014365E"/>
    <w:rsid w:val="00143C66"/>
    <w:rsid w:val="00176178"/>
    <w:rsid w:val="00185A1D"/>
    <w:rsid w:val="001F525A"/>
    <w:rsid w:val="002220FD"/>
    <w:rsid w:val="00222A9F"/>
    <w:rsid w:val="00223272"/>
    <w:rsid w:val="0024779E"/>
    <w:rsid w:val="00251867"/>
    <w:rsid w:val="00257168"/>
    <w:rsid w:val="002650AF"/>
    <w:rsid w:val="002744B8"/>
    <w:rsid w:val="002832AC"/>
    <w:rsid w:val="002D7C93"/>
    <w:rsid w:val="00305801"/>
    <w:rsid w:val="003916DE"/>
    <w:rsid w:val="003C17BE"/>
    <w:rsid w:val="004140B7"/>
    <w:rsid w:val="00427080"/>
    <w:rsid w:val="00441C3B"/>
    <w:rsid w:val="00446FE5"/>
    <w:rsid w:val="00452396"/>
    <w:rsid w:val="00460713"/>
    <w:rsid w:val="004837D8"/>
    <w:rsid w:val="004E468C"/>
    <w:rsid w:val="004F027A"/>
    <w:rsid w:val="005505B7"/>
    <w:rsid w:val="00573BE5"/>
    <w:rsid w:val="005861F8"/>
    <w:rsid w:val="00586ED3"/>
    <w:rsid w:val="00596AA9"/>
    <w:rsid w:val="005C045E"/>
    <w:rsid w:val="0071601D"/>
    <w:rsid w:val="007643B0"/>
    <w:rsid w:val="007663BB"/>
    <w:rsid w:val="007A62E6"/>
    <w:rsid w:val="007C3E6F"/>
    <w:rsid w:val="007F20FA"/>
    <w:rsid w:val="0080684C"/>
    <w:rsid w:val="00806B9F"/>
    <w:rsid w:val="00871C75"/>
    <w:rsid w:val="008776DC"/>
    <w:rsid w:val="008A2657"/>
    <w:rsid w:val="008B2513"/>
    <w:rsid w:val="008C0D21"/>
    <w:rsid w:val="008D688D"/>
    <w:rsid w:val="00922B83"/>
    <w:rsid w:val="009705C8"/>
    <w:rsid w:val="009C1CF4"/>
    <w:rsid w:val="009F6B74"/>
    <w:rsid w:val="00A20AFA"/>
    <w:rsid w:val="00A30353"/>
    <w:rsid w:val="00A42A4A"/>
    <w:rsid w:val="00A56A81"/>
    <w:rsid w:val="00AC3823"/>
    <w:rsid w:val="00AE323C"/>
    <w:rsid w:val="00AF0CB5"/>
    <w:rsid w:val="00B00181"/>
    <w:rsid w:val="00B00B0D"/>
    <w:rsid w:val="00B01BBD"/>
    <w:rsid w:val="00B30539"/>
    <w:rsid w:val="00B725C1"/>
    <w:rsid w:val="00B765F7"/>
    <w:rsid w:val="00BA0CA9"/>
    <w:rsid w:val="00C02897"/>
    <w:rsid w:val="00D105AA"/>
    <w:rsid w:val="00D3439C"/>
    <w:rsid w:val="00DA7745"/>
    <w:rsid w:val="00DB1831"/>
    <w:rsid w:val="00DD3BFD"/>
    <w:rsid w:val="00DE69CC"/>
    <w:rsid w:val="00DF6678"/>
    <w:rsid w:val="00E77F73"/>
    <w:rsid w:val="00E85C74"/>
    <w:rsid w:val="00E95ABA"/>
    <w:rsid w:val="00E9755E"/>
    <w:rsid w:val="00EA6547"/>
    <w:rsid w:val="00EB0173"/>
    <w:rsid w:val="00EB5203"/>
    <w:rsid w:val="00EC317B"/>
    <w:rsid w:val="00EF2E22"/>
    <w:rsid w:val="00F35BAF"/>
    <w:rsid w:val="00F660DF"/>
    <w:rsid w:val="00F94664"/>
    <w:rsid w:val="00F9573C"/>
    <w:rsid w:val="00F95C08"/>
    <w:rsid w:val="00FA383B"/>
    <w:rsid w:val="00FC3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1C5F61D"/>
  <w15:docId w15:val="{C52D33E8-170E-4436-8077-96B81953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A7745"/>
    <w:rPr>
      <w:rFonts w:ascii="Times New Roman" w:hAnsi="Times New Roman" w:cs="Times New Roman"/>
      <w:sz w:val="20"/>
      <w:szCs w:val="20"/>
      <w:lang w:eastAsia="en-US"/>
    </w:rPr>
  </w:style>
  <w:style w:type="character" w:customStyle="1" w:styleId="HChGChar">
    <w:name w:val="_ H _Ch_G Char"/>
    <w:link w:val="HChG"/>
    <w:rsid w:val="000C376B"/>
    <w:rPr>
      <w:rFonts w:ascii="Times New Roman" w:hAnsi="Times New Roman" w:cs="Times New Roman"/>
      <w:b/>
      <w:sz w:val="28"/>
      <w:lang w:val="fr-CH" w:eastAsia="en-US"/>
    </w:rPr>
  </w:style>
  <w:style w:type="character" w:customStyle="1" w:styleId="SingleTxtGCar">
    <w:name w:val="_ Single Txt_G Car"/>
    <w:rsid w:val="00EB5203"/>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ewer.afnor.org/Html/Display/_q3yyBRjTGw1/chapter/5/" TargetMode="External"/><Relationship Id="rId18" Type="http://schemas.openxmlformats.org/officeDocument/2006/relationships/hyperlink" Target="http://viewer.afnor.org/Html/Display/_q3yyBRjTGw1/chapter/5/" TargetMode="External"/><Relationship Id="rId26" Type="http://schemas.openxmlformats.org/officeDocument/2006/relationships/hyperlink" Target="http://viewer.afnor.org/Html/Display/_q3yyBRjTGw1/chapter/5/" TargetMode="External"/><Relationship Id="rId3" Type="http://schemas.openxmlformats.org/officeDocument/2006/relationships/styles" Target="styles.xml"/><Relationship Id="rId21" Type="http://schemas.openxmlformats.org/officeDocument/2006/relationships/hyperlink" Target="http://viewer.afnor.org/Html/Display/_q3yyBRjTGw1/chapter/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iewer.afnor.org/Html/Display/_q3yyBRjTGw1/chapter/5/" TargetMode="External"/><Relationship Id="rId17" Type="http://schemas.openxmlformats.org/officeDocument/2006/relationships/hyperlink" Target="http://viewer.afnor.org/Html/Display/_q3yyBRjTGw1/chapter/5/" TargetMode="External"/><Relationship Id="rId25" Type="http://schemas.openxmlformats.org/officeDocument/2006/relationships/hyperlink" Target="http://viewer.afnor.org/Html/Display/_q3yyBRjTGw1/chapter/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iewer.afnor.org/Html/Display/_q3yyBRjTGw1/chapter/5/" TargetMode="External"/><Relationship Id="rId20" Type="http://schemas.openxmlformats.org/officeDocument/2006/relationships/hyperlink" Target="http://viewer.afnor.org/Html/Display/_q3yyBRjTGw1/chapter/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ewer.afnor.org/Html/Display/_q3yyBRjTGw1/chapter/5/" TargetMode="External"/><Relationship Id="rId24" Type="http://schemas.openxmlformats.org/officeDocument/2006/relationships/hyperlink" Target="http://viewer.afnor.org/Html/Display/_q3yyBRjTGw1/chapter/5/"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viewer.afnor.org/Html/Display/_q3yyBRjTGw1/chapter/5/" TargetMode="External"/><Relationship Id="rId23" Type="http://schemas.openxmlformats.org/officeDocument/2006/relationships/hyperlink" Target="http://viewer.afnor.org/Html/Display/_q3yyBRjTGw1/chapter/5/" TargetMode="External"/><Relationship Id="rId28" Type="http://schemas.openxmlformats.org/officeDocument/2006/relationships/hyperlink" Target="http://viewer.afnor.org/Html/Display/_q3yyBRjTGw1/chapter/5/" TargetMode="External"/><Relationship Id="rId10" Type="http://schemas.openxmlformats.org/officeDocument/2006/relationships/hyperlink" Target="http://viewer.afnor.org/Html/Display/_q3yyBRjTGw1/chapter/5/" TargetMode="External"/><Relationship Id="rId19" Type="http://schemas.openxmlformats.org/officeDocument/2006/relationships/hyperlink" Target="http://viewer.afnor.org/Html/Display/_q3yyBRjTGw1/chapter/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iewer.afnor.org/Html/Display/_q3yyBRjTGw1/chapter/5/" TargetMode="External"/><Relationship Id="rId14" Type="http://schemas.openxmlformats.org/officeDocument/2006/relationships/hyperlink" Target="http://viewer.afnor.org/Html/Display/_q3yyBRjTGw1/chapter/5/" TargetMode="External"/><Relationship Id="rId22" Type="http://schemas.openxmlformats.org/officeDocument/2006/relationships/hyperlink" Target="http://viewer.afnor.org/Html/Display/_q3yyBRjTGw1/chapter/5/" TargetMode="External"/><Relationship Id="rId27" Type="http://schemas.openxmlformats.org/officeDocument/2006/relationships/hyperlink" Target="http://viewer.afnor.org/Html/Display/_q3yyBRjTGw1/chapter/5/" TargetMode="External"/><Relationship Id="rId30" Type="http://schemas.openxmlformats.org/officeDocument/2006/relationships/header" Target="header2.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D6151-DED2-46BC-932E-460836A8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755</Words>
  <Characters>4307</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ECE/TRANS/WP.15/2015/1</vt:lpstr>
      <vt:lpstr>ECE/TRANS/WP.15/2015/1</vt:lpstr>
    </vt:vector>
  </TitlesOfParts>
  <Company>DCM</Company>
  <LinksUpToDate>false</LinksUpToDate>
  <CharactersWithSpaces>5052</CharactersWithSpaces>
  <SharedDoc>false</SharedDoc>
  <HLinks>
    <vt:vector size="6" baseType="variant">
      <vt:variant>
        <vt:i4>5439535</vt:i4>
      </vt:variant>
      <vt:variant>
        <vt:i4>0</vt:i4>
      </vt:variant>
      <vt:variant>
        <vt:i4>0</vt:i4>
      </vt:variant>
      <vt:variant>
        <vt:i4>5</vt:i4>
      </vt:variant>
      <vt:variant>
        <vt:lpwstr>http://www.unece.org/trans/danger/publi/adr/adr_guidelines.html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ECE/TRANS/WP.15/2015/1</dc:title>
  <dc:subject>Final</dc:subject>
  <dc:creator>Crelier</dc:creator>
  <cp:lastModifiedBy>Christine Barrio-Champeau</cp:lastModifiedBy>
  <cp:revision>9</cp:revision>
  <cp:lastPrinted>2017-02-06T14:21:00Z</cp:lastPrinted>
  <dcterms:created xsi:type="dcterms:W3CDTF">2017-02-10T13:00:00Z</dcterms:created>
  <dcterms:modified xsi:type="dcterms:W3CDTF">2017-02-20T14:14:00Z</dcterms:modified>
</cp:coreProperties>
</file>