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F49B2" w:rsidP="00BF49B2">
            <w:pPr>
              <w:suppressAutoHyphens w:val="0"/>
              <w:spacing w:after="20"/>
              <w:jc w:val="right"/>
            </w:pPr>
            <w:r w:rsidRPr="00BF49B2">
              <w:rPr>
                <w:sz w:val="40"/>
              </w:rPr>
              <w:t>ECE</w:t>
            </w:r>
            <w:r>
              <w:t>/TRANS/WP.15/2017/6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F49B2" w:rsidP="00BF49B2">
            <w:pPr>
              <w:suppressAutoHyphens w:val="0"/>
              <w:spacing w:before="240" w:line="240" w:lineRule="exact"/>
            </w:pPr>
            <w:r>
              <w:t>Distr.: General</w:t>
            </w:r>
          </w:p>
          <w:p w:rsidR="00BF49B2" w:rsidRDefault="00BF49B2" w:rsidP="00BF49B2">
            <w:pPr>
              <w:suppressAutoHyphens w:val="0"/>
            </w:pPr>
            <w:r>
              <w:t>20 February 2017</w:t>
            </w:r>
          </w:p>
          <w:p w:rsidR="00BF49B2" w:rsidRDefault="00BF49B2" w:rsidP="00BF49B2">
            <w:pPr>
              <w:suppressAutoHyphens w:val="0"/>
            </w:pPr>
            <w:r w:rsidRPr="00BF49B2">
              <w:t>English</w:t>
            </w:r>
          </w:p>
          <w:p w:rsidR="00BF49B2" w:rsidRDefault="00BF49B2" w:rsidP="00BF49B2">
            <w:pPr>
              <w:suppressAutoHyphens w:val="0"/>
            </w:pPr>
            <w:r>
              <w:t>Original: French</w:t>
            </w:r>
          </w:p>
        </w:tc>
      </w:tr>
    </w:tbl>
    <w:p w:rsidR="00BF49B2" w:rsidRDefault="00BF49B2">
      <w:pPr>
        <w:spacing w:before="120"/>
        <w:rPr>
          <w:b/>
          <w:sz w:val="28"/>
          <w:szCs w:val="28"/>
        </w:rPr>
      </w:pPr>
      <w:r>
        <w:rPr>
          <w:b/>
          <w:sz w:val="28"/>
          <w:szCs w:val="28"/>
        </w:rPr>
        <w:t>Economic Commission for Europe</w:t>
      </w:r>
    </w:p>
    <w:p w:rsidR="00BF49B2" w:rsidRDefault="00BF49B2">
      <w:pPr>
        <w:spacing w:before="120"/>
        <w:rPr>
          <w:sz w:val="28"/>
          <w:szCs w:val="28"/>
        </w:rPr>
      </w:pPr>
      <w:r>
        <w:rPr>
          <w:sz w:val="28"/>
          <w:szCs w:val="28"/>
        </w:rPr>
        <w:t>Inland Transport Committee</w:t>
      </w:r>
    </w:p>
    <w:p w:rsidR="00BF49B2" w:rsidRDefault="00BF49B2" w:rsidP="00BF49B2">
      <w:pPr>
        <w:spacing w:before="120"/>
        <w:rPr>
          <w:b/>
          <w:sz w:val="24"/>
          <w:szCs w:val="24"/>
        </w:rPr>
      </w:pPr>
      <w:r>
        <w:rPr>
          <w:b/>
          <w:sz w:val="24"/>
          <w:szCs w:val="24"/>
        </w:rPr>
        <w:t xml:space="preserve">Working Party on the Transport of </w:t>
      </w:r>
      <w:r w:rsidRPr="00BF49B2">
        <w:rPr>
          <w:b/>
          <w:sz w:val="24"/>
          <w:szCs w:val="24"/>
        </w:rPr>
        <w:t>Dangerous Goods</w:t>
      </w:r>
    </w:p>
    <w:p w:rsidR="00BF49B2" w:rsidRPr="00BF49B2" w:rsidRDefault="00BF49B2" w:rsidP="00BF49B2">
      <w:pPr>
        <w:spacing w:before="120"/>
        <w:rPr>
          <w:b/>
          <w:bCs/>
        </w:rPr>
      </w:pPr>
      <w:r w:rsidRPr="00BF49B2">
        <w:rPr>
          <w:b/>
          <w:bCs/>
        </w:rPr>
        <w:t>102nd session</w:t>
      </w:r>
    </w:p>
    <w:p w:rsidR="00BF49B2" w:rsidRPr="008B51F0" w:rsidRDefault="00BF49B2" w:rsidP="00BF49B2">
      <w:r w:rsidRPr="008B51F0">
        <w:t>Geneva, 8-12 May 2017</w:t>
      </w:r>
    </w:p>
    <w:p w:rsidR="00BF49B2" w:rsidRPr="008B51F0" w:rsidRDefault="00BF49B2" w:rsidP="00BF49B2">
      <w:r w:rsidRPr="008B51F0">
        <w:t>Item 5 (b) of the provisional agenda</w:t>
      </w:r>
    </w:p>
    <w:p w:rsidR="00BF49B2" w:rsidRPr="00BF49B2" w:rsidRDefault="00BF49B2" w:rsidP="00BF49B2">
      <w:pPr>
        <w:rPr>
          <w:b/>
          <w:bCs/>
        </w:rPr>
      </w:pPr>
      <w:r w:rsidRPr="00BF49B2">
        <w:rPr>
          <w:b/>
          <w:bCs/>
        </w:rPr>
        <w:t>Proposals for amendments to annexes A and B of ADR:</w:t>
      </w:r>
    </w:p>
    <w:p w:rsidR="00BF49B2" w:rsidRPr="00BF49B2" w:rsidRDefault="00BF49B2" w:rsidP="00BF49B2">
      <w:pPr>
        <w:rPr>
          <w:b/>
          <w:bCs/>
        </w:rPr>
      </w:pPr>
      <w:r w:rsidRPr="00BF49B2">
        <w:rPr>
          <w:b/>
          <w:bCs/>
        </w:rPr>
        <w:t>Construction and approval of vehicles</w:t>
      </w:r>
    </w:p>
    <w:p w:rsidR="00BF49B2" w:rsidRPr="008B51F0" w:rsidRDefault="00BF49B2" w:rsidP="00C12B49">
      <w:pPr>
        <w:pStyle w:val="HChG"/>
      </w:pPr>
      <w:r w:rsidRPr="008B51F0">
        <w:tab/>
      </w:r>
      <w:r w:rsidRPr="008B51F0">
        <w:tab/>
        <w:t xml:space="preserve">Electrical equipment </w:t>
      </w:r>
      <w:r w:rsidR="00C12B49">
        <w:t>—</w:t>
      </w:r>
      <w:r w:rsidRPr="008B51F0">
        <w:t xml:space="preserve"> Application of 9.2.2.9.1</w:t>
      </w:r>
    </w:p>
    <w:p w:rsidR="00BF49B2" w:rsidRPr="008B51F0" w:rsidRDefault="00BF49B2" w:rsidP="00BF49B2">
      <w:pPr>
        <w:pStyle w:val="H1G"/>
      </w:pPr>
      <w:r w:rsidRPr="008B51F0">
        <w:tab/>
      </w:r>
      <w:r w:rsidRPr="008B51F0">
        <w:tab/>
        <w:t>Transmitted by the Government of France</w:t>
      </w:r>
      <w:r w:rsidRPr="00066F42">
        <w:rPr>
          <w:rStyle w:val="FootnoteReference"/>
          <w:b w:val="0"/>
          <w:bCs/>
          <w:sz w:val="20"/>
          <w:vertAlign w:val="baseline"/>
        </w:rPr>
        <w:footnoteReference w:customMarkFollows="1" w:id="1"/>
        <w:sym w:font="Symbol" w:char="F02A"/>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BF49B2" w:rsidTr="00BF49B2">
        <w:trPr>
          <w:jc w:val="center"/>
        </w:trPr>
        <w:tc>
          <w:tcPr>
            <w:tcW w:w="9637" w:type="dxa"/>
            <w:tcBorders>
              <w:bottom w:val="nil"/>
            </w:tcBorders>
          </w:tcPr>
          <w:p w:rsidR="00BF49B2" w:rsidRPr="00BF49B2" w:rsidRDefault="00BF49B2" w:rsidP="00BF49B2">
            <w:pPr>
              <w:tabs>
                <w:tab w:val="left" w:pos="255"/>
              </w:tabs>
              <w:suppressAutoHyphens w:val="0"/>
              <w:spacing w:before="240" w:after="120"/>
              <w:rPr>
                <w:sz w:val="24"/>
              </w:rPr>
            </w:pPr>
            <w:r>
              <w:tab/>
            </w:r>
            <w:r>
              <w:rPr>
                <w:i/>
                <w:sz w:val="24"/>
              </w:rPr>
              <w:t>Summary</w:t>
            </w:r>
          </w:p>
        </w:tc>
      </w:tr>
      <w:tr w:rsidR="00BF49B2" w:rsidTr="00EC084E">
        <w:trPr>
          <w:jc w:val="center"/>
        </w:trPr>
        <w:tc>
          <w:tcPr>
            <w:tcW w:w="9637" w:type="dxa"/>
            <w:tcBorders>
              <w:top w:val="nil"/>
              <w:bottom w:val="nil"/>
            </w:tcBorders>
            <w:shd w:val="clear" w:color="auto" w:fill="auto"/>
          </w:tcPr>
          <w:p w:rsidR="00BF49B2" w:rsidRDefault="00BF49B2" w:rsidP="00BF49B2">
            <w:pPr>
              <w:pStyle w:val="SingleTxtG"/>
              <w:ind w:left="2552" w:hanging="2268"/>
            </w:pPr>
            <w:r w:rsidRPr="00BF49B2">
              <w:rPr>
                <w:b/>
                <w:bCs/>
              </w:rPr>
              <w:t>Executive summary</w:t>
            </w:r>
            <w:r w:rsidRPr="00BF49B2">
              <w:t>:</w:t>
            </w:r>
            <w:r w:rsidRPr="00BF49B2">
              <w:tab/>
              <w:t>9.2.2.9.1 of ADR on permanently energized circuits refers to some parts of IEC 60079 that the equipment must comply with. The question is whether equipment referred to in part 14 of IEC 60079, under parts 26 or 28, can be used on vehicles of type FL.</w:t>
            </w:r>
          </w:p>
        </w:tc>
      </w:tr>
      <w:tr w:rsidR="00BF49B2" w:rsidTr="00EC084E">
        <w:trPr>
          <w:jc w:val="center"/>
        </w:trPr>
        <w:tc>
          <w:tcPr>
            <w:tcW w:w="9637" w:type="dxa"/>
            <w:tcBorders>
              <w:top w:val="nil"/>
              <w:bottom w:val="nil"/>
            </w:tcBorders>
            <w:shd w:val="clear" w:color="auto" w:fill="auto"/>
          </w:tcPr>
          <w:p w:rsidR="00BF49B2" w:rsidRDefault="00BF49B2" w:rsidP="00BF49B2">
            <w:pPr>
              <w:pStyle w:val="SingleTxtG"/>
              <w:ind w:left="2552" w:hanging="2268"/>
            </w:pPr>
            <w:r w:rsidRPr="00BF49B2">
              <w:rPr>
                <w:b/>
                <w:bCs/>
              </w:rPr>
              <w:t>Action to be taken</w:t>
            </w:r>
            <w:r w:rsidRPr="00BF49B2">
              <w:t>:</w:t>
            </w:r>
            <w:r w:rsidRPr="00BF49B2">
              <w:tab/>
              <w:t>Amen</w:t>
            </w:r>
            <w:r w:rsidR="00CD013A">
              <w:t>d 9.2.2.9.1 and 9.7.8.2 of ADR.</w:t>
            </w:r>
          </w:p>
        </w:tc>
      </w:tr>
      <w:tr w:rsidR="00BF49B2" w:rsidTr="00EC084E">
        <w:trPr>
          <w:jc w:val="center"/>
        </w:trPr>
        <w:tc>
          <w:tcPr>
            <w:tcW w:w="9637" w:type="dxa"/>
            <w:tcBorders>
              <w:top w:val="nil"/>
              <w:bottom w:val="nil"/>
            </w:tcBorders>
            <w:shd w:val="clear" w:color="auto" w:fill="auto"/>
          </w:tcPr>
          <w:p w:rsidR="00BF49B2" w:rsidRDefault="00BF49B2" w:rsidP="00BF49B2">
            <w:pPr>
              <w:pStyle w:val="SingleTxtG"/>
              <w:ind w:left="2552" w:hanging="2268"/>
            </w:pPr>
            <w:r w:rsidRPr="00BF49B2">
              <w:rPr>
                <w:b/>
                <w:bCs/>
              </w:rPr>
              <w:t>Reference documents</w:t>
            </w:r>
            <w:r w:rsidRPr="00BF49B2">
              <w:t>:</w:t>
            </w:r>
            <w:r w:rsidRPr="00BF49B2">
              <w:tab/>
              <w:t>ECE/TRANS/257</w:t>
            </w:r>
          </w:p>
        </w:tc>
      </w:tr>
      <w:tr w:rsidR="00BF49B2" w:rsidTr="00BF49B2">
        <w:trPr>
          <w:jc w:val="center"/>
        </w:trPr>
        <w:tc>
          <w:tcPr>
            <w:tcW w:w="9637" w:type="dxa"/>
            <w:tcBorders>
              <w:top w:val="nil"/>
            </w:tcBorders>
          </w:tcPr>
          <w:p w:rsidR="00BF49B2" w:rsidRDefault="00BF49B2" w:rsidP="00BF49B2">
            <w:pPr>
              <w:suppressAutoHyphens w:val="0"/>
            </w:pPr>
          </w:p>
        </w:tc>
      </w:tr>
    </w:tbl>
    <w:p w:rsidR="00BF49B2" w:rsidRPr="008B51F0" w:rsidRDefault="00BF49B2" w:rsidP="00C00556">
      <w:pPr>
        <w:pStyle w:val="HChG"/>
      </w:pPr>
      <w:r w:rsidRPr="008B51F0">
        <w:br w:type="page"/>
      </w:r>
      <w:r w:rsidR="00C00556">
        <w:lastRenderedPageBreak/>
        <w:tab/>
      </w:r>
      <w:r w:rsidR="00C00556">
        <w:tab/>
      </w:r>
      <w:r w:rsidRPr="008B51F0">
        <w:t>Introduction</w:t>
      </w:r>
    </w:p>
    <w:p w:rsidR="00BF49B2" w:rsidRPr="008B51F0" w:rsidRDefault="00BF49B2" w:rsidP="00C00556">
      <w:pPr>
        <w:pStyle w:val="SingleTxtG"/>
      </w:pPr>
      <w:r w:rsidRPr="008B51F0">
        <w:t>1.</w:t>
      </w:r>
      <w:r w:rsidRPr="008B51F0">
        <w:tab/>
        <w:t>9.2.2.9.1 of ADR on permanently energized circuits refers to some parts of IEC 60079 that the equipment must comply with.</w:t>
      </w:r>
    </w:p>
    <w:p w:rsidR="00BF49B2" w:rsidRPr="008B51F0" w:rsidRDefault="00BF49B2" w:rsidP="00C00556">
      <w:pPr>
        <w:pStyle w:val="SingleTxtG"/>
      </w:pPr>
      <w:r w:rsidRPr="008B51F0">
        <w:t>2.</w:t>
      </w:r>
      <w:r w:rsidRPr="008B51F0">
        <w:tab/>
        <w:t>IEC 60079, part 14, defines in 5.3 the relationship between equipment protection levels (EPLs) and zones: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91"/>
        <w:gridCol w:w="5979"/>
      </w:tblGrid>
      <w:tr w:rsidR="00C00556" w:rsidRPr="00C00556" w:rsidTr="00C00556">
        <w:trPr>
          <w:tblHeader/>
        </w:trPr>
        <w:tc>
          <w:tcPr>
            <w:tcW w:w="944" w:type="pct"/>
            <w:tcBorders>
              <w:top w:val="single" w:sz="4" w:space="0" w:color="auto"/>
              <w:bottom w:val="single" w:sz="12" w:space="0" w:color="auto"/>
            </w:tcBorders>
            <w:shd w:val="clear" w:color="auto" w:fill="auto"/>
            <w:vAlign w:val="bottom"/>
          </w:tcPr>
          <w:p w:rsidR="00BF49B2" w:rsidRPr="00C00556" w:rsidRDefault="00BF49B2" w:rsidP="00C00556">
            <w:pPr>
              <w:suppressAutoHyphens w:val="0"/>
              <w:spacing w:before="80" w:after="80" w:line="200" w:lineRule="exact"/>
              <w:ind w:right="113"/>
              <w:rPr>
                <w:i/>
                <w:sz w:val="16"/>
              </w:rPr>
            </w:pPr>
            <w:r w:rsidRPr="00C00556">
              <w:rPr>
                <w:i/>
                <w:sz w:val="16"/>
              </w:rPr>
              <w:t>Zone</w:t>
            </w:r>
          </w:p>
        </w:tc>
        <w:tc>
          <w:tcPr>
            <w:tcW w:w="4056" w:type="pct"/>
            <w:tcBorders>
              <w:top w:val="single" w:sz="4" w:space="0" w:color="auto"/>
              <w:bottom w:val="single" w:sz="12" w:space="0" w:color="auto"/>
            </w:tcBorders>
            <w:shd w:val="clear" w:color="auto" w:fill="auto"/>
            <w:vAlign w:val="bottom"/>
          </w:tcPr>
          <w:p w:rsidR="00BF49B2" w:rsidRPr="00C00556" w:rsidRDefault="00BF49B2" w:rsidP="00C00556">
            <w:pPr>
              <w:suppressAutoHyphens w:val="0"/>
              <w:spacing w:before="80" w:after="80" w:line="200" w:lineRule="exact"/>
              <w:ind w:right="113"/>
              <w:rPr>
                <w:i/>
                <w:sz w:val="16"/>
              </w:rPr>
            </w:pPr>
            <w:r w:rsidRPr="00C00556">
              <w:rPr>
                <w:i/>
                <w:sz w:val="16"/>
              </w:rPr>
              <w:t>Equipment protection levels (EPLs)</w:t>
            </w:r>
          </w:p>
        </w:tc>
      </w:tr>
      <w:tr w:rsidR="00C00556" w:rsidRPr="00C00556" w:rsidTr="00C00556">
        <w:tc>
          <w:tcPr>
            <w:tcW w:w="944" w:type="pct"/>
            <w:tcBorders>
              <w:top w:val="single" w:sz="12" w:space="0" w:color="auto"/>
            </w:tcBorders>
            <w:shd w:val="clear" w:color="auto" w:fill="auto"/>
          </w:tcPr>
          <w:p w:rsidR="00BF49B2" w:rsidRPr="00C00556" w:rsidRDefault="00BF49B2" w:rsidP="00C00556">
            <w:pPr>
              <w:suppressAutoHyphens w:val="0"/>
              <w:spacing w:before="40" w:after="120" w:line="220" w:lineRule="exact"/>
              <w:ind w:right="113"/>
            </w:pPr>
            <w:r w:rsidRPr="00C00556">
              <w:t>0</w:t>
            </w:r>
          </w:p>
        </w:tc>
        <w:tc>
          <w:tcPr>
            <w:tcW w:w="4056" w:type="pct"/>
            <w:tcBorders>
              <w:top w:val="single" w:sz="12" w:space="0" w:color="auto"/>
            </w:tcBorders>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Ga</w:t>
            </w:r>
            <w:r w:rsidRPr="00C00556">
              <w:t>”</w:t>
            </w:r>
          </w:p>
        </w:tc>
      </w:tr>
      <w:tr w:rsidR="00C00556" w:rsidRPr="00C00556" w:rsidTr="00C00556">
        <w:tc>
          <w:tcPr>
            <w:tcW w:w="944" w:type="pct"/>
            <w:shd w:val="clear" w:color="auto" w:fill="auto"/>
          </w:tcPr>
          <w:p w:rsidR="00BF49B2" w:rsidRPr="00C00556" w:rsidRDefault="00BF49B2" w:rsidP="00C00556">
            <w:pPr>
              <w:suppressAutoHyphens w:val="0"/>
              <w:spacing w:before="40" w:after="120" w:line="220" w:lineRule="exact"/>
              <w:ind w:right="113"/>
            </w:pPr>
            <w:r w:rsidRPr="00C00556">
              <w:t>1</w:t>
            </w:r>
          </w:p>
        </w:tc>
        <w:tc>
          <w:tcPr>
            <w:tcW w:w="4056" w:type="pct"/>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Ga</w:t>
            </w:r>
            <w:r w:rsidRPr="00C00556">
              <w:t>”</w:t>
            </w:r>
            <w:r w:rsidR="00BF49B2" w:rsidRPr="00C00556">
              <w:t xml:space="preserve"> or </w:t>
            </w:r>
            <w:r w:rsidRPr="00C00556">
              <w:t>“</w:t>
            </w:r>
            <w:r w:rsidR="00BF49B2" w:rsidRPr="00C00556">
              <w:t>Gb</w:t>
            </w:r>
            <w:r w:rsidRPr="00C00556">
              <w:t>”</w:t>
            </w:r>
          </w:p>
        </w:tc>
      </w:tr>
      <w:tr w:rsidR="00C00556" w:rsidRPr="00C00556" w:rsidTr="00C00556">
        <w:tc>
          <w:tcPr>
            <w:tcW w:w="944" w:type="pct"/>
            <w:shd w:val="clear" w:color="auto" w:fill="auto"/>
          </w:tcPr>
          <w:p w:rsidR="00BF49B2" w:rsidRPr="00C00556" w:rsidRDefault="00BF49B2" w:rsidP="00C00556">
            <w:pPr>
              <w:suppressAutoHyphens w:val="0"/>
              <w:spacing w:before="40" w:after="120" w:line="220" w:lineRule="exact"/>
              <w:ind w:right="113"/>
            </w:pPr>
            <w:r w:rsidRPr="00C00556">
              <w:t>2</w:t>
            </w:r>
          </w:p>
        </w:tc>
        <w:tc>
          <w:tcPr>
            <w:tcW w:w="4056" w:type="pct"/>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Ga</w:t>
            </w:r>
            <w:r w:rsidRPr="00C00556">
              <w:t>”</w:t>
            </w:r>
            <w:r w:rsidR="00BF49B2" w:rsidRPr="00C00556">
              <w:t xml:space="preserve">, </w:t>
            </w:r>
            <w:r w:rsidRPr="00C00556">
              <w:t>“</w:t>
            </w:r>
            <w:r w:rsidR="00BF49B2" w:rsidRPr="00C00556">
              <w:t>Gb</w:t>
            </w:r>
            <w:r w:rsidRPr="00C00556">
              <w:t>”</w:t>
            </w:r>
            <w:r w:rsidR="00BF49B2" w:rsidRPr="00C00556">
              <w:t xml:space="preserve"> or </w:t>
            </w:r>
            <w:r w:rsidRPr="00C00556">
              <w:t>“</w:t>
            </w:r>
            <w:r w:rsidR="00BF49B2" w:rsidRPr="00C00556">
              <w:t>Gc</w:t>
            </w:r>
            <w:r w:rsidRPr="00C00556">
              <w:t>”</w:t>
            </w:r>
          </w:p>
        </w:tc>
      </w:tr>
    </w:tbl>
    <w:p w:rsidR="00BF49B2" w:rsidRPr="008B51F0" w:rsidRDefault="00BF49B2" w:rsidP="00C00556">
      <w:pPr>
        <w:pStyle w:val="SingleTxtG"/>
        <w:spacing w:before="240" w:after="240"/>
      </w:pPr>
      <w:r w:rsidRPr="008B51F0">
        <w:t>and in 5.4.1 the relationship between EPLs and types of protection, as shown in the following excerpt from Table 2:</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68"/>
        <w:gridCol w:w="3665"/>
        <w:gridCol w:w="1152"/>
        <w:gridCol w:w="1885"/>
      </w:tblGrid>
      <w:tr w:rsidR="00C00556" w:rsidRPr="00C00556" w:rsidTr="00C00556">
        <w:trPr>
          <w:tblHeader/>
        </w:trPr>
        <w:tc>
          <w:tcPr>
            <w:tcW w:w="638" w:type="dxa"/>
            <w:tcBorders>
              <w:top w:val="single" w:sz="4" w:space="0" w:color="auto"/>
              <w:bottom w:val="single" w:sz="12" w:space="0" w:color="auto"/>
            </w:tcBorders>
            <w:shd w:val="clear" w:color="auto" w:fill="auto"/>
            <w:vAlign w:val="bottom"/>
          </w:tcPr>
          <w:p w:rsidR="00BF49B2" w:rsidRPr="00C00556" w:rsidRDefault="00BF49B2" w:rsidP="00C00556">
            <w:pPr>
              <w:suppressAutoHyphens w:val="0"/>
              <w:spacing w:before="80" w:after="80" w:line="200" w:lineRule="exact"/>
              <w:ind w:right="113"/>
              <w:rPr>
                <w:i/>
                <w:sz w:val="16"/>
              </w:rPr>
            </w:pPr>
            <w:r w:rsidRPr="00C00556">
              <w:rPr>
                <w:i/>
                <w:sz w:val="16"/>
              </w:rPr>
              <w:t>EPL</w:t>
            </w:r>
          </w:p>
        </w:tc>
        <w:tc>
          <w:tcPr>
            <w:tcW w:w="3500" w:type="dxa"/>
            <w:tcBorders>
              <w:top w:val="single" w:sz="4" w:space="0" w:color="auto"/>
              <w:bottom w:val="single" w:sz="12" w:space="0" w:color="auto"/>
            </w:tcBorders>
            <w:shd w:val="clear" w:color="auto" w:fill="auto"/>
            <w:vAlign w:val="bottom"/>
          </w:tcPr>
          <w:p w:rsidR="00BF49B2" w:rsidRPr="00C00556" w:rsidRDefault="00BF49B2" w:rsidP="00C00556">
            <w:pPr>
              <w:suppressAutoHyphens w:val="0"/>
              <w:spacing w:before="80" w:after="80" w:line="200" w:lineRule="exact"/>
              <w:ind w:right="113"/>
              <w:rPr>
                <w:i/>
                <w:sz w:val="16"/>
              </w:rPr>
            </w:pPr>
            <w:r w:rsidRPr="00C00556">
              <w:rPr>
                <w:i/>
                <w:sz w:val="16"/>
              </w:rPr>
              <w:t>Type of protection</w:t>
            </w:r>
          </w:p>
        </w:tc>
        <w:tc>
          <w:tcPr>
            <w:tcW w:w="1100" w:type="dxa"/>
            <w:tcBorders>
              <w:top w:val="single" w:sz="4" w:space="0" w:color="auto"/>
              <w:bottom w:val="single" w:sz="12" w:space="0" w:color="auto"/>
            </w:tcBorders>
            <w:shd w:val="clear" w:color="auto" w:fill="auto"/>
            <w:vAlign w:val="bottom"/>
          </w:tcPr>
          <w:p w:rsidR="00BF49B2" w:rsidRPr="00C00556" w:rsidRDefault="00BF49B2" w:rsidP="00C00556">
            <w:pPr>
              <w:suppressAutoHyphens w:val="0"/>
              <w:spacing w:before="80" w:after="80" w:line="200" w:lineRule="exact"/>
              <w:ind w:right="113"/>
              <w:rPr>
                <w:i/>
                <w:sz w:val="16"/>
              </w:rPr>
            </w:pPr>
            <w:r w:rsidRPr="00C00556">
              <w:rPr>
                <w:i/>
                <w:sz w:val="16"/>
              </w:rPr>
              <w:t>Code</w:t>
            </w:r>
          </w:p>
        </w:tc>
        <w:tc>
          <w:tcPr>
            <w:tcW w:w="1800" w:type="dxa"/>
            <w:tcBorders>
              <w:top w:val="single" w:sz="4" w:space="0" w:color="auto"/>
              <w:bottom w:val="single" w:sz="12" w:space="0" w:color="auto"/>
            </w:tcBorders>
            <w:shd w:val="clear" w:color="auto" w:fill="auto"/>
            <w:vAlign w:val="bottom"/>
          </w:tcPr>
          <w:p w:rsidR="00BF49B2" w:rsidRPr="00C00556" w:rsidRDefault="00BF49B2" w:rsidP="00C00556">
            <w:pPr>
              <w:suppressAutoHyphens w:val="0"/>
              <w:spacing w:before="80" w:after="80" w:line="200" w:lineRule="exact"/>
              <w:ind w:right="113"/>
              <w:rPr>
                <w:i/>
                <w:sz w:val="16"/>
              </w:rPr>
            </w:pPr>
            <w:r w:rsidRPr="00C00556">
              <w:rPr>
                <w:i/>
                <w:sz w:val="16"/>
              </w:rPr>
              <w:t>According to</w:t>
            </w:r>
          </w:p>
        </w:tc>
      </w:tr>
      <w:tr w:rsidR="00C00556" w:rsidRPr="00C00556" w:rsidTr="00C00556">
        <w:tc>
          <w:tcPr>
            <w:tcW w:w="638" w:type="dxa"/>
            <w:vMerge w:val="restart"/>
            <w:tcBorders>
              <w:top w:val="single" w:sz="12" w:space="0" w:color="auto"/>
            </w:tcBorders>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Ga</w:t>
            </w:r>
            <w:r w:rsidRPr="00C00556">
              <w:t>”</w:t>
            </w:r>
          </w:p>
        </w:tc>
        <w:tc>
          <w:tcPr>
            <w:tcW w:w="3500" w:type="dxa"/>
            <w:tcBorders>
              <w:top w:val="single" w:sz="12" w:space="0" w:color="auto"/>
            </w:tcBorders>
            <w:shd w:val="clear" w:color="auto" w:fill="auto"/>
          </w:tcPr>
          <w:p w:rsidR="00BF49B2" w:rsidRPr="00C00556" w:rsidRDefault="00BF49B2" w:rsidP="00C00556">
            <w:pPr>
              <w:suppressAutoHyphens w:val="0"/>
              <w:spacing w:before="40" w:after="120" w:line="220" w:lineRule="exact"/>
              <w:ind w:right="113"/>
            </w:pPr>
            <w:r w:rsidRPr="00C00556">
              <w:t>Intrinsically safe</w:t>
            </w:r>
          </w:p>
        </w:tc>
        <w:tc>
          <w:tcPr>
            <w:tcW w:w="1100" w:type="dxa"/>
            <w:tcBorders>
              <w:top w:val="single" w:sz="12" w:space="0" w:color="auto"/>
            </w:tcBorders>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ia</w:t>
            </w:r>
            <w:r w:rsidRPr="00C00556">
              <w:t>”</w:t>
            </w:r>
          </w:p>
        </w:tc>
        <w:tc>
          <w:tcPr>
            <w:tcW w:w="1800" w:type="dxa"/>
            <w:tcBorders>
              <w:top w:val="single" w:sz="12" w:space="0" w:color="auto"/>
            </w:tcBorders>
            <w:shd w:val="clear" w:color="auto" w:fill="auto"/>
          </w:tcPr>
          <w:p w:rsidR="00BF49B2" w:rsidRPr="00C00556" w:rsidRDefault="00D95960" w:rsidP="00C00556">
            <w:pPr>
              <w:suppressAutoHyphens w:val="0"/>
              <w:spacing w:before="40" w:after="120" w:line="220" w:lineRule="exact"/>
              <w:ind w:right="113"/>
            </w:pPr>
            <w:hyperlink r:id="rId9" w:history="1">
              <w:r w:rsidR="00BF49B2" w:rsidRPr="00C00556">
                <w:t>IEC 60079-11</w:t>
              </w:r>
            </w:hyperlink>
            <w:r w:rsidR="00BF49B2" w:rsidRPr="00C00556">
              <w:t xml:space="preserve"> </w:t>
            </w:r>
          </w:p>
        </w:tc>
      </w:tr>
      <w:tr w:rsidR="00C00556" w:rsidRPr="00C00556" w:rsidTr="00C00556">
        <w:tc>
          <w:tcPr>
            <w:tcW w:w="638" w:type="dxa"/>
            <w:vMerge/>
            <w:shd w:val="clear" w:color="auto" w:fill="auto"/>
          </w:tcPr>
          <w:p w:rsidR="00BF49B2" w:rsidRPr="00C00556" w:rsidRDefault="00BF49B2" w:rsidP="00C00556">
            <w:pPr>
              <w:suppressAutoHyphens w:val="0"/>
              <w:spacing w:before="40" w:after="120" w:line="220" w:lineRule="exact"/>
              <w:ind w:right="113"/>
            </w:pPr>
          </w:p>
        </w:tc>
        <w:tc>
          <w:tcPr>
            <w:tcW w:w="3500" w:type="dxa"/>
            <w:shd w:val="clear" w:color="auto" w:fill="auto"/>
          </w:tcPr>
          <w:p w:rsidR="00BF49B2" w:rsidRPr="00C00556" w:rsidRDefault="00BF49B2" w:rsidP="00C00556">
            <w:pPr>
              <w:suppressAutoHyphens w:val="0"/>
              <w:spacing w:before="40" w:after="120" w:line="220" w:lineRule="exact"/>
              <w:ind w:right="113"/>
            </w:pPr>
            <w:r w:rsidRPr="00C00556">
              <w:t>Encapsulation</w:t>
            </w:r>
          </w:p>
        </w:tc>
        <w:tc>
          <w:tcPr>
            <w:tcW w:w="1100" w:type="dxa"/>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ma</w:t>
            </w:r>
            <w:r w:rsidRPr="00C00556">
              <w:t>”</w:t>
            </w:r>
          </w:p>
        </w:tc>
        <w:tc>
          <w:tcPr>
            <w:tcW w:w="1800" w:type="dxa"/>
            <w:shd w:val="clear" w:color="auto" w:fill="auto"/>
          </w:tcPr>
          <w:p w:rsidR="00BF49B2" w:rsidRPr="00C00556" w:rsidRDefault="00D95960" w:rsidP="00C00556">
            <w:pPr>
              <w:suppressAutoHyphens w:val="0"/>
              <w:spacing w:before="40" w:after="120" w:line="220" w:lineRule="exact"/>
              <w:ind w:right="113"/>
            </w:pPr>
            <w:hyperlink r:id="rId10" w:history="1">
              <w:r w:rsidR="00BF49B2" w:rsidRPr="00C00556">
                <w:t>IEC 60079-18</w:t>
              </w:r>
            </w:hyperlink>
            <w:r w:rsidR="00BF49B2" w:rsidRPr="00C00556">
              <w:t xml:space="preserve"> </w:t>
            </w:r>
          </w:p>
        </w:tc>
      </w:tr>
      <w:tr w:rsidR="00C00556" w:rsidRPr="00C00556" w:rsidTr="00C00556">
        <w:tc>
          <w:tcPr>
            <w:tcW w:w="638" w:type="dxa"/>
            <w:vMerge/>
            <w:shd w:val="clear" w:color="auto" w:fill="auto"/>
          </w:tcPr>
          <w:p w:rsidR="00BF49B2" w:rsidRPr="00C00556" w:rsidRDefault="00BF49B2" w:rsidP="00C00556">
            <w:pPr>
              <w:suppressAutoHyphens w:val="0"/>
              <w:spacing w:before="40" w:after="120" w:line="220" w:lineRule="exact"/>
              <w:ind w:right="113"/>
            </w:pPr>
          </w:p>
        </w:tc>
        <w:tc>
          <w:tcPr>
            <w:tcW w:w="3500" w:type="dxa"/>
            <w:shd w:val="clear" w:color="auto" w:fill="auto"/>
          </w:tcPr>
          <w:p w:rsidR="00BF49B2" w:rsidRPr="00C00556" w:rsidRDefault="00BF49B2" w:rsidP="00C00556">
            <w:pPr>
              <w:suppressAutoHyphens w:val="0"/>
              <w:spacing w:before="40" w:after="120" w:line="220" w:lineRule="exact"/>
              <w:ind w:right="113"/>
            </w:pPr>
            <w:r w:rsidRPr="00C00556">
              <w:t xml:space="preserve">Two independent types of protection, each meeting EPL </w:t>
            </w:r>
            <w:r w:rsidR="00C00556" w:rsidRPr="00C00556">
              <w:t>“</w:t>
            </w:r>
            <w:r w:rsidRPr="00C00556">
              <w:t>Gb</w:t>
            </w:r>
            <w:r w:rsidR="00C00556" w:rsidRPr="00C00556">
              <w:t>”</w:t>
            </w:r>
          </w:p>
        </w:tc>
        <w:tc>
          <w:tcPr>
            <w:tcW w:w="1100" w:type="dxa"/>
            <w:shd w:val="clear" w:color="auto" w:fill="auto"/>
          </w:tcPr>
          <w:p w:rsidR="00BF49B2" w:rsidRPr="00C00556" w:rsidRDefault="00BF49B2" w:rsidP="00C00556">
            <w:pPr>
              <w:suppressAutoHyphens w:val="0"/>
              <w:spacing w:before="40" w:after="120" w:line="220" w:lineRule="exact"/>
              <w:ind w:right="113"/>
            </w:pPr>
          </w:p>
        </w:tc>
        <w:tc>
          <w:tcPr>
            <w:tcW w:w="1800" w:type="dxa"/>
            <w:shd w:val="clear" w:color="auto" w:fill="auto"/>
          </w:tcPr>
          <w:p w:rsidR="00BF49B2" w:rsidRPr="00C00556" w:rsidRDefault="00D95960" w:rsidP="00C00556">
            <w:pPr>
              <w:suppressAutoHyphens w:val="0"/>
              <w:spacing w:before="40" w:after="120" w:line="220" w:lineRule="exact"/>
              <w:ind w:right="113"/>
            </w:pPr>
            <w:hyperlink r:id="rId11" w:history="1">
              <w:r w:rsidR="00BF49B2" w:rsidRPr="00C00556">
                <w:t>IEC 60079-26</w:t>
              </w:r>
            </w:hyperlink>
            <w:r w:rsidR="00BF49B2" w:rsidRPr="00C00556">
              <w:t xml:space="preserve"> </w:t>
            </w:r>
          </w:p>
        </w:tc>
      </w:tr>
      <w:tr w:rsidR="00C00556" w:rsidRPr="00C00556" w:rsidTr="00C00556">
        <w:tc>
          <w:tcPr>
            <w:tcW w:w="638" w:type="dxa"/>
            <w:vMerge/>
            <w:shd w:val="clear" w:color="auto" w:fill="auto"/>
          </w:tcPr>
          <w:p w:rsidR="00BF49B2" w:rsidRPr="00C00556" w:rsidRDefault="00BF49B2" w:rsidP="00C00556">
            <w:pPr>
              <w:suppressAutoHyphens w:val="0"/>
              <w:spacing w:before="40" w:after="120" w:line="220" w:lineRule="exact"/>
              <w:ind w:right="113"/>
            </w:pPr>
          </w:p>
        </w:tc>
        <w:tc>
          <w:tcPr>
            <w:tcW w:w="3500" w:type="dxa"/>
            <w:shd w:val="clear" w:color="auto" w:fill="auto"/>
          </w:tcPr>
          <w:p w:rsidR="00BF49B2" w:rsidRPr="00C00556" w:rsidRDefault="00BF49B2" w:rsidP="00C00556">
            <w:pPr>
              <w:suppressAutoHyphens w:val="0"/>
              <w:spacing w:before="40" w:after="120" w:line="220" w:lineRule="exact"/>
              <w:ind w:right="113"/>
            </w:pPr>
            <w:r w:rsidRPr="00C00556">
              <w:t>Protection of equipment and transmission systems using optical radiation</w:t>
            </w:r>
          </w:p>
        </w:tc>
        <w:tc>
          <w:tcPr>
            <w:tcW w:w="1100" w:type="dxa"/>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op is</w:t>
            </w:r>
            <w:r w:rsidRPr="00C00556">
              <w:t>”</w:t>
            </w:r>
          </w:p>
        </w:tc>
        <w:tc>
          <w:tcPr>
            <w:tcW w:w="1800" w:type="dxa"/>
            <w:shd w:val="clear" w:color="auto" w:fill="auto"/>
          </w:tcPr>
          <w:p w:rsidR="00BF49B2" w:rsidRPr="00C00556" w:rsidRDefault="00D95960" w:rsidP="00C00556">
            <w:pPr>
              <w:suppressAutoHyphens w:val="0"/>
              <w:spacing w:before="40" w:after="120" w:line="220" w:lineRule="exact"/>
              <w:ind w:right="113"/>
            </w:pPr>
            <w:hyperlink r:id="rId12" w:history="1">
              <w:r w:rsidR="00BF49B2" w:rsidRPr="00C00556">
                <w:t>IEC 60079-28</w:t>
              </w:r>
            </w:hyperlink>
            <w:r w:rsidR="00BF49B2" w:rsidRPr="00C00556">
              <w:t xml:space="preserve"> </w:t>
            </w:r>
          </w:p>
        </w:tc>
      </w:tr>
      <w:tr w:rsidR="00C00556" w:rsidRPr="00C00556" w:rsidTr="00C00556">
        <w:tc>
          <w:tcPr>
            <w:tcW w:w="638" w:type="dxa"/>
            <w:vMerge w:val="restart"/>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Gb</w:t>
            </w:r>
            <w:r w:rsidRPr="00C00556">
              <w:t>”</w:t>
            </w:r>
          </w:p>
        </w:tc>
        <w:tc>
          <w:tcPr>
            <w:tcW w:w="3500" w:type="dxa"/>
            <w:shd w:val="clear" w:color="auto" w:fill="auto"/>
          </w:tcPr>
          <w:p w:rsidR="00BF49B2" w:rsidRPr="00C00556" w:rsidRDefault="00BF49B2" w:rsidP="00C00556">
            <w:pPr>
              <w:suppressAutoHyphens w:val="0"/>
              <w:spacing w:before="40" w:after="120" w:line="220" w:lineRule="exact"/>
              <w:ind w:right="113"/>
            </w:pPr>
            <w:r w:rsidRPr="00C00556">
              <w:t>Flameproof enclosures</w:t>
            </w:r>
          </w:p>
        </w:tc>
        <w:tc>
          <w:tcPr>
            <w:tcW w:w="1100" w:type="dxa"/>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d</w:t>
            </w:r>
            <w:r w:rsidRPr="00C00556">
              <w:t>”</w:t>
            </w:r>
          </w:p>
        </w:tc>
        <w:tc>
          <w:tcPr>
            <w:tcW w:w="1800" w:type="dxa"/>
            <w:shd w:val="clear" w:color="auto" w:fill="auto"/>
          </w:tcPr>
          <w:p w:rsidR="00BF49B2" w:rsidRPr="00C00556" w:rsidRDefault="00D95960" w:rsidP="00C00556">
            <w:pPr>
              <w:suppressAutoHyphens w:val="0"/>
              <w:spacing w:before="40" w:after="120" w:line="220" w:lineRule="exact"/>
              <w:ind w:right="113"/>
            </w:pPr>
            <w:hyperlink r:id="rId13" w:history="1">
              <w:r w:rsidR="00BF49B2" w:rsidRPr="00C00556">
                <w:t>IEC 60079-1</w:t>
              </w:r>
            </w:hyperlink>
            <w:r w:rsidR="00BF49B2" w:rsidRPr="00C00556">
              <w:t xml:space="preserve"> </w:t>
            </w:r>
          </w:p>
        </w:tc>
      </w:tr>
      <w:tr w:rsidR="00C00556" w:rsidRPr="00C00556" w:rsidTr="00C00556">
        <w:tc>
          <w:tcPr>
            <w:tcW w:w="638" w:type="dxa"/>
            <w:vMerge/>
            <w:shd w:val="clear" w:color="auto" w:fill="auto"/>
          </w:tcPr>
          <w:p w:rsidR="00BF49B2" w:rsidRPr="00C00556" w:rsidRDefault="00BF49B2" w:rsidP="00C00556">
            <w:pPr>
              <w:suppressAutoHyphens w:val="0"/>
              <w:spacing w:before="40" w:after="120" w:line="220" w:lineRule="exact"/>
              <w:ind w:right="113"/>
            </w:pPr>
          </w:p>
        </w:tc>
        <w:tc>
          <w:tcPr>
            <w:tcW w:w="3500" w:type="dxa"/>
            <w:shd w:val="clear" w:color="auto" w:fill="auto"/>
          </w:tcPr>
          <w:p w:rsidR="00BF49B2" w:rsidRPr="00C00556" w:rsidRDefault="00BF49B2" w:rsidP="00C00556">
            <w:pPr>
              <w:suppressAutoHyphens w:val="0"/>
              <w:spacing w:before="40" w:after="120" w:line="220" w:lineRule="exact"/>
              <w:ind w:right="113"/>
            </w:pPr>
            <w:r w:rsidRPr="00C00556">
              <w:t>Increased safe</w:t>
            </w:r>
          </w:p>
        </w:tc>
        <w:tc>
          <w:tcPr>
            <w:tcW w:w="1100" w:type="dxa"/>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e</w:t>
            </w:r>
            <w:r w:rsidRPr="00C00556">
              <w:t>”</w:t>
            </w:r>
          </w:p>
        </w:tc>
        <w:tc>
          <w:tcPr>
            <w:tcW w:w="1800" w:type="dxa"/>
            <w:shd w:val="clear" w:color="auto" w:fill="auto"/>
          </w:tcPr>
          <w:p w:rsidR="00BF49B2" w:rsidRPr="00C00556" w:rsidRDefault="00D95960" w:rsidP="00C00556">
            <w:pPr>
              <w:suppressAutoHyphens w:val="0"/>
              <w:spacing w:before="40" w:after="120" w:line="220" w:lineRule="exact"/>
              <w:ind w:right="113"/>
            </w:pPr>
            <w:hyperlink r:id="rId14" w:history="1">
              <w:r w:rsidR="00BF49B2" w:rsidRPr="00C00556">
                <w:t>IEC 60079-7</w:t>
              </w:r>
            </w:hyperlink>
            <w:r w:rsidR="00BF49B2" w:rsidRPr="00C00556">
              <w:t xml:space="preserve"> </w:t>
            </w:r>
          </w:p>
        </w:tc>
      </w:tr>
      <w:tr w:rsidR="00C00556" w:rsidRPr="00C00556" w:rsidTr="00C00556">
        <w:tc>
          <w:tcPr>
            <w:tcW w:w="638" w:type="dxa"/>
            <w:vMerge/>
            <w:shd w:val="clear" w:color="auto" w:fill="auto"/>
          </w:tcPr>
          <w:p w:rsidR="00BF49B2" w:rsidRPr="00C00556" w:rsidRDefault="00BF49B2" w:rsidP="00C00556">
            <w:pPr>
              <w:suppressAutoHyphens w:val="0"/>
              <w:spacing w:before="40" w:after="120" w:line="220" w:lineRule="exact"/>
              <w:ind w:right="113"/>
            </w:pPr>
          </w:p>
        </w:tc>
        <w:tc>
          <w:tcPr>
            <w:tcW w:w="3500" w:type="dxa"/>
            <w:shd w:val="clear" w:color="auto" w:fill="auto"/>
          </w:tcPr>
          <w:p w:rsidR="00BF49B2" w:rsidRPr="00C00556" w:rsidRDefault="00BF49B2" w:rsidP="00C00556">
            <w:pPr>
              <w:suppressAutoHyphens w:val="0"/>
              <w:spacing w:before="40" w:after="120" w:line="220" w:lineRule="exact"/>
              <w:ind w:right="113"/>
            </w:pPr>
            <w:r w:rsidRPr="00C00556">
              <w:t>Intrinsically safe</w:t>
            </w:r>
          </w:p>
        </w:tc>
        <w:tc>
          <w:tcPr>
            <w:tcW w:w="1100" w:type="dxa"/>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ib</w:t>
            </w:r>
            <w:r w:rsidRPr="00C00556">
              <w:t>”</w:t>
            </w:r>
          </w:p>
        </w:tc>
        <w:tc>
          <w:tcPr>
            <w:tcW w:w="1800" w:type="dxa"/>
            <w:shd w:val="clear" w:color="auto" w:fill="auto"/>
          </w:tcPr>
          <w:p w:rsidR="00BF49B2" w:rsidRPr="00C00556" w:rsidRDefault="00D95960" w:rsidP="00C00556">
            <w:pPr>
              <w:suppressAutoHyphens w:val="0"/>
              <w:spacing w:before="40" w:after="120" w:line="220" w:lineRule="exact"/>
              <w:ind w:right="113"/>
            </w:pPr>
            <w:hyperlink r:id="rId15" w:history="1">
              <w:r w:rsidR="00BF49B2" w:rsidRPr="00C00556">
                <w:t>IEC 60079-11</w:t>
              </w:r>
            </w:hyperlink>
            <w:r w:rsidR="00BF49B2" w:rsidRPr="00C00556">
              <w:t xml:space="preserve"> </w:t>
            </w:r>
          </w:p>
        </w:tc>
      </w:tr>
      <w:tr w:rsidR="00C00556" w:rsidRPr="00C00556" w:rsidTr="00C00556">
        <w:tc>
          <w:tcPr>
            <w:tcW w:w="638" w:type="dxa"/>
            <w:vMerge/>
            <w:shd w:val="clear" w:color="auto" w:fill="auto"/>
          </w:tcPr>
          <w:p w:rsidR="00BF49B2" w:rsidRPr="00C00556" w:rsidRDefault="00BF49B2" w:rsidP="00C00556">
            <w:pPr>
              <w:suppressAutoHyphens w:val="0"/>
              <w:spacing w:before="40" w:after="120" w:line="220" w:lineRule="exact"/>
              <w:ind w:right="113"/>
            </w:pPr>
          </w:p>
        </w:tc>
        <w:tc>
          <w:tcPr>
            <w:tcW w:w="3500" w:type="dxa"/>
            <w:shd w:val="clear" w:color="auto" w:fill="auto"/>
          </w:tcPr>
          <w:p w:rsidR="00BF49B2" w:rsidRPr="00C00556" w:rsidRDefault="00BF49B2" w:rsidP="00C00556">
            <w:pPr>
              <w:suppressAutoHyphens w:val="0"/>
              <w:spacing w:before="40" w:after="120" w:line="220" w:lineRule="exact"/>
              <w:ind w:right="113"/>
            </w:pPr>
            <w:r w:rsidRPr="00C00556">
              <w:t>Encapsulation</w:t>
            </w:r>
          </w:p>
        </w:tc>
        <w:tc>
          <w:tcPr>
            <w:tcW w:w="1100" w:type="dxa"/>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m</w:t>
            </w:r>
            <w:r w:rsidRPr="00C00556">
              <w:t>”</w:t>
            </w:r>
            <w:r w:rsidR="00BF49B2" w:rsidRPr="00C00556">
              <w:t xml:space="preserve"> </w:t>
            </w:r>
            <w:r w:rsidRPr="00C00556">
              <w:t>“</w:t>
            </w:r>
            <w:r w:rsidR="00BF49B2" w:rsidRPr="00C00556">
              <w:t>mb</w:t>
            </w:r>
            <w:r w:rsidRPr="00C00556">
              <w:t>”</w:t>
            </w:r>
          </w:p>
        </w:tc>
        <w:tc>
          <w:tcPr>
            <w:tcW w:w="1800" w:type="dxa"/>
            <w:shd w:val="clear" w:color="auto" w:fill="auto"/>
          </w:tcPr>
          <w:p w:rsidR="00BF49B2" w:rsidRPr="00C00556" w:rsidRDefault="00D95960" w:rsidP="00C00556">
            <w:pPr>
              <w:suppressAutoHyphens w:val="0"/>
              <w:spacing w:before="40" w:after="120" w:line="220" w:lineRule="exact"/>
              <w:ind w:right="113"/>
            </w:pPr>
            <w:hyperlink r:id="rId16" w:history="1">
              <w:r w:rsidR="00BF49B2" w:rsidRPr="00C00556">
                <w:t>IEC 60079-18</w:t>
              </w:r>
            </w:hyperlink>
            <w:r w:rsidR="00BF49B2" w:rsidRPr="00C00556">
              <w:t xml:space="preserve"> </w:t>
            </w:r>
          </w:p>
        </w:tc>
      </w:tr>
      <w:tr w:rsidR="00C00556" w:rsidRPr="00C00556" w:rsidTr="00C00556">
        <w:tc>
          <w:tcPr>
            <w:tcW w:w="638" w:type="dxa"/>
            <w:vMerge/>
            <w:shd w:val="clear" w:color="auto" w:fill="auto"/>
          </w:tcPr>
          <w:p w:rsidR="00BF49B2" w:rsidRPr="00C00556" w:rsidRDefault="00BF49B2" w:rsidP="00C00556">
            <w:pPr>
              <w:suppressAutoHyphens w:val="0"/>
              <w:spacing w:before="40" w:after="120" w:line="220" w:lineRule="exact"/>
              <w:ind w:right="113"/>
            </w:pPr>
          </w:p>
        </w:tc>
        <w:tc>
          <w:tcPr>
            <w:tcW w:w="3500" w:type="dxa"/>
            <w:shd w:val="clear" w:color="auto" w:fill="auto"/>
          </w:tcPr>
          <w:p w:rsidR="00BF49B2" w:rsidRPr="00C00556" w:rsidRDefault="00BF49B2" w:rsidP="00C00556">
            <w:pPr>
              <w:suppressAutoHyphens w:val="0"/>
              <w:spacing w:before="40" w:after="120" w:line="220" w:lineRule="exact"/>
              <w:ind w:right="113"/>
            </w:pPr>
            <w:r w:rsidRPr="00C00556">
              <w:t>Oil immersion</w:t>
            </w:r>
          </w:p>
        </w:tc>
        <w:tc>
          <w:tcPr>
            <w:tcW w:w="1100" w:type="dxa"/>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o</w:t>
            </w:r>
            <w:r w:rsidRPr="00C00556">
              <w:t>”</w:t>
            </w:r>
          </w:p>
        </w:tc>
        <w:tc>
          <w:tcPr>
            <w:tcW w:w="1800" w:type="dxa"/>
            <w:shd w:val="clear" w:color="auto" w:fill="auto"/>
          </w:tcPr>
          <w:p w:rsidR="00BF49B2" w:rsidRPr="00C00556" w:rsidRDefault="00D95960" w:rsidP="00C00556">
            <w:pPr>
              <w:suppressAutoHyphens w:val="0"/>
              <w:spacing w:before="40" w:after="120" w:line="220" w:lineRule="exact"/>
              <w:ind w:right="113"/>
            </w:pPr>
            <w:hyperlink r:id="rId17" w:history="1">
              <w:r w:rsidR="00BF49B2" w:rsidRPr="00C00556">
                <w:t>IEC 60079-6</w:t>
              </w:r>
            </w:hyperlink>
            <w:r w:rsidR="00BF49B2" w:rsidRPr="00C00556">
              <w:t xml:space="preserve"> </w:t>
            </w:r>
          </w:p>
        </w:tc>
      </w:tr>
      <w:tr w:rsidR="00C00556" w:rsidRPr="00C00556" w:rsidTr="00C00556">
        <w:tc>
          <w:tcPr>
            <w:tcW w:w="638" w:type="dxa"/>
            <w:vMerge/>
            <w:shd w:val="clear" w:color="auto" w:fill="auto"/>
          </w:tcPr>
          <w:p w:rsidR="00BF49B2" w:rsidRPr="00C00556" w:rsidRDefault="00BF49B2" w:rsidP="00C00556">
            <w:pPr>
              <w:suppressAutoHyphens w:val="0"/>
              <w:spacing w:before="40" w:after="120" w:line="220" w:lineRule="exact"/>
              <w:ind w:right="113"/>
            </w:pPr>
          </w:p>
        </w:tc>
        <w:tc>
          <w:tcPr>
            <w:tcW w:w="3500" w:type="dxa"/>
            <w:shd w:val="clear" w:color="auto" w:fill="auto"/>
          </w:tcPr>
          <w:p w:rsidR="00BF49B2" w:rsidRPr="00C00556" w:rsidRDefault="00BF49B2" w:rsidP="00C00556">
            <w:pPr>
              <w:suppressAutoHyphens w:val="0"/>
              <w:spacing w:before="40" w:after="120" w:line="220" w:lineRule="exact"/>
              <w:ind w:right="113"/>
            </w:pPr>
            <w:r w:rsidRPr="00C00556">
              <w:t>Pressurized enclosures</w:t>
            </w:r>
          </w:p>
        </w:tc>
        <w:tc>
          <w:tcPr>
            <w:tcW w:w="1100" w:type="dxa"/>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p</w:t>
            </w:r>
            <w:r w:rsidRPr="00C00556">
              <w:t>”</w:t>
            </w:r>
            <w:r w:rsidR="00BF49B2" w:rsidRPr="00C00556">
              <w:t xml:space="preserve">, </w:t>
            </w:r>
            <w:r w:rsidRPr="00C00556">
              <w:t>“</w:t>
            </w:r>
            <w:r w:rsidR="00BF49B2" w:rsidRPr="00C00556">
              <w:t>px</w:t>
            </w:r>
            <w:r w:rsidRPr="00C00556">
              <w:t>”</w:t>
            </w:r>
            <w:r w:rsidR="00BF49B2" w:rsidRPr="00C00556">
              <w:t xml:space="preserve">, </w:t>
            </w:r>
            <w:r w:rsidRPr="00C00556">
              <w:t>“</w:t>
            </w:r>
            <w:r w:rsidR="00BF49B2" w:rsidRPr="00C00556">
              <w:t>py</w:t>
            </w:r>
            <w:r w:rsidRPr="00C00556">
              <w:t>”</w:t>
            </w:r>
            <w:r w:rsidR="00BF49B2" w:rsidRPr="00C00556">
              <w:t xml:space="preserve">, </w:t>
            </w:r>
            <w:r w:rsidRPr="00C00556">
              <w:t>“</w:t>
            </w:r>
            <w:r w:rsidR="00BF49B2" w:rsidRPr="00C00556">
              <w:t>pxb</w:t>
            </w:r>
            <w:r w:rsidRPr="00C00556">
              <w:t>”</w:t>
            </w:r>
            <w:r w:rsidR="00BF49B2" w:rsidRPr="00C00556">
              <w:t xml:space="preserve"> or </w:t>
            </w:r>
            <w:r w:rsidRPr="00C00556">
              <w:t>“</w:t>
            </w:r>
            <w:r w:rsidR="00BF49B2" w:rsidRPr="00C00556">
              <w:t>pyb</w:t>
            </w:r>
            <w:r w:rsidRPr="00C00556">
              <w:t>”</w:t>
            </w:r>
          </w:p>
        </w:tc>
        <w:tc>
          <w:tcPr>
            <w:tcW w:w="1800" w:type="dxa"/>
            <w:shd w:val="clear" w:color="auto" w:fill="auto"/>
          </w:tcPr>
          <w:p w:rsidR="00BF49B2" w:rsidRPr="00C00556" w:rsidRDefault="00D95960" w:rsidP="00C00556">
            <w:pPr>
              <w:suppressAutoHyphens w:val="0"/>
              <w:spacing w:before="40" w:after="120" w:line="220" w:lineRule="exact"/>
              <w:ind w:right="113"/>
            </w:pPr>
            <w:hyperlink r:id="rId18" w:history="1">
              <w:r w:rsidR="00BF49B2" w:rsidRPr="00C00556">
                <w:t>IEC 60079-2</w:t>
              </w:r>
            </w:hyperlink>
            <w:r w:rsidR="00BF49B2" w:rsidRPr="00C00556">
              <w:t xml:space="preserve"> </w:t>
            </w:r>
          </w:p>
        </w:tc>
      </w:tr>
      <w:tr w:rsidR="00C00556" w:rsidRPr="00C00556" w:rsidTr="00C00556">
        <w:tc>
          <w:tcPr>
            <w:tcW w:w="638" w:type="dxa"/>
            <w:vMerge/>
            <w:shd w:val="clear" w:color="auto" w:fill="auto"/>
          </w:tcPr>
          <w:p w:rsidR="00BF49B2" w:rsidRPr="00C00556" w:rsidRDefault="00BF49B2" w:rsidP="00C00556">
            <w:pPr>
              <w:suppressAutoHyphens w:val="0"/>
              <w:spacing w:before="40" w:after="120" w:line="220" w:lineRule="exact"/>
              <w:ind w:right="113"/>
            </w:pPr>
          </w:p>
        </w:tc>
        <w:tc>
          <w:tcPr>
            <w:tcW w:w="3500" w:type="dxa"/>
            <w:shd w:val="clear" w:color="auto" w:fill="auto"/>
          </w:tcPr>
          <w:p w:rsidR="00BF49B2" w:rsidRPr="00C00556" w:rsidRDefault="00BF49B2" w:rsidP="00C00556">
            <w:pPr>
              <w:suppressAutoHyphens w:val="0"/>
              <w:spacing w:before="40" w:after="120" w:line="220" w:lineRule="exact"/>
              <w:ind w:right="113"/>
            </w:pPr>
            <w:r w:rsidRPr="00C00556">
              <w:t>Powder filling</w:t>
            </w:r>
          </w:p>
        </w:tc>
        <w:tc>
          <w:tcPr>
            <w:tcW w:w="1100" w:type="dxa"/>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q</w:t>
            </w:r>
            <w:r w:rsidRPr="00C00556">
              <w:t>”</w:t>
            </w:r>
          </w:p>
        </w:tc>
        <w:tc>
          <w:tcPr>
            <w:tcW w:w="1800" w:type="dxa"/>
            <w:shd w:val="clear" w:color="auto" w:fill="auto"/>
          </w:tcPr>
          <w:p w:rsidR="00BF49B2" w:rsidRPr="00C00556" w:rsidRDefault="00D95960" w:rsidP="00C00556">
            <w:pPr>
              <w:suppressAutoHyphens w:val="0"/>
              <w:spacing w:before="40" w:after="120" w:line="220" w:lineRule="exact"/>
              <w:ind w:right="113"/>
            </w:pPr>
            <w:hyperlink r:id="rId19" w:history="1">
              <w:r w:rsidR="00BF49B2" w:rsidRPr="00C00556">
                <w:t>IEC 60079-5</w:t>
              </w:r>
            </w:hyperlink>
            <w:r w:rsidR="00BF49B2" w:rsidRPr="00C00556">
              <w:t xml:space="preserve"> </w:t>
            </w:r>
          </w:p>
        </w:tc>
      </w:tr>
      <w:tr w:rsidR="00C00556" w:rsidRPr="00C00556" w:rsidTr="00611292">
        <w:trPr>
          <w:trHeight w:val="693"/>
        </w:trPr>
        <w:tc>
          <w:tcPr>
            <w:tcW w:w="638" w:type="dxa"/>
            <w:vMerge/>
            <w:tcBorders>
              <w:bottom w:val="nil"/>
            </w:tcBorders>
            <w:shd w:val="clear" w:color="auto" w:fill="auto"/>
          </w:tcPr>
          <w:p w:rsidR="00BF49B2" w:rsidRPr="00C00556" w:rsidRDefault="00BF49B2" w:rsidP="00C00556">
            <w:pPr>
              <w:suppressAutoHyphens w:val="0"/>
              <w:spacing w:before="40" w:after="120" w:line="220" w:lineRule="exact"/>
              <w:ind w:right="113"/>
            </w:pPr>
          </w:p>
        </w:tc>
        <w:tc>
          <w:tcPr>
            <w:tcW w:w="3500" w:type="dxa"/>
            <w:shd w:val="clear" w:color="auto" w:fill="auto"/>
          </w:tcPr>
          <w:p w:rsidR="00BF49B2" w:rsidRPr="00C00556" w:rsidRDefault="00BF49B2" w:rsidP="00C00556">
            <w:pPr>
              <w:suppressAutoHyphens w:val="0"/>
              <w:spacing w:before="40" w:after="120" w:line="220" w:lineRule="exact"/>
              <w:ind w:right="113"/>
            </w:pPr>
            <w:r w:rsidRPr="00C00556">
              <w:t>Protection of equipment and transmission systems using optical radiation</w:t>
            </w:r>
          </w:p>
        </w:tc>
        <w:tc>
          <w:tcPr>
            <w:tcW w:w="1100" w:type="dxa"/>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op is</w:t>
            </w:r>
            <w:r w:rsidRPr="00C00556">
              <w:t>”</w:t>
            </w:r>
          </w:p>
          <w:p w:rsidR="00BF49B2" w:rsidRPr="00C00556" w:rsidRDefault="00C00556" w:rsidP="00C00556">
            <w:pPr>
              <w:suppressAutoHyphens w:val="0"/>
              <w:spacing w:before="40" w:after="120" w:line="220" w:lineRule="exact"/>
              <w:ind w:right="113"/>
            </w:pPr>
            <w:r w:rsidRPr="00C00556">
              <w:t>“</w:t>
            </w:r>
            <w:r w:rsidR="00BF49B2" w:rsidRPr="00C00556">
              <w:t>op sh</w:t>
            </w:r>
            <w:r w:rsidRPr="00C00556">
              <w:t>”</w:t>
            </w:r>
          </w:p>
          <w:p w:rsidR="00BF49B2" w:rsidRPr="00C00556" w:rsidRDefault="00C00556" w:rsidP="00C00556">
            <w:pPr>
              <w:suppressAutoHyphens w:val="0"/>
              <w:spacing w:before="40" w:after="120" w:line="220" w:lineRule="exact"/>
              <w:ind w:right="113"/>
            </w:pPr>
            <w:r w:rsidRPr="00C00556">
              <w:t>“</w:t>
            </w:r>
            <w:r w:rsidR="00BF49B2" w:rsidRPr="00C00556">
              <w:t>op pr</w:t>
            </w:r>
            <w:r w:rsidRPr="00C00556">
              <w:t>”</w:t>
            </w:r>
          </w:p>
        </w:tc>
        <w:tc>
          <w:tcPr>
            <w:tcW w:w="1800" w:type="dxa"/>
            <w:shd w:val="clear" w:color="auto" w:fill="auto"/>
          </w:tcPr>
          <w:p w:rsidR="00BF49B2" w:rsidRPr="00C00556" w:rsidRDefault="00D95960" w:rsidP="00C00556">
            <w:pPr>
              <w:suppressAutoHyphens w:val="0"/>
              <w:spacing w:before="40" w:after="120" w:line="220" w:lineRule="exact"/>
              <w:ind w:right="113"/>
            </w:pPr>
            <w:hyperlink r:id="rId20" w:history="1">
              <w:r w:rsidR="00BF49B2" w:rsidRPr="00C00556">
                <w:t>IEC 60079-28</w:t>
              </w:r>
            </w:hyperlink>
            <w:r w:rsidR="00BF49B2" w:rsidRPr="00C00556">
              <w:t xml:space="preserve"> </w:t>
            </w:r>
          </w:p>
        </w:tc>
      </w:tr>
      <w:tr w:rsidR="00C00556" w:rsidRPr="00C00556" w:rsidTr="00611292">
        <w:trPr>
          <w:cantSplit/>
        </w:trPr>
        <w:tc>
          <w:tcPr>
            <w:tcW w:w="638" w:type="dxa"/>
            <w:tcBorders>
              <w:top w:val="nil"/>
              <w:bottom w:val="nil"/>
            </w:tcBorders>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Gc</w:t>
            </w:r>
            <w:r w:rsidRPr="00C00556">
              <w:t>”</w:t>
            </w:r>
          </w:p>
        </w:tc>
        <w:tc>
          <w:tcPr>
            <w:tcW w:w="3500" w:type="dxa"/>
            <w:shd w:val="clear" w:color="auto" w:fill="auto"/>
          </w:tcPr>
          <w:p w:rsidR="00BF49B2" w:rsidRPr="00C00556" w:rsidRDefault="00BF49B2" w:rsidP="00C00556">
            <w:pPr>
              <w:suppressAutoHyphens w:val="0"/>
              <w:spacing w:before="40" w:after="120" w:line="220" w:lineRule="exact"/>
              <w:ind w:right="113"/>
            </w:pPr>
            <w:r w:rsidRPr="00C00556">
              <w:t>Intrinsically safe</w:t>
            </w:r>
          </w:p>
        </w:tc>
        <w:tc>
          <w:tcPr>
            <w:tcW w:w="1100" w:type="dxa"/>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ic</w:t>
            </w:r>
            <w:r w:rsidRPr="00C00556">
              <w:t>”</w:t>
            </w:r>
          </w:p>
        </w:tc>
        <w:tc>
          <w:tcPr>
            <w:tcW w:w="1800" w:type="dxa"/>
            <w:shd w:val="clear" w:color="auto" w:fill="auto"/>
          </w:tcPr>
          <w:p w:rsidR="00BF49B2" w:rsidRPr="00C00556" w:rsidRDefault="00D95960" w:rsidP="00C00556">
            <w:pPr>
              <w:suppressAutoHyphens w:val="0"/>
              <w:spacing w:before="40" w:after="120" w:line="220" w:lineRule="exact"/>
              <w:ind w:right="113"/>
            </w:pPr>
            <w:hyperlink r:id="rId21" w:history="1">
              <w:r w:rsidR="00BF49B2" w:rsidRPr="00C00556">
                <w:t>IEC 60079-11</w:t>
              </w:r>
            </w:hyperlink>
            <w:r w:rsidR="00BF49B2" w:rsidRPr="00C00556">
              <w:t xml:space="preserve"> </w:t>
            </w:r>
          </w:p>
        </w:tc>
      </w:tr>
      <w:tr w:rsidR="00C00556" w:rsidRPr="00C00556" w:rsidTr="00611292">
        <w:trPr>
          <w:cantSplit/>
        </w:trPr>
        <w:tc>
          <w:tcPr>
            <w:tcW w:w="638" w:type="dxa"/>
            <w:tcBorders>
              <w:top w:val="nil"/>
              <w:bottom w:val="nil"/>
            </w:tcBorders>
            <w:shd w:val="clear" w:color="auto" w:fill="auto"/>
          </w:tcPr>
          <w:p w:rsidR="00BF49B2" w:rsidRPr="00C00556" w:rsidRDefault="00BF49B2" w:rsidP="00C00556">
            <w:pPr>
              <w:suppressAutoHyphens w:val="0"/>
              <w:spacing w:before="40" w:after="120" w:line="220" w:lineRule="exact"/>
              <w:ind w:right="113"/>
            </w:pPr>
          </w:p>
        </w:tc>
        <w:tc>
          <w:tcPr>
            <w:tcW w:w="3500" w:type="dxa"/>
            <w:shd w:val="clear" w:color="auto" w:fill="auto"/>
          </w:tcPr>
          <w:p w:rsidR="00BF49B2" w:rsidRPr="00C00556" w:rsidRDefault="00BF49B2" w:rsidP="00C00556">
            <w:pPr>
              <w:suppressAutoHyphens w:val="0"/>
              <w:spacing w:before="40" w:after="120" w:line="220" w:lineRule="exact"/>
              <w:ind w:right="113"/>
            </w:pPr>
            <w:r w:rsidRPr="00C00556">
              <w:t>Encapsulation</w:t>
            </w:r>
          </w:p>
        </w:tc>
        <w:tc>
          <w:tcPr>
            <w:tcW w:w="1100" w:type="dxa"/>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mc</w:t>
            </w:r>
            <w:r w:rsidRPr="00C00556">
              <w:t>”</w:t>
            </w:r>
          </w:p>
        </w:tc>
        <w:tc>
          <w:tcPr>
            <w:tcW w:w="1800" w:type="dxa"/>
            <w:shd w:val="clear" w:color="auto" w:fill="auto"/>
          </w:tcPr>
          <w:p w:rsidR="00BF49B2" w:rsidRPr="00C00556" w:rsidRDefault="00D95960" w:rsidP="00C00556">
            <w:pPr>
              <w:suppressAutoHyphens w:val="0"/>
              <w:spacing w:before="40" w:after="120" w:line="220" w:lineRule="exact"/>
              <w:ind w:right="113"/>
            </w:pPr>
            <w:hyperlink r:id="rId22" w:history="1">
              <w:r w:rsidR="00BF49B2" w:rsidRPr="00C00556">
                <w:t>IEC 60079-18</w:t>
              </w:r>
            </w:hyperlink>
            <w:r w:rsidR="00BF49B2" w:rsidRPr="00C00556">
              <w:t xml:space="preserve"> </w:t>
            </w:r>
          </w:p>
        </w:tc>
      </w:tr>
      <w:tr w:rsidR="00C00556" w:rsidRPr="00C00556" w:rsidTr="00611292">
        <w:trPr>
          <w:cantSplit/>
        </w:trPr>
        <w:tc>
          <w:tcPr>
            <w:tcW w:w="638" w:type="dxa"/>
            <w:tcBorders>
              <w:top w:val="nil"/>
              <w:bottom w:val="nil"/>
            </w:tcBorders>
            <w:shd w:val="clear" w:color="auto" w:fill="auto"/>
          </w:tcPr>
          <w:p w:rsidR="00BF49B2" w:rsidRPr="00C00556" w:rsidRDefault="00BF49B2" w:rsidP="00C00556">
            <w:pPr>
              <w:suppressAutoHyphens w:val="0"/>
              <w:spacing w:before="40" w:after="120" w:line="220" w:lineRule="exact"/>
              <w:ind w:right="113"/>
            </w:pPr>
          </w:p>
        </w:tc>
        <w:tc>
          <w:tcPr>
            <w:tcW w:w="3500" w:type="dxa"/>
            <w:shd w:val="clear" w:color="auto" w:fill="auto"/>
          </w:tcPr>
          <w:p w:rsidR="00BF49B2" w:rsidRPr="00C00556" w:rsidRDefault="00BF49B2" w:rsidP="00C00556">
            <w:pPr>
              <w:suppressAutoHyphens w:val="0"/>
              <w:spacing w:before="40" w:after="120" w:line="220" w:lineRule="exact"/>
              <w:ind w:right="113"/>
            </w:pPr>
            <w:r w:rsidRPr="00C00556">
              <w:t>Non-sparking</w:t>
            </w:r>
          </w:p>
        </w:tc>
        <w:tc>
          <w:tcPr>
            <w:tcW w:w="1100" w:type="dxa"/>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n</w:t>
            </w:r>
            <w:r w:rsidRPr="00C00556">
              <w:t>”</w:t>
            </w:r>
            <w:r w:rsidR="00BF49B2" w:rsidRPr="00C00556">
              <w:t xml:space="preserve"> or </w:t>
            </w:r>
            <w:r w:rsidRPr="00C00556">
              <w:t>“</w:t>
            </w:r>
            <w:r w:rsidR="00BF49B2" w:rsidRPr="00C00556">
              <w:t>nA</w:t>
            </w:r>
            <w:r w:rsidRPr="00C00556">
              <w:t>”</w:t>
            </w:r>
          </w:p>
        </w:tc>
        <w:tc>
          <w:tcPr>
            <w:tcW w:w="1800" w:type="dxa"/>
            <w:shd w:val="clear" w:color="auto" w:fill="auto"/>
          </w:tcPr>
          <w:p w:rsidR="00BF49B2" w:rsidRPr="00C00556" w:rsidRDefault="00D95960" w:rsidP="00C00556">
            <w:pPr>
              <w:suppressAutoHyphens w:val="0"/>
              <w:spacing w:before="40" w:after="120" w:line="220" w:lineRule="exact"/>
              <w:ind w:right="113"/>
            </w:pPr>
            <w:hyperlink r:id="rId23" w:history="1">
              <w:r w:rsidR="00BF49B2" w:rsidRPr="00C00556">
                <w:t>IEC 60079-15</w:t>
              </w:r>
            </w:hyperlink>
            <w:r w:rsidR="00BF49B2" w:rsidRPr="00C00556">
              <w:t xml:space="preserve"> </w:t>
            </w:r>
          </w:p>
        </w:tc>
      </w:tr>
      <w:tr w:rsidR="00C00556" w:rsidRPr="00C00556" w:rsidTr="00611292">
        <w:trPr>
          <w:cantSplit/>
        </w:trPr>
        <w:tc>
          <w:tcPr>
            <w:tcW w:w="638" w:type="dxa"/>
            <w:tcBorders>
              <w:top w:val="nil"/>
              <w:bottom w:val="nil"/>
            </w:tcBorders>
            <w:shd w:val="clear" w:color="auto" w:fill="auto"/>
          </w:tcPr>
          <w:p w:rsidR="00BF49B2" w:rsidRPr="00C00556" w:rsidRDefault="00BF49B2" w:rsidP="00C00556">
            <w:pPr>
              <w:suppressAutoHyphens w:val="0"/>
              <w:spacing w:before="40" w:after="120" w:line="220" w:lineRule="exact"/>
              <w:ind w:right="113"/>
            </w:pPr>
          </w:p>
        </w:tc>
        <w:tc>
          <w:tcPr>
            <w:tcW w:w="3500" w:type="dxa"/>
            <w:shd w:val="clear" w:color="auto" w:fill="auto"/>
          </w:tcPr>
          <w:p w:rsidR="00BF49B2" w:rsidRPr="00C00556" w:rsidRDefault="00BF49B2" w:rsidP="00C00556">
            <w:pPr>
              <w:suppressAutoHyphens w:val="0"/>
              <w:spacing w:before="40" w:after="120" w:line="220" w:lineRule="exact"/>
              <w:ind w:right="113"/>
            </w:pPr>
            <w:r w:rsidRPr="00C00556">
              <w:t>Restricted breathing</w:t>
            </w:r>
          </w:p>
        </w:tc>
        <w:tc>
          <w:tcPr>
            <w:tcW w:w="1100" w:type="dxa"/>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nR</w:t>
            </w:r>
            <w:r w:rsidRPr="00C00556">
              <w:t>”</w:t>
            </w:r>
          </w:p>
        </w:tc>
        <w:tc>
          <w:tcPr>
            <w:tcW w:w="1800" w:type="dxa"/>
            <w:shd w:val="clear" w:color="auto" w:fill="auto"/>
          </w:tcPr>
          <w:p w:rsidR="00BF49B2" w:rsidRPr="00C00556" w:rsidRDefault="00D95960" w:rsidP="00C00556">
            <w:pPr>
              <w:suppressAutoHyphens w:val="0"/>
              <w:spacing w:before="40" w:after="120" w:line="220" w:lineRule="exact"/>
              <w:ind w:right="113"/>
            </w:pPr>
            <w:hyperlink r:id="rId24" w:history="1">
              <w:r w:rsidR="00BF49B2" w:rsidRPr="00C00556">
                <w:t>IEC 60079-15</w:t>
              </w:r>
            </w:hyperlink>
            <w:r w:rsidR="00BF49B2" w:rsidRPr="00C00556">
              <w:t xml:space="preserve"> </w:t>
            </w:r>
          </w:p>
        </w:tc>
      </w:tr>
      <w:tr w:rsidR="00C00556" w:rsidRPr="00C00556" w:rsidTr="00611292">
        <w:trPr>
          <w:cantSplit/>
        </w:trPr>
        <w:tc>
          <w:tcPr>
            <w:tcW w:w="638" w:type="dxa"/>
            <w:tcBorders>
              <w:top w:val="nil"/>
              <w:bottom w:val="nil"/>
            </w:tcBorders>
            <w:shd w:val="clear" w:color="auto" w:fill="auto"/>
          </w:tcPr>
          <w:p w:rsidR="00BF49B2" w:rsidRPr="00C00556" w:rsidRDefault="00BF49B2" w:rsidP="00C00556">
            <w:pPr>
              <w:suppressAutoHyphens w:val="0"/>
              <w:spacing w:before="40" w:after="120" w:line="220" w:lineRule="exact"/>
              <w:ind w:right="113"/>
            </w:pPr>
          </w:p>
        </w:tc>
        <w:tc>
          <w:tcPr>
            <w:tcW w:w="3500" w:type="dxa"/>
            <w:shd w:val="clear" w:color="auto" w:fill="auto"/>
          </w:tcPr>
          <w:p w:rsidR="00BF49B2" w:rsidRPr="00C00556" w:rsidRDefault="00BF49B2" w:rsidP="00C00556">
            <w:pPr>
              <w:suppressAutoHyphens w:val="0"/>
              <w:spacing w:before="40" w:after="120" w:line="220" w:lineRule="exact"/>
              <w:ind w:right="113"/>
            </w:pPr>
            <w:r w:rsidRPr="00C00556">
              <w:t>Energy limitation</w:t>
            </w:r>
          </w:p>
        </w:tc>
        <w:tc>
          <w:tcPr>
            <w:tcW w:w="1100" w:type="dxa"/>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nL</w:t>
            </w:r>
            <w:r w:rsidRPr="00C00556">
              <w:t>”</w:t>
            </w:r>
          </w:p>
        </w:tc>
        <w:tc>
          <w:tcPr>
            <w:tcW w:w="1800" w:type="dxa"/>
            <w:shd w:val="clear" w:color="auto" w:fill="auto"/>
          </w:tcPr>
          <w:p w:rsidR="00BF49B2" w:rsidRPr="00C00556" w:rsidRDefault="00D95960" w:rsidP="00C00556">
            <w:pPr>
              <w:suppressAutoHyphens w:val="0"/>
              <w:spacing w:before="40" w:after="120" w:line="220" w:lineRule="exact"/>
              <w:ind w:right="113"/>
            </w:pPr>
            <w:hyperlink r:id="rId25" w:history="1">
              <w:r w:rsidR="00BF49B2" w:rsidRPr="00C00556">
                <w:t>IEC 60079-15</w:t>
              </w:r>
            </w:hyperlink>
            <w:r w:rsidR="00BF49B2" w:rsidRPr="00C00556">
              <w:t xml:space="preserve"> </w:t>
            </w:r>
          </w:p>
        </w:tc>
      </w:tr>
      <w:tr w:rsidR="00C00556" w:rsidRPr="00C00556" w:rsidTr="00611292">
        <w:trPr>
          <w:cantSplit/>
        </w:trPr>
        <w:tc>
          <w:tcPr>
            <w:tcW w:w="638" w:type="dxa"/>
            <w:tcBorders>
              <w:top w:val="nil"/>
              <w:bottom w:val="nil"/>
            </w:tcBorders>
            <w:shd w:val="clear" w:color="auto" w:fill="auto"/>
          </w:tcPr>
          <w:p w:rsidR="00BF49B2" w:rsidRPr="00C00556" w:rsidRDefault="00BF49B2" w:rsidP="00C00556">
            <w:pPr>
              <w:suppressAutoHyphens w:val="0"/>
              <w:spacing w:before="40" w:after="120" w:line="220" w:lineRule="exact"/>
              <w:ind w:right="113"/>
            </w:pPr>
          </w:p>
        </w:tc>
        <w:tc>
          <w:tcPr>
            <w:tcW w:w="3500" w:type="dxa"/>
            <w:tcBorders>
              <w:bottom w:val="nil"/>
            </w:tcBorders>
            <w:shd w:val="clear" w:color="auto" w:fill="auto"/>
          </w:tcPr>
          <w:p w:rsidR="00BF49B2" w:rsidRPr="00C00556" w:rsidRDefault="00BF49B2" w:rsidP="00C00556">
            <w:pPr>
              <w:suppressAutoHyphens w:val="0"/>
              <w:spacing w:before="40" w:after="120" w:line="220" w:lineRule="exact"/>
              <w:ind w:right="113"/>
            </w:pPr>
            <w:r w:rsidRPr="00C00556">
              <w:t>Sparking equipment</w:t>
            </w:r>
          </w:p>
        </w:tc>
        <w:tc>
          <w:tcPr>
            <w:tcW w:w="1100" w:type="dxa"/>
            <w:tcBorders>
              <w:bottom w:val="nil"/>
            </w:tcBorders>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nC</w:t>
            </w:r>
            <w:r w:rsidRPr="00C00556">
              <w:t>”</w:t>
            </w:r>
          </w:p>
        </w:tc>
        <w:tc>
          <w:tcPr>
            <w:tcW w:w="1800" w:type="dxa"/>
            <w:tcBorders>
              <w:bottom w:val="nil"/>
            </w:tcBorders>
            <w:shd w:val="clear" w:color="auto" w:fill="auto"/>
          </w:tcPr>
          <w:p w:rsidR="00BF49B2" w:rsidRPr="00C00556" w:rsidRDefault="00D95960" w:rsidP="00C00556">
            <w:pPr>
              <w:suppressAutoHyphens w:val="0"/>
              <w:spacing w:before="40" w:after="120" w:line="220" w:lineRule="exact"/>
              <w:ind w:right="113"/>
            </w:pPr>
            <w:hyperlink r:id="rId26" w:history="1">
              <w:r w:rsidR="00BF49B2" w:rsidRPr="00C00556">
                <w:t>IEC 60079-15</w:t>
              </w:r>
            </w:hyperlink>
            <w:r w:rsidR="00BF49B2" w:rsidRPr="00C00556">
              <w:t xml:space="preserve"> </w:t>
            </w:r>
          </w:p>
        </w:tc>
      </w:tr>
      <w:tr w:rsidR="00C00556" w:rsidRPr="00C00556" w:rsidTr="00611292">
        <w:trPr>
          <w:cantSplit/>
        </w:trPr>
        <w:tc>
          <w:tcPr>
            <w:tcW w:w="638" w:type="dxa"/>
            <w:tcBorders>
              <w:top w:val="nil"/>
              <w:bottom w:val="nil"/>
            </w:tcBorders>
            <w:shd w:val="clear" w:color="auto" w:fill="auto"/>
          </w:tcPr>
          <w:p w:rsidR="00BF49B2" w:rsidRPr="00C00556" w:rsidRDefault="00BF49B2" w:rsidP="00C00556">
            <w:pPr>
              <w:suppressAutoHyphens w:val="0"/>
              <w:spacing w:before="40" w:after="120" w:line="220" w:lineRule="exact"/>
              <w:ind w:right="113"/>
            </w:pPr>
          </w:p>
        </w:tc>
        <w:tc>
          <w:tcPr>
            <w:tcW w:w="3500" w:type="dxa"/>
            <w:tcBorders>
              <w:top w:val="nil"/>
              <w:bottom w:val="nil"/>
            </w:tcBorders>
            <w:shd w:val="clear" w:color="auto" w:fill="auto"/>
          </w:tcPr>
          <w:p w:rsidR="00BF49B2" w:rsidRPr="00C00556" w:rsidRDefault="00BF49B2" w:rsidP="00C00556">
            <w:pPr>
              <w:suppressAutoHyphens w:val="0"/>
              <w:spacing w:before="40" w:after="120" w:line="220" w:lineRule="exact"/>
              <w:ind w:right="113"/>
            </w:pPr>
            <w:r w:rsidRPr="00C00556">
              <w:t>Pressurized enclosures</w:t>
            </w:r>
          </w:p>
        </w:tc>
        <w:tc>
          <w:tcPr>
            <w:tcW w:w="1100" w:type="dxa"/>
            <w:tcBorders>
              <w:top w:val="nil"/>
              <w:bottom w:val="nil"/>
            </w:tcBorders>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pz</w:t>
            </w:r>
            <w:r w:rsidRPr="00C00556">
              <w:t>”</w:t>
            </w:r>
            <w:r w:rsidR="00BF49B2" w:rsidRPr="00C00556">
              <w:t xml:space="preserve"> or </w:t>
            </w:r>
            <w:r w:rsidRPr="00C00556">
              <w:t>“</w:t>
            </w:r>
            <w:r w:rsidR="00BF49B2" w:rsidRPr="00C00556">
              <w:t>pzc</w:t>
            </w:r>
            <w:r w:rsidRPr="00C00556">
              <w:t>”</w:t>
            </w:r>
          </w:p>
        </w:tc>
        <w:tc>
          <w:tcPr>
            <w:tcW w:w="1800" w:type="dxa"/>
            <w:tcBorders>
              <w:top w:val="nil"/>
              <w:bottom w:val="nil"/>
            </w:tcBorders>
            <w:shd w:val="clear" w:color="auto" w:fill="auto"/>
          </w:tcPr>
          <w:p w:rsidR="00BF49B2" w:rsidRPr="00C00556" w:rsidRDefault="00D95960" w:rsidP="00C00556">
            <w:pPr>
              <w:suppressAutoHyphens w:val="0"/>
              <w:spacing w:before="40" w:after="120" w:line="220" w:lineRule="exact"/>
              <w:ind w:right="113"/>
            </w:pPr>
            <w:hyperlink r:id="rId27" w:history="1">
              <w:r w:rsidR="00BF49B2" w:rsidRPr="00C00556">
                <w:t>IEC 60079-2</w:t>
              </w:r>
            </w:hyperlink>
            <w:r w:rsidR="00BF49B2" w:rsidRPr="00C00556">
              <w:t xml:space="preserve"> </w:t>
            </w:r>
          </w:p>
        </w:tc>
      </w:tr>
      <w:tr w:rsidR="00C00556" w:rsidRPr="00C00556" w:rsidTr="009971DC">
        <w:trPr>
          <w:cantSplit/>
          <w:trHeight w:val="821"/>
        </w:trPr>
        <w:tc>
          <w:tcPr>
            <w:tcW w:w="638" w:type="dxa"/>
            <w:tcBorders>
              <w:top w:val="nil"/>
              <w:bottom w:val="single" w:sz="12" w:space="0" w:color="auto"/>
            </w:tcBorders>
            <w:shd w:val="clear" w:color="auto" w:fill="auto"/>
          </w:tcPr>
          <w:p w:rsidR="00BF49B2" w:rsidRPr="00C00556" w:rsidRDefault="00BF49B2" w:rsidP="00C00556">
            <w:pPr>
              <w:suppressAutoHyphens w:val="0"/>
              <w:spacing w:before="40" w:after="120" w:line="220" w:lineRule="exact"/>
              <w:ind w:right="113"/>
            </w:pPr>
          </w:p>
        </w:tc>
        <w:tc>
          <w:tcPr>
            <w:tcW w:w="3500" w:type="dxa"/>
            <w:tcBorders>
              <w:top w:val="nil"/>
              <w:bottom w:val="single" w:sz="12" w:space="0" w:color="auto"/>
            </w:tcBorders>
            <w:shd w:val="clear" w:color="auto" w:fill="auto"/>
          </w:tcPr>
          <w:p w:rsidR="00BF49B2" w:rsidRPr="00C00556" w:rsidRDefault="00BF49B2" w:rsidP="00C00556">
            <w:pPr>
              <w:suppressAutoHyphens w:val="0"/>
              <w:spacing w:before="40" w:after="120" w:line="220" w:lineRule="exact"/>
              <w:ind w:right="113"/>
            </w:pPr>
            <w:r w:rsidRPr="00C00556">
              <w:t>Protection of equipment and transmission systems using optical radiation</w:t>
            </w:r>
          </w:p>
        </w:tc>
        <w:tc>
          <w:tcPr>
            <w:tcW w:w="1100" w:type="dxa"/>
            <w:tcBorders>
              <w:top w:val="nil"/>
              <w:bottom w:val="single" w:sz="12" w:space="0" w:color="auto"/>
            </w:tcBorders>
            <w:shd w:val="clear" w:color="auto" w:fill="auto"/>
          </w:tcPr>
          <w:p w:rsidR="00BF49B2" w:rsidRPr="00C00556" w:rsidRDefault="00C00556" w:rsidP="00C00556">
            <w:pPr>
              <w:suppressAutoHyphens w:val="0"/>
              <w:spacing w:before="40" w:after="120" w:line="220" w:lineRule="exact"/>
              <w:ind w:right="113"/>
            </w:pPr>
            <w:r w:rsidRPr="00C00556">
              <w:t>“</w:t>
            </w:r>
            <w:r w:rsidR="00BF49B2" w:rsidRPr="00C00556">
              <w:t>op is</w:t>
            </w:r>
            <w:r w:rsidRPr="00C00556">
              <w:t>”</w:t>
            </w:r>
          </w:p>
          <w:p w:rsidR="00BF49B2" w:rsidRPr="00C00556" w:rsidRDefault="00C00556" w:rsidP="00C00556">
            <w:pPr>
              <w:suppressAutoHyphens w:val="0"/>
              <w:spacing w:before="40" w:after="120" w:line="220" w:lineRule="exact"/>
              <w:ind w:right="113"/>
            </w:pPr>
            <w:r w:rsidRPr="00C00556">
              <w:t>“</w:t>
            </w:r>
            <w:r w:rsidR="00BF49B2" w:rsidRPr="00C00556">
              <w:t>op sh</w:t>
            </w:r>
            <w:r w:rsidRPr="00C00556">
              <w:t>”</w:t>
            </w:r>
          </w:p>
          <w:p w:rsidR="00BF49B2" w:rsidRPr="00C00556" w:rsidRDefault="00C00556" w:rsidP="00C00556">
            <w:pPr>
              <w:suppressAutoHyphens w:val="0"/>
              <w:spacing w:before="40" w:after="120" w:line="220" w:lineRule="exact"/>
              <w:ind w:right="113"/>
            </w:pPr>
            <w:r w:rsidRPr="00C00556">
              <w:t>“</w:t>
            </w:r>
            <w:r w:rsidR="00BF49B2" w:rsidRPr="00C00556">
              <w:t>op pr</w:t>
            </w:r>
            <w:r w:rsidRPr="00C00556">
              <w:t>”</w:t>
            </w:r>
          </w:p>
        </w:tc>
        <w:tc>
          <w:tcPr>
            <w:tcW w:w="1800" w:type="dxa"/>
            <w:tcBorders>
              <w:top w:val="nil"/>
              <w:bottom w:val="single" w:sz="12" w:space="0" w:color="auto"/>
            </w:tcBorders>
            <w:shd w:val="clear" w:color="auto" w:fill="auto"/>
          </w:tcPr>
          <w:p w:rsidR="00BF49B2" w:rsidRPr="00C00556" w:rsidRDefault="00D95960" w:rsidP="00C00556">
            <w:pPr>
              <w:suppressAutoHyphens w:val="0"/>
              <w:spacing w:before="40" w:after="120" w:line="220" w:lineRule="exact"/>
              <w:ind w:right="113"/>
            </w:pPr>
            <w:hyperlink r:id="rId28" w:history="1">
              <w:r w:rsidR="00BF49B2" w:rsidRPr="00C00556">
                <w:t>IEC 60079-28</w:t>
              </w:r>
            </w:hyperlink>
            <w:r w:rsidR="00BF49B2" w:rsidRPr="00C00556">
              <w:t xml:space="preserve"> </w:t>
            </w:r>
          </w:p>
        </w:tc>
      </w:tr>
    </w:tbl>
    <w:p w:rsidR="00BF49B2" w:rsidRPr="008B51F0" w:rsidRDefault="00BF49B2" w:rsidP="00C00556">
      <w:pPr>
        <w:pStyle w:val="SingleTxtG"/>
        <w:spacing w:before="240"/>
      </w:pPr>
      <w:r w:rsidRPr="008B51F0">
        <w:t>3.</w:t>
      </w:r>
      <w:r w:rsidRPr="008B51F0">
        <w:tab/>
        <w:t>The above table includes a reference to parts of IEC 60079 that are not currently mentioned in 9.2.2.9.1. They are parts 26 and 28.</w:t>
      </w:r>
    </w:p>
    <w:p w:rsidR="00BF49B2" w:rsidRPr="008B51F0" w:rsidRDefault="00BF49B2" w:rsidP="00C00556">
      <w:pPr>
        <w:pStyle w:val="SingleTxtG"/>
      </w:pPr>
      <w:r w:rsidRPr="008B51F0">
        <w:t>4.</w:t>
      </w:r>
      <w:r w:rsidRPr="008B51F0">
        <w:tab/>
        <w:t>The question is whether it would be sensible to add those parts to 9.2.2.9.1 and 9.7.8.2 to cover equipment such as overflow prevention probes.</w:t>
      </w:r>
    </w:p>
    <w:p w:rsidR="00BF49B2" w:rsidRPr="008B51F0" w:rsidRDefault="00BF49B2" w:rsidP="00503D27">
      <w:pPr>
        <w:pStyle w:val="SingleTxtG"/>
      </w:pPr>
      <w:r w:rsidRPr="008B51F0">
        <w:t>5.</w:t>
      </w:r>
      <w:r w:rsidRPr="008B51F0">
        <w:tab/>
        <w:t>I</w:t>
      </w:r>
      <w:r w:rsidR="00503D27">
        <w:t>f</w:t>
      </w:r>
      <w:r w:rsidRPr="008B51F0">
        <w:t xml:space="preserve"> the Working Party is of the opinion that parts 26 and 28 of IEC 60079 are relevant, the following changes may be made.</w:t>
      </w:r>
    </w:p>
    <w:p w:rsidR="00BF49B2" w:rsidRPr="008B51F0" w:rsidRDefault="00904364" w:rsidP="00904364">
      <w:pPr>
        <w:pStyle w:val="HChG"/>
      </w:pPr>
      <w:r>
        <w:tab/>
      </w:r>
      <w:r>
        <w:tab/>
      </w:r>
      <w:r w:rsidR="00BF49B2" w:rsidRPr="008B51F0">
        <w:t>Proposal</w:t>
      </w:r>
    </w:p>
    <w:p w:rsidR="00BF49B2" w:rsidRPr="008B51F0" w:rsidRDefault="00BF49B2" w:rsidP="00C00556">
      <w:pPr>
        <w:pStyle w:val="SingleTxtG"/>
      </w:pPr>
      <w:r w:rsidRPr="008B51F0">
        <w:t>6.</w:t>
      </w:r>
      <w:r w:rsidRPr="008B51F0">
        <w:tab/>
        <w:t xml:space="preserve">In 9.2.2.9.1 (a), replace </w:t>
      </w:r>
      <w:r w:rsidR="00C00556">
        <w:t>“</w:t>
      </w:r>
      <w:r w:rsidRPr="008B51F0">
        <w:t>parts 1, 2, 5, 6, 7, 11, 15 or 18</w:t>
      </w:r>
      <w:r w:rsidR="00C00556">
        <w:t>”</w:t>
      </w:r>
      <w:r w:rsidRPr="008B51F0">
        <w:t xml:space="preserve"> by </w:t>
      </w:r>
      <w:r w:rsidR="00C00556">
        <w:t>“</w:t>
      </w:r>
      <w:r w:rsidRPr="008B51F0">
        <w:t>parts 1, 2, 5, 6, 7, 11, 15, 18, 26 or 28</w:t>
      </w:r>
      <w:r w:rsidR="00C00556">
        <w:t>”</w:t>
      </w:r>
      <w:r w:rsidRPr="008B51F0">
        <w:t>.</w:t>
      </w:r>
    </w:p>
    <w:p w:rsidR="00BF49B2" w:rsidRPr="008B51F0" w:rsidRDefault="00BF49B2" w:rsidP="00C00556">
      <w:pPr>
        <w:pStyle w:val="SingleTxtG"/>
      </w:pPr>
      <w:r w:rsidRPr="008B51F0">
        <w:t>7.</w:t>
      </w:r>
      <w:r w:rsidRPr="008B51F0">
        <w:tab/>
        <w:t xml:space="preserve">In 9.7.8.2, replace </w:t>
      </w:r>
      <w:r w:rsidR="00C00556">
        <w:t>“</w:t>
      </w:r>
      <w:r w:rsidRPr="008B51F0">
        <w:t>parts 1, 2, 5, 6, 7, 11 or 18</w:t>
      </w:r>
      <w:r w:rsidR="00C00556">
        <w:t>”</w:t>
      </w:r>
      <w:r w:rsidRPr="008B51F0">
        <w:t xml:space="preserve"> by </w:t>
      </w:r>
      <w:r w:rsidR="00C00556">
        <w:t>“</w:t>
      </w:r>
      <w:r w:rsidRPr="008B51F0">
        <w:t>parts  1, 2, 5, 6, 7, 11, 18, 26 or 28</w:t>
      </w:r>
      <w:r w:rsidR="00C00556">
        <w:t>”</w:t>
      </w:r>
      <w:r w:rsidRPr="008B51F0">
        <w:t>.</w:t>
      </w:r>
    </w:p>
    <w:p w:rsidR="00C00556" w:rsidRPr="00106A43" w:rsidRDefault="00C00556">
      <w:pPr>
        <w:spacing w:before="240"/>
        <w:jc w:val="center"/>
        <w:rPr>
          <w:u w:val="single"/>
        </w:rPr>
      </w:pPr>
      <w:r>
        <w:rPr>
          <w:u w:val="single"/>
        </w:rPr>
        <w:tab/>
      </w:r>
      <w:r>
        <w:rPr>
          <w:u w:val="single"/>
        </w:rPr>
        <w:tab/>
      </w:r>
      <w:r>
        <w:rPr>
          <w:u w:val="single"/>
        </w:rPr>
        <w:tab/>
      </w:r>
    </w:p>
    <w:sectPr w:rsidR="00C00556" w:rsidRPr="00106A43" w:rsidSect="00BF49B2">
      <w:headerReference w:type="even" r:id="rId29"/>
      <w:headerReference w:type="default" r:id="rId30"/>
      <w:footerReference w:type="even" r:id="rId31"/>
      <w:footerReference w:type="default" r:id="rId32"/>
      <w:footerReference w:type="first" r:id="rId3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8AE" w:rsidRPr="00FB1744" w:rsidRDefault="00C228AE" w:rsidP="00FB1744">
      <w:pPr>
        <w:pStyle w:val="Footer"/>
      </w:pPr>
    </w:p>
  </w:endnote>
  <w:endnote w:type="continuationSeparator" w:id="0">
    <w:p w:rsidR="00C228AE" w:rsidRPr="00FB1744" w:rsidRDefault="00C228A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B2" w:rsidRPr="00BF49B2" w:rsidRDefault="00BF49B2" w:rsidP="00BF49B2">
    <w:pPr>
      <w:pStyle w:val="Footer"/>
      <w:tabs>
        <w:tab w:val="right" w:pos="9598"/>
      </w:tabs>
    </w:pPr>
    <w:r w:rsidRPr="00BF49B2">
      <w:rPr>
        <w:b/>
        <w:sz w:val="18"/>
      </w:rPr>
      <w:fldChar w:fldCharType="begin"/>
    </w:r>
    <w:r w:rsidRPr="00BF49B2">
      <w:rPr>
        <w:b/>
        <w:sz w:val="18"/>
      </w:rPr>
      <w:instrText xml:space="preserve"> PAGE  \* MERGEFORMAT </w:instrText>
    </w:r>
    <w:r w:rsidRPr="00BF49B2">
      <w:rPr>
        <w:b/>
        <w:sz w:val="18"/>
      </w:rPr>
      <w:fldChar w:fldCharType="separate"/>
    </w:r>
    <w:r w:rsidR="00D95960">
      <w:rPr>
        <w:b/>
        <w:noProof/>
        <w:sz w:val="18"/>
      </w:rPr>
      <w:t>2</w:t>
    </w:r>
    <w:r w:rsidRPr="00BF49B2">
      <w:rPr>
        <w:b/>
        <w:sz w:val="18"/>
      </w:rPr>
      <w:fldChar w:fldCharType="end"/>
    </w:r>
    <w:r>
      <w:rPr>
        <w:sz w:val="18"/>
      </w:rPr>
      <w:tab/>
    </w:r>
    <w:r>
      <w:t>GE.17-02687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B2" w:rsidRPr="00BF49B2" w:rsidRDefault="00BF49B2" w:rsidP="00BF49B2">
    <w:pPr>
      <w:pStyle w:val="Footer"/>
      <w:tabs>
        <w:tab w:val="right" w:pos="9598"/>
      </w:tabs>
      <w:rPr>
        <w:b/>
        <w:sz w:val="18"/>
      </w:rPr>
    </w:pPr>
    <w:r>
      <w:t>GE.17-02687</w:t>
    </w:r>
    <w:r>
      <w:tab/>
    </w:r>
    <w:r w:rsidRPr="00BF49B2">
      <w:rPr>
        <w:b/>
        <w:sz w:val="18"/>
      </w:rPr>
      <w:fldChar w:fldCharType="begin"/>
    </w:r>
    <w:r w:rsidRPr="00BF49B2">
      <w:rPr>
        <w:b/>
        <w:sz w:val="18"/>
      </w:rPr>
      <w:instrText xml:space="preserve"> PAGE  \* MERGEFORMAT </w:instrText>
    </w:r>
    <w:r w:rsidRPr="00BF49B2">
      <w:rPr>
        <w:b/>
        <w:sz w:val="18"/>
      </w:rPr>
      <w:fldChar w:fldCharType="separate"/>
    </w:r>
    <w:r w:rsidR="00D95960">
      <w:rPr>
        <w:b/>
        <w:noProof/>
        <w:sz w:val="18"/>
      </w:rPr>
      <w:t>3</w:t>
    </w:r>
    <w:r w:rsidRPr="00BF49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7E05C73E" wp14:editId="3EB9931B">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9B2" w:rsidRDefault="00BF49B2" w:rsidP="00BF49B2">
    <w:r>
      <w:t>GE.17-02687  (E)</w:t>
    </w:r>
    <w:r w:rsidR="00CD013A">
      <w:t xml:space="preserve">    100317    100317</w:t>
    </w:r>
  </w:p>
  <w:p w:rsidR="00BF49B2" w:rsidRPr="00BF49B2" w:rsidRDefault="00BF49B2" w:rsidP="00BF49B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704D36C4" wp14:editId="5D3AF3BD">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ECE/TRANS/WP.15/2017/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7/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8AE" w:rsidRPr="00FB1744" w:rsidRDefault="00C228AE" w:rsidP="00FB1744">
      <w:pPr>
        <w:tabs>
          <w:tab w:val="right" w:pos="2155"/>
        </w:tabs>
        <w:spacing w:after="80" w:line="240" w:lineRule="auto"/>
        <w:ind w:left="680"/>
      </w:pPr>
      <w:r>
        <w:rPr>
          <w:u w:val="single"/>
        </w:rPr>
        <w:tab/>
      </w:r>
    </w:p>
  </w:footnote>
  <w:footnote w:type="continuationSeparator" w:id="0">
    <w:p w:rsidR="00C228AE" w:rsidRPr="00FB1744" w:rsidRDefault="00C228AE" w:rsidP="00FB1744">
      <w:pPr>
        <w:tabs>
          <w:tab w:val="right" w:pos="2155"/>
        </w:tabs>
        <w:spacing w:after="80" w:line="240" w:lineRule="auto"/>
        <w:ind w:left="680"/>
      </w:pPr>
      <w:r>
        <w:rPr>
          <w:u w:val="single"/>
        </w:rPr>
        <w:tab/>
      </w:r>
    </w:p>
  </w:footnote>
  <w:footnote w:id="1">
    <w:p w:rsidR="00BF49B2" w:rsidRPr="001032E5" w:rsidRDefault="008A0790" w:rsidP="008A0790">
      <w:pPr>
        <w:pStyle w:val="FootnoteText"/>
      </w:pPr>
      <w:r>
        <w:rPr>
          <w:sz w:val="20"/>
        </w:rPr>
        <w:tab/>
      </w:r>
      <w:r w:rsidR="00BF49B2" w:rsidRPr="0087307F">
        <w:rPr>
          <w:sz w:val="20"/>
        </w:rPr>
        <w:sym w:font="Symbol" w:char="F02A"/>
      </w:r>
      <w:r w:rsidR="00BF49B2">
        <w:tab/>
        <w:t>In accordance with the</w:t>
      </w:r>
      <w:r w:rsidR="00BF49B2" w:rsidRPr="00DE1D53">
        <w:t xml:space="preserve"> programme of work of the Inland Transport Committee for 201</w:t>
      </w:r>
      <w:r w:rsidR="00BF49B2">
        <w:t>6-2017 (ECE/TRANS/2016/28/Add.1</w:t>
      </w:r>
      <w:r w:rsidR="00BF49B2" w:rsidRPr="00DE1D53">
        <w:t xml:space="preserve">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B2" w:rsidRPr="00BF49B2" w:rsidRDefault="00BF49B2" w:rsidP="00BF49B2">
    <w:pPr>
      <w:pStyle w:val="Header"/>
    </w:pPr>
    <w:r w:rsidRPr="00BF49B2">
      <w:t>ECE/TRANS/WP.15/2017/6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B2" w:rsidRPr="00BF49B2" w:rsidRDefault="00BF49B2" w:rsidP="00BF49B2">
    <w:pPr>
      <w:pStyle w:val="Header"/>
      <w:jc w:val="right"/>
    </w:pPr>
    <w:r w:rsidRPr="00BF49B2">
      <w:t>ECE/TRANS/WP.15/2017/6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AE"/>
    <w:rsid w:val="00046E92"/>
    <w:rsid w:val="00066F42"/>
    <w:rsid w:val="000D1B89"/>
    <w:rsid w:val="001170DC"/>
    <w:rsid w:val="00247E2C"/>
    <w:rsid w:val="002D6C53"/>
    <w:rsid w:val="002F5595"/>
    <w:rsid w:val="00334F6A"/>
    <w:rsid w:val="00342AC8"/>
    <w:rsid w:val="003B4550"/>
    <w:rsid w:val="00461253"/>
    <w:rsid w:val="00503D27"/>
    <w:rsid w:val="005042C2"/>
    <w:rsid w:val="0056599A"/>
    <w:rsid w:val="00587690"/>
    <w:rsid w:val="00611292"/>
    <w:rsid w:val="00671529"/>
    <w:rsid w:val="006C5847"/>
    <w:rsid w:val="00717266"/>
    <w:rsid w:val="007268F9"/>
    <w:rsid w:val="007C52B0"/>
    <w:rsid w:val="008A0790"/>
    <w:rsid w:val="00904364"/>
    <w:rsid w:val="009411B4"/>
    <w:rsid w:val="009971DC"/>
    <w:rsid w:val="009D0139"/>
    <w:rsid w:val="009F5CDC"/>
    <w:rsid w:val="00A775CF"/>
    <w:rsid w:val="00AB3C7E"/>
    <w:rsid w:val="00B06045"/>
    <w:rsid w:val="00BF49B2"/>
    <w:rsid w:val="00C00556"/>
    <w:rsid w:val="00C12B49"/>
    <w:rsid w:val="00C228AE"/>
    <w:rsid w:val="00C35A27"/>
    <w:rsid w:val="00C56C5E"/>
    <w:rsid w:val="00CD013A"/>
    <w:rsid w:val="00D95960"/>
    <w:rsid w:val="00DA71D5"/>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5C63E9A-78AE-485B-A3C5-AA228818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ewer.afnor.org/Html/Display/_q3yyBRjTGw1/chapter/5/" TargetMode="External"/><Relationship Id="rId18" Type="http://schemas.openxmlformats.org/officeDocument/2006/relationships/hyperlink" Target="http://viewer.afnor.org/Html/Display/_q3yyBRjTGw1/chapter/5/" TargetMode="External"/><Relationship Id="rId26" Type="http://schemas.openxmlformats.org/officeDocument/2006/relationships/hyperlink" Target="http://viewer.afnor.org/Html/Display/_q3yyBRjTGw1/chapter/5/" TargetMode="External"/><Relationship Id="rId3" Type="http://schemas.openxmlformats.org/officeDocument/2006/relationships/styles" Target="styles.xml"/><Relationship Id="rId21" Type="http://schemas.openxmlformats.org/officeDocument/2006/relationships/hyperlink" Target="http://viewer.afnor.org/Html/Display/_q3yyBRjTGw1/chapter/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iewer.afnor.org/Html/Display/_q3yyBRjTGw1/chapter/5/" TargetMode="External"/><Relationship Id="rId17" Type="http://schemas.openxmlformats.org/officeDocument/2006/relationships/hyperlink" Target="http://viewer.afnor.org/Html/Display/_q3yyBRjTGw1/chapter/5/" TargetMode="External"/><Relationship Id="rId25" Type="http://schemas.openxmlformats.org/officeDocument/2006/relationships/hyperlink" Target="http://viewer.afnor.org/Html/Display/_q3yyBRjTGw1/chapter/5/"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viewer.afnor.org/Html/Display/_q3yyBRjTGw1/chapter/5/" TargetMode="External"/><Relationship Id="rId20" Type="http://schemas.openxmlformats.org/officeDocument/2006/relationships/hyperlink" Target="http://viewer.afnor.org/Html/Display/_q3yyBRjTGw1/chapter/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ewer.afnor.org/Html/Display/_q3yyBRjTGw1/chapter/5/" TargetMode="External"/><Relationship Id="rId24" Type="http://schemas.openxmlformats.org/officeDocument/2006/relationships/hyperlink" Target="http://viewer.afnor.org/Html/Display/_q3yyBRjTGw1/chapter/5/"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viewer.afnor.org/Html/Display/_q3yyBRjTGw1/chapter/5/" TargetMode="External"/><Relationship Id="rId23" Type="http://schemas.openxmlformats.org/officeDocument/2006/relationships/hyperlink" Target="http://viewer.afnor.org/Html/Display/_q3yyBRjTGw1/chapter/5/" TargetMode="External"/><Relationship Id="rId28" Type="http://schemas.openxmlformats.org/officeDocument/2006/relationships/hyperlink" Target="http://viewer.afnor.org/Html/Display/_q3yyBRjTGw1/chapter/5/" TargetMode="External"/><Relationship Id="rId10" Type="http://schemas.openxmlformats.org/officeDocument/2006/relationships/hyperlink" Target="http://viewer.afnor.org/Html/Display/_q3yyBRjTGw1/chapter/5/" TargetMode="External"/><Relationship Id="rId19" Type="http://schemas.openxmlformats.org/officeDocument/2006/relationships/hyperlink" Target="http://viewer.afnor.org/Html/Display/_q3yyBRjTGw1/chapter/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iewer.afnor.org/Html/Display/_q3yyBRjTGw1/chapter/5/" TargetMode="External"/><Relationship Id="rId14" Type="http://schemas.openxmlformats.org/officeDocument/2006/relationships/hyperlink" Target="http://viewer.afnor.org/Html/Display/_q3yyBRjTGw1/chapter/5/" TargetMode="External"/><Relationship Id="rId22" Type="http://schemas.openxmlformats.org/officeDocument/2006/relationships/hyperlink" Target="http://viewer.afnor.org/Html/Display/_q3yyBRjTGw1/chapter/5/" TargetMode="External"/><Relationship Id="rId27" Type="http://schemas.openxmlformats.org/officeDocument/2006/relationships/hyperlink" Target="http://viewer.afnor.org/Html/Display/_q3yyBRjTGw1/chapter/5/"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B74B4-ED93-47AC-810B-3719CFB3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4005</Characters>
  <Application>Microsoft Office Word</Application>
  <DocSecurity>0</DocSecurity>
  <Lines>97</Lines>
  <Paragraphs>50</Paragraphs>
  <ScaleCrop>false</ScaleCrop>
  <HeadingPairs>
    <vt:vector size="2" baseType="variant">
      <vt:variant>
        <vt:lpstr>Title</vt:lpstr>
      </vt:variant>
      <vt:variant>
        <vt:i4>1</vt:i4>
      </vt:variant>
    </vt:vector>
  </HeadingPairs>
  <TitlesOfParts>
    <vt:vector size="1" baseType="lpstr">
      <vt:lpstr>1702687</vt:lpstr>
    </vt:vector>
  </TitlesOfParts>
  <Company>DCM</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1702687</dc:title>
  <dc:subject>ECE/TRANS/WP.15/2017/6</dc:subject>
  <dc:creator>Escalante</dc:creator>
  <cp:keywords/>
  <dc:description>final</dc:description>
  <cp:lastModifiedBy>Christine Barrio-Champeau</cp:lastModifiedBy>
  <cp:revision>2</cp:revision>
  <dcterms:created xsi:type="dcterms:W3CDTF">2017-03-13T09:55:00Z</dcterms:created>
  <dcterms:modified xsi:type="dcterms:W3CDTF">2017-03-13T09:55:00Z</dcterms:modified>
</cp:coreProperties>
</file>