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8D688D">
            <w:pPr>
              <w:jc w:val="right"/>
            </w:pPr>
            <w:r w:rsidRPr="00DA7745">
              <w:rPr>
                <w:sz w:val="40"/>
              </w:rPr>
              <w:t>ECE</w:t>
            </w:r>
            <w:r>
              <w:t>/TRANS/WP.15/201</w:t>
            </w:r>
            <w:r w:rsidR="008D688D">
              <w:t>7</w:t>
            </w:r>
            <w:r>
              <w:t>/</w:t>
            </w:r>
            <w:r w:rsidR="000C376B">
              <w:t>2</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FA7444" w:rsidP="00DA7745">
            <w:pPr>
              <w:spacing w:line="240" w:lineRule="exact"/>
            </w:pPr>
            <w:r>
              <w:t>20</w:t>
            </w:r>
            <w:r w:rsidR="00D105AA">
              <w:t xml:space="preserve"> février</w:t>
            </w:r>
            <w:r w:rsidR="00DA7745">
              <w:t xml:space="preserve"> 201</w:t>
            </w:r>
            <w:r w:rsidR="008D688D">
              <w:t>7</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102</w:t>
      </w:r>
      <w:r w:rsidR="0087307F">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8D688D">
        <w:rPr>
          <w:rFonts w:eastAsia="SimSun"/>
        </w:rPr>
        <w:t>8</w:t>
      </w:r>
      <w:r>
        <w:rPr>
          <w:rFonts w:eastAsia="SimSun"/>
        </w:rPr>
        <w:t>-</w:t>
      </w:r>
      <w:r w:rsidR="000C376B">
        <w:rPr>
          <w:rFonts w:eastAsia="SimSun"/>
        </w:rPr>
        <w:t>1</w:t>
      </w:r>
      <w:r w:rsidR="008D688D">
        <w:rPr>
          <w:rFonts w:eastAsia="SimSun"/>
        </w:rPr>
        <w:t>2</w:t>
      </w:r>
      <w:r w:rsidRPr="004539A2">
        <w:rPr>
          <w:rFonts w:eastAsia="SimSun"/>
        </w:rPr>
        <w:t xml:space="preserve"> mai 201</w:t>
      </w:r>
      <w:r w:rsidR="008D688D">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8D688D">
        <w:t>5</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r>
        <w:rPr>
          <w:b/>
          <w:lang w:val="fr-FR"/>
        </w:rPr>
        <w:t>p</w:t>
      </w:r>
      <w:r w:rsidRPr="00D105AA">
        <w:rPr>
          <w:b/>
          <w:lang w:val="fr-FR"/>
        </w:rPr>
        <w:t>ropositions diverses</w:t>
      </w:r>
    </w:p>
    <w:p w:rsidR="00DA7745" w:rsidRPr="004539A2" w:rsidRDefault="00DA7745" w:rsidP="00DA7745">
      <w:pPr>
        <w:pStyle w:val="HChG"/>
        <w:rPr>
          <w:sz w:val="20"/>
        </w:rPr>
      </w:pPr>
      <w:r w:rsidRPr="004539A2">
        <w:tab/>
      </w:r>
      <w:r w:rsidRPr="004539A2">
        <w:tab/>
      </w:r>
      <w:r w:rsidR="008D688D">
        <w:t>Signalisation orange lors d’un transport dans une chaîne de transport comportant un parcours maritime ou aérien</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87307F"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FA7444">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8D688D">
              <w:t xml:space="preserve">La signalisation orange des unités de transport prescrite au 5.3.2 qui est exigée au 1.1.4.2.2 dans le cas des transports dans une chaîne de transport comportant un transport maritime ou </w:t>
            </w:r>
            <w:r w:rsidR="00B01BBD">
              <w:t>aérienne</w:t>
            </w:r>
            <w:r w:rsidR="00FA7444">
              <w:t>.</w:t>
            </w:r>
            <w:r w:rsidR="008D688D">
              <w:t xml:space="preserve"> </w:t>
            </w:r>
            <w:r w:rsidR="00FA7444">
              <w:t>N</w:t>
            </w:r>
            <w:r w:rsidR="006E1500">
              <w:t xml:space="preserve">e </w:t>
            </w:r>
            <w:r w:rsidR="008D688D">
              <w:t>doit être obligatoire que lorsque l’unité de transport est tenue de la porter selon l’ADR.</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8D688D">
              <w:rPr>
                <w:rStyle w:val="SingleTxtGChar"/>
                <w:lang w:val="fr-FR"/>
              </w:rPr>
              <w:t>I</w:t>
            </w:r>
            <w:r w:rsidR="008D688D">
              <w:t>ndiquer à la fin du 1.1.4.2.2 «lorsqu’elles sont applicables».</w:t>
            </w:r>
          </w:p>
        </w:tc>
      </w:tr>
      <w:tr w:rsidR="00DA7745" w:rsidTr="00EC317B">
        <w:trPr>
          <w:jc w:val="center"/>
        </w:trPr>
        <w:tc>
          <w:tcPr>
            <w:tcW w:w="9637" w:type="dxa"/>
            <w:shd w:val="clear" w:color="auto" w:fill="auto"/>
          </w:tcPr>
          <w:p w:rsidR="00DA7745" w:rsidRDefault="00DA7745" w:rsidP="00DA7745"/>
        </w:tc>
      </w:tr>
    </w:tbl>
    <w:p w:rsidR="008D688D" w:rsidRPr="0072378C" w:rsidRDefault="008D688D" w:rsidP="008D688D">
      <w:pPr>
        <w:pStyle w:val="HChG"/>
        <w:tabs>
          <w:tab w:val="clear" w:pos="851"/>
        </w:tabs>
        <w:ind w:left="567" w:right="0" w:firstLine="567"/>
      </w:pPr>
      <w:r w:rsidRPr="0072378C">
        <w:t>Introduction</w:t>
      </w:r>
    </w:p>
    <w:p w:rsidR="008D688D" w:rsidRDefault="008D688D" w:rsidP="006E1500">
      <w:pPr>
        <w:ind w:left="1134" w:right="1133"/>
        <w:jc w:val="both"/>
      </w:pPr>
      <w:r>
        <w:t>1.</w:t>
      </w:r>
      <w:r>
        <w:tab/>
        <w:t xml:space="preserve">Le transport multimodal est réglé par le 1.1.4.2. Au 1.1.4.2.2 on accepte les unités de transport portant les plaques-étiquettes non-conformes au 5.3.1 </w:t>
      </w:r>
      <w:r w:rsidR="006E1500">
        <w:t>de l’</w:t>
      </w:r>
      <w:r>
        <w:t xml:space="preserve">ADR à condition qu’il soit satisfait aux dispositions du 5.3.2 </w:t>
      </w:r>
      <w:r w:rsidR="006E1500">
        <w:t>de l’</w:t>
      </w:r>
      <w:r>
        <w:t>ADR relatives à la signalisation orange. La référence au 5.3.2 oblige de signaliser des unités de transport qui, par ailleurs, auraient pu être exonérées de cette signalisation orange conformément au 1.1.3.6. Pour l’éviter il suffirait d’indiquer à la fin du 1.1.4.2.2 «lorsqu’elles sont applicables».</w:t>
      </w:r>
    </w:p>
    <w:p w:rsidR="008D688D" w:rsidRDefault="008D688D" w:rsidP="008D688D">
      <w:pPr>
        <w:pStyle w:val="HChG"/>
        <w:tabs>
          <w:tab w:val="clear" w:pos="851"/>
        </w:tabs>
        <w:ind w:left="567" w:right="0" w:firstLine="567"/>
        <w:jc w:val="both"/>
      </w:pPr>
      <w:r>
        <w:lastRenderedPageBreak/>
        <w:t>Proposition</w:t>
      </w:r>
    </w:p>
    <w:p w:rsidR="008D688D" w:rsidRDefault="008D688D" w:rsidP="008D688D">
      <w:pPr>
        <w:pStyle w:val="SingleTxtG"/>
      </w:pPr>
      <w:r>
        <w:t>2.</w:t>
      </w:r>
      <w:r>
        <w:tab/>
        <w:t>Au 1.1.4.2.2 ajouter à la fin «lorsqu’elles sont applicables».</w:t>
      </w:r>
    </w:p>
    <w:p w:rsidR="008D688D" w:rsidRDefault="008D688D" w:rsidP="008D688D">
      <w:pPr>
        <w:pStyle w:val="HChG"/>
        <w:tabs>
          <w:tab w:val="clear" w:pos="851"/>
        </w:tabs>
        <w:ind w:left="567" w:right="0" w:firstLine="567"/>
        <w:jc w:val="both"/>
      </w:pPr>
      <w:r>
        <w:t>Justification</w:t>
      </w:r>
    </w:p>
    <w:p w:rsidR="008D688D" w:rsidRDefault="008D688D" w:rsidP="006E1500">
      <w:pPr>
        <w:ind w:left="1134" w:right="1133"/>
        <w:jc w:val="both"/>
        <w:rPr>
          <w:rFonts w:ascii="TimesNewRomanPSMT" w:hAnsi="TimesNewRomanPSMT" w:cs="TimesNewRomanPSMT"/>
          <w:lang w:eastAsia="fr-CH"/>
        </w:rPr>
      </w:pPr>
      <w:r>
        <w:rPr>
          <w:rFonts w:ascii="TimesNewRomanPSMT" w:hAnsi="TimesNewRomanPSMT" w:cs="TimesNewRomanPSMT"/>
          <w:lang w:eastAsia="fr-CH"/>
        </w:rPr>
        <w:t>3.</w:t>
      </w:r>
      <w:r>
        <w:rPr>
          <w:rFonts w:ascii="TimesNewRomanPSMT" w:hAnsi="TimesNewRomanPSMT" w:cs="TimesNewRomanPSMT"/>
          <w:lang w:eastAsia="fr-CH"/>
        </w:rPr>
        <w:tab/>
        <w:t>Dans l’ADR, l’exonération de l’obligation de porter une signalisation orange selon le 5.3.2 (</w:t>
      </w:r>
      <w:r w:rsidR="0006052F">
        <w:rPr>
          <w:rFonts w:ascii="TimesNewRomanPSMT" w:hAnsi="TimesNewRomanPSMT" w:cs="TimesNewRomanPSMT"/>
          <w:lang w:eastAsia="fr-CH"/>
        </w:rPr>
        <w:t>par exemple</w:t>
      </w:r>
      <w:r>
        <w:rPr>
          <w:rFonts w:ascii="TimesNewRomanPSMT" w:hAnsi="TimesNewRomanPSMT" w:cs="TimesNewRomanPSMT"/>
          <w:lang w:eastAsia="fr-CH"/>
        </w:rPr>
        <w:t xml:space="preserve"> au 1.1.3.6) a pour but de simplifier le transport lorsque certaines quantités limites ne sont pas dépassées. La présence inutile de cette signalisation peut au contraire induire des difficultés car elle est interprétée par ceux en charge de contrôles et par les gestionnaires des tunnels comme l’obligation de respecter toutes les dispositions de l’ADR. Ceci conduit soit à des vérifications inutiles qui font perdre du temps, soit, dans le cas des restrictions pour les tunnels, à des interdictions de passage. En cas d’accidents ceci conduit également à des interventions disproportionnées par rapport au danger en présence. Afin d’éviter ces difficultés il ne faut pas que la signalisation orange soit présente inutilement.</w:t>
      </w:r>
    </w:p>
    <w:p w:rsidR="008D688D" w:rsidRPr="008D688D" w:rsidRDefault="008D688D" w:rsidP="008D688D">
      <w:pPr>
        <w:spacing w:before="240"/>
        <w:ind w:left="1134" w:right="1134"/>
        <w:jc w:val="center"/>
        <w:rPr>
          <w:rFonts w:ascii="TimesNewRomanPSMT" w:hAnsi="TimesNewRomanPSMT" w:cs="TimesNewRomanPSMT"/>
          <w:u w:val="single"/>
          <w:lang w:eastAsia="fr-CH"/>
        </w:rPr>
      </w:pPr>
      <w:r>
        <w:rPr>
          <w:rFonts w:ascii="TimesNewRomanPSMT" w:hAnsi="TimesNewRomanPSMT" w:cs="TimesNewRomanPSMT"/>
          <w:u w:val="single"/>
          <w:lang w:eastAsia="fr-CH"/>
        </w:rPr>
        <w:tab/>
      </w:r>
      <w:r>
        <w:rPr>
          <w:rFonts w:ascii="TimesNewRomanPSMT" w:hAnsi="TimesNewRomanPSMT" w:cs="TimesNewRomanPSMT"/>
          <w:u w:val="single"/>
          <w:lang w:eastAsia="fr-CH"/>
        </w:rPr>
        <w:tab/>
      </w:r>
      <w:r>
        <w:rPr>
          <w:rFonts w:ascii="TimesNewRomanPSMT" w:hAnsi="TimesNewRomanPSMT" w:cs="TimesNewRomanPSMT"/>
          <w:u w:val="single"/>
          <w:lang w:eastAsia="fr-CH"/>
        </w:rPr>
        <w:tab/>
      </w:r>
    </w:p>
    <w:sectPr w:rsidR="008D688D" w:rsidRPr="008D688D" w:rsidSect="00DA7745">
      <w:headerReference w:type="even" r:id="rId9"/>
      <w:headerReference w:type="default" r:id="rId10"/>
      <w:footerReference w:type="even"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46" w:rsidRDefault="00E80C46" w:rsidP="00F95C08">
      <w:pPr>
        <w:spacing w:line="240" w:lineRule="auto"/>
      </w:pPr>
    </w:p>
  </w:endnote>
  <w:endnote w:type="continuationSeparator" w:id="0">
    <w:p w:rsidR="00E80C46" w:rsidRPr="00AC3823" w:rsidRDefault="00E80C46" w:rsidP="00AC3823">
      <w:pPr>
        <w:pStyle w:val="Footer"/>
      </w:pPr>
    </w:p>
  </w:endnote>
  <w:endnote w:type="continuationNotice" w:id="1">
    <w:p w:rsidR="00E80C46" w:rsidRDefault="00E80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E80C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FA7444">
      <w:rPr>
        <w:b/>
        <w:noProof/>
        <w:sz w:val="18"/>
      </w:rPr>
      <w:t>2</w:t>
    </w:r>
    <w:r w:rsidRPr="00DA7745">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Separator" w:id="0">
    <w:p w:rsidR="00E80C46" w:rsidRPr="00AC3823" w:rsidRDefault="00E80C46" w:rsidP="00AC3823">
      <w:pPr>
        <w:pStyle w:val="Footer"/>
        <w:tabs>
          <w:tab w:val="right" w:pos="2155"/>
        </w:tabs>
        <w:spacing w:after="80" w:line="240" w:lineRule="atLeast"/>
        <w:ind w:left="680"/>
        <w:rPr>
          <w:u w:val="single"/>
        </w:rPr>
      </w:pPr>
      <w:r>
        <w:rPr>
          <w:u w:val="single"/>
        </w:rPr>
        <w:tab/>
      </w:r>
    </w:p>
  </w:footnote>
  <w:footnote w:type="continuationNotice" w:id="1">
    <w:p w:rsidR="00E80C46" w:rsidRPr="00AC3823" w:rsidRDefault="00E80C46">
      <w:pPr>
        <w:spacing w:line="240" w:lineRule="auto"/>
        <w:rPr>
          <w:sz w:val="2"/>
          <w:szCs w:val="2"/>
        </w:rPr>
      </w:pPr>
    </w:p>
  </w:footnote>
  <w:footnote w:id="2">
    <w:p w:rsidR="00E80C46" w:rsidRPr="00DD3512" w:rsidRDefault="00E80C46" w:rsidP="006E1500">
      <w:pPr>
        <w:pStyle w:val="FootnoteText"/>
        <w:tabs>
          <w:tab w:val="clear" w:pos="1021"/>
        </w:tabs>
        <w:kinsoku/>
        <w:overflowPunct/>
        <w:autoSpaceDE/>
        <w:autoSpaceDN/>
        <w:adjustRightInd/>
        <w:snapToGrid/>
        <w:ind w:left="1418" w:hanging="284"/>
        <w:jc w:val="both"/>
        <w:rPr>
          <w:lang w:val="fr-FR"/>
        </w:rPr>
      </w:pPr>
      <w:bookmarkStart w:id="0" w:name="_GoBack"/>
      <w:r w:rsidRPr="0087307F">
        <w:rPr>
          <w:rStyle w:val="FootnoteReference"/>
          <w:sz w:val="20"/>
        </w:rPr>
        <w:sym w:font="Symbol" w:char="F02A"/>
      </w:r>
      <w:bookmarkEnd w:id="0"/>
      <w:r w:rsidR="006E1500">
        <w:tab/>
      </w:r>
      <w:r>
        <w:rPr>
          <w:lang w:eastAsia="en-GB"/>
        </w:rPr>
        <w:t>Conformément au programme de travail du Comité des transports intérieurs pour 2016-2017 (ECE/TRANS/2016/28/Add.1,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E80C46">
    <w:pPr>
      <w:pStyle w:val="Header"/>
    </w:pPr>
    <w:r>
      <w:t>ECE/TRANS/WP.15/2017/2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46" w:rsidRPr="00DA7745" w:rsidRDefault="00E80C46" w:rsidP="00DA7745">
    <w:pPr>
      <w:pStyle w:val="Header"/>
      <w:jc w:val="right"/>
    </w:pPr>
    <w:r>
      <w:t>ECE/TRANS/WP.15/2016/2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34F9"/>
    <w:rsid w:val="0006052F"/>
    <w:rsid w:val="0007796D"/>
    <w:rsid w:val="000B7790"/>
    <w:rsid w:val="000C376B"/>
    <w:rsid w:val="00111F2F"/>
    <w:rsid w:val="0014365E"/>
    <w:rsid w:val="00143C66"/>
    <w:rsid w:val="00176178"/>
    <w:rsid w:val="00185A1D"/>
    <w:rsid w:val="001F525A"/>
    <w:rsid w:val="002220FD"/>
    <w:rsid w:val="00223272"/>
    <w:rsid w:val="0024779E"/>
    <w:rsid w:val="00251867"/>
    <w:rsid w:val="00257168"/>
    <w:rsid w:val="002650AF"/>
    <w:rsid w:val="002744B8"/>
    <w:rsid w:val="002832AC"/>
    <w:rsid w:val="002D7C93"/>
    <w:rsid w:val="00305801"/>
    <w:rsid w:val="003916DE"/>
    <w:rsid w:val="003C17BE"/>
    <w:rsid w:val="004140B7"/>
    <w:rsid w:val="00427080"/>
    <w:rsid w:val="00441C3B"/>
    <w:rsid w:val="00446FE5"/>
    <w:rsid w:val="00452396"/>
    <w:rsid w:val="00460713"/>
    <w:rsid w:val="004837D8"/>
    <w:rsid w:val="004E468C"/>
    <w:rsid w:val="005505B7"/>
    <w:rsid w:val="00573BE5"/>
    <w:rsid w:val="00586ED3"/>
    <w:rsid w:val="00596AA9"/>
    <w:rsid w:val="006E1500"/>
    <w:rsid w:val="0071601D"/>
    <w:rsid w:val="007643B0"/>
    <w:rsid w:val="007663BB"/>
    <w:rsid w:val="007A62E6"/>
    <w:rsid w:val="007C3E6F"/>
    <w:rsid w:val="007F20FA"/>
    <w:rsid w:val="0080684C"/>
    <w:rsid w:val="00806B9F"/>
    <w:rsid w:val="00871C75"/>
    <w:rsid w:val="0087307F"/>
    <w:rsid w:val="008776DC"/>
    <w:rsid w:val="008B2513"/>
    <w:rsid w:val="008C0D21"/>
    <w:rsid w:val="008D688D"/>
    <w:rsid w:val="00922B83"/>
    <w:rsid w:val="009705C8"/>
    <w:rsid w:val="009C1CF4"/>
    <w:rsid w:val="009F6B74"/>
    <w:rsid w:val="00A20AFA"/>
    <w:rsid w:val="00A30353"/>
    <w:rsid w:val="00A42A4A"/>
    <w:rsid w:val="00AC3823"/>
    <w:rsid w:val="00AE323C"/>
    <w:rsid w:val="00AF0CB5"/>
    <w:rsid w:val="00B00181"/>
    <w:rsid w:val="00B00B0D"/>
    <w:rsid w:val="00B01BBD"/>
    <w:rsid w:val="00B30539"/>
    <w:rsid w:val="00B725C1"/>
    <w:rsid w:val="00B765F7"/>
    <w:rsid w:val="00BA0CA9"/>
    <w:rsid w:val="00C02897"/>
    <w:rsid w:val="00D105AA"/>
    <w:rsid w:val="00D3439C"/>
    <w:rsid w:val="00DA7745"/>
    <w:rsid w:val="00DB1831"/>
    <w:rsid w:val="00DD3BFD"/>
    <w:rsid w:val="00DE69CC"/>
    <w:rsid w:val="00DE7F48"/>
    <w:rsid w:val="00DF6678"/>
    <w:rsid w:val="00E77F73"/>
    <w:rsid w:val="00E80C46"/>
    <w:rsid w:val="00E85C74"/>
    <w:rsid w:val="00E9755E"/>
    <w:rsid w:val="00EA6547"/>
    <w:rsid w:val="00EB0173"/>
    <w:rsid w:val="00EC317B"/>
    <w:rsid w:val="00EF2E22"/>
    <w:rsid w:val="00F35BAF"/>
    <w:rsid w:val="00F660DF"/>
    <w:rsid w:val="00F94664"/>
    <w:rsid w:val="00F9573C"/>
    <w:rsid w:val="00F95C08"/>
    <w:rsid w:val="00FA383B"/>
    <w:rsid w:val="00FA7444"/>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8E669F"/>
  <w15:docId w15:val="{99A795D0-E5A8-4A86-8C37-6FC8CB15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EBE9-13CD-4698-ABCE-A190247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365</Words>
  <Characters>2082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ECE/TRANS/WP.15/2015/1</vt:lpstr>
      <vt:lpstr>ECE/TRANS/WP.15/2015/1</vt:lpstr>
    </vt:vector>
  </TitlesOfParts>
  <Company>DCM</Company>
  <LinksUpToDate>false</LinksUpToDate>
  <CharactersWithSpaces>2443</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9</cp:revision>
  <cp:lastPrinted>2017-02-13T14:42:00Z</cp:lastPrinted>
  <dcterms:created xsi:type="dcterms:W3CDTF">2017-02-06T14:11:00Z</dcterms:created>
  <dcterms:modified xsi:type="dcterms:W3CDTF">2017-02-20T13:13:00Z</dcterms:modified>
</cp:coreProperties>
</file>