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17CC8" w:rsidRDefault="00B56E9C" w:rsidP="00B11BB4">
            <w:pPr>
              <w:spacing w:after="80"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BE52CD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BE52CD">
              <w:rPr>
                <w:b/>
                <w:sz w:val="28"/>
                <w:szCs w:val="28"/>
              </w:rPr>
              <w:t>26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217CC8" w:rsidP="00AB32F7">
      <w:pPr>
        <w:spacing w:before="120"/>
        <w:rPr>
          <w:b/>
        </w:rPr>
      </w:pPr>
      <w:proofErr w:type="gramStart"/>
      <w:r>
        <w:rPr>
          <w:b/>
        </w:rPr>
        <w:t>103</w:t>
      </w:r>
      <w:r w:rsidR="00A44D24">
        <w:rPr>
          <w:b/>
        </w:rPr>
        <w:t>nd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BE52CD">
        <w:rPr>
          <w:b/>
        </w:rPr>
        <w:t>7 November</w:t>
      </w:r>
      <w:r w:rsidR="00A44D24"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217CC8">
        <w:t>6</w:t>
      </w:r>
      <w:r w:rsidR="00875C74">
        <w:t>-</w:t>
      </w:r>
      <w:r w:rsidR="00217CC8">
        <w:t>10</w:t>
      </w:r>
      <w:r w:rsidRPr="008268C5">
        <w:t xml:space="preserve"> </w:t>
      </w:r>
      <w:r w:rsidR="00217CC8">
        <w:t>November</w:t>
      </w:r>
      <w:r w:rsidRPr="008268C5">
        <w:t xml:space="preserve"> </w:t>
      </w:r>
      <w:r w:rsidR="00B25EB2" w:rsidRPr="008268C5">
        <w:t>201</w:t>
      </w:r>
      <w:r w:rsidR="00A44D24">
        <w:t>7</w:t>
      </w:r>
    </w:p>
    <w:p w:rsidR="002F3C64" w:rsidRPr="004119B5" w:rsidRDefault="002F3C64" w:rsidP="002F3C64">
      <w:r w:rsidRPr="004119B5">
        <w:t xml:space="preserve">Item </w:t>
      </w:r>
      <w:r w:rsidR="00CE1CFD">
        <w:t>5 (a</w:t>
      </w:r>
      <w:r>
        <w:t>)</w:t>
      </w:r>
      <w:r w:rsidRPr="004119B5">
        <w:t xml:space="preserve"> of the provisional agenda</w:t>
      </w:r>
    </w:p>
    <w:p w:rsidR="002F3C64" w:rsidRPr="004119B5" w:rsidRDefault="002F3C64" w:rsidP="002F3C64">
      <w:pPr>
        <w:rPr>
          <w:b/>
          <w:bCs/>
        </w:rPr>
      </w:pPr>
      <w:r w:rsidRPr="004119B5">
        <w:rPr>
          <w:b/>
          <w:bCs/>
        </w:rPr>
        <w:t>Proposals for amendments to annexes A and B of ADR:</w:t>
      </w:r>
    </w:p>
    <w:p w:rsidR="002F3C64" w:rsidRPr="00D105AA" w:rsidRDefault="00B932B6" w:rsidP="002F3C64">
      <w:pPr>
        <w:rPr>
          <w:b/>
        </w:rPr>
      </w:pPr>
      <w:r>
        <w:rPr>
          <w:b/>
          <w:bCs/>
        </w:rPr>
        <w:t>c</w:t>
      </w:r>
      <w:bookmarkStart w:id="0" w:name="_GoBack"/>
      <w:bookmarkEnd w:id="0"/>
      <w:r w:rsidR="00485D8C">
        <w:rPr>
          <w:b/>
          <w:bCs/>
        </w:rPr>
        <w:t>onstruction</w:t>
      </w:r>
      <w:r w:rsidR="00CE1CFD">
        <w:rPr>
          <w:b/>
          <w:bCs/>
        </w:rPr>
        <w:t xml:space="preserve"> and approval of vehicles</w:t>
      </w:r>
    </w:p>
    <w:p w:rsidR="00B162CA" w:rsidRPr="00D16CD2" w:rsidRDefault="003D3380" w:rsidP="00D16CD2">
      <w:pPr>
        <w:pStyle w:val="HChG"/>
        <w:rPr>
          <w:lang w:val="en-GB"/>
        </w:rPr>
      </w:pPr>
      <w:r w:rsidRPr="008268C5">
        <w:rPr>
          <w:lang w:val="en-GB"/>
        </w:rPr>
        <w:tab/>
      </w:r>
      <w:r w:rsidRPr="008268C5">
        <w:rPr>
          <w:lang w:val="en-GB"/>
        </w:rPr>
        <w:tab/>
      </w:r>
      <w:r w:rsidR="00A66670">
        <w:rPr>
          <w:lang w:val="en-GB"/>
        </w:rPr>
        <w:t xml:space="preserve">To add the results from </w:t>
      </w:r>
      <w:r w:rsidR="00B162CA">
        <w:rPr>
          <w:lang w:val="en-GB"/>
        </w:rPr>
        <w:t>earlier WP.15 meetings regarding aluminium in EX/III vehicle bodies</w:t>
      </w:r>
      <w:r w:rsidR="00F300B0">
        <w:rPr>
          <w:lang w:val="en-GB"/>
        </w:rPr>
        <w:t>.</w:t>
      </w:r>
    </w:p>
    <w:p w:rsidR="00A30C84" w:rsidRDefault="00A30C84" w:rsidP="00D16CD2">
      <w:pPr>
        <w:pStyle w:val="H1G"/>
      </w:pPr>
      <w:r>
        <w:tab/>
      </w:r>
      <w:r>
        <w:tab/>
        <w:t xml:space="preserve">Transmitted by the </w:t>
      </w:r>
      <w:r w:rsidR="00A66670">
        <w:t xml:space="preserve">CLCCR </w:t>
      </w:r>
      <w:r w:rsidR="00D16CD2">
        <w:t>International Association of the Body and Trailer Building Industry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A30C84" w:rsidRPr="00E62341" w:rsidTr="00C45E05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A30C84" w:rsidRPr="00E62341" w:rsidRDefault="00A30C84" w:rsidP="00C45E05">
            <w:pPr>
              <w:tabs>
                <w:tab w:val="left" w:pos="255"/>
              </w:tabs>
              <w:suppressAutoHyphens w:val="0"/>
              <w:spacing w:before="240" w:after="120"/>
              <w:rPr>
                <w:rFonts w:eastAsia="Arial"/>
                <w:sz w:val="24"/>
              </w:rPr>
            </w:pPr>
            <w:r>
              <w:br w:type="page"/>
            </w:r>
            <w:r w:rsidRPr="00E62341">
              <w:rPr>
                <w:rFonts w:eastAsia="Arial"/>
              </w:rPr>
              <w:tab/>
            </w:r>
            <w:r w:rsidRPr="00E62341">
              <w:rPr>
                <w:rFonts w:eastAsia="Arial"/>
                <w:i/>
                <w:sz w:val="24"/>
              </w:rPr>
              <w:t>Summary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30C84" w:rsidRPr="00E62341" w:rsidRDefault="00A30C84" w:rsidP="00AA469B">
            <w:pPr>
              <w:pStyle w:val="SingleTxtG"/>
              <w:tabs>
                <w:tab w:val="left" w:pos="3260"/>
              </w:tabs>
              <w:ind w:left="3260" w:hanging="2126"/>
              <w:rPr>
                <w:b/>
                <w:szCs w:val="22"/>
              </w:rPr>
            </w:pPr>
            <w:r w:rsidRPr="00E62341">
              <w:rPr>
                <w:b/>
                <w:szCs w:val="22"/>
              </w:rPr>
              <w:t>Executive</w:t>
            </w:r>
            <w:r w:rsidRPr="00D62890">
              <w:rPr>
                <w:b/>
                <w:szCs w:val="22"/>
                <w:lang w:val="en-GB"/>
              </w:rPr>
              <w:t xml:space="preserve"> summary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 w:rsidR="00926600" w:rsidRPr="00926600">
              <w:rPr>
                <w:lang w:val="en-US"/>
              </w:rPr>
              <w:t>CLCCR</w:t>
            </w:r>
            <w:r w:rsidRPr="00D62890">
              <w:rPr>
                <w:lang w:val="en-GB"/>
              </w:rPr>
              <w:t xml:space="preserve"> would</w:t>
            </w:r>
            <w:r w:rsidRPr="00203773">
              <w:t xml:space="preserve"> like</w:t>
            </w:r>
            <w:r w:rsidRPr="00485D8C">
              <w:rPr>
                <w:lang w:val="en-GB"/>
              </w:rPr>
              <w:t xml:space="preserve"> to ask</w:t>
            </w:r>
            <w:r w:rsidRPr="00203773">
              <w:t xml:space="preserve"> WP.15 </w:t>
            </w:r>
            <w:r w:rsidR="00956FFB" w:rsidRPr="00956FFB">
              <w:rPr>
                <w:lang w:val="en-US"/>
              </w:rPr>
              <w:t xml:space="preserve">to </w:t>
            </w:r>
            <w:r w:rsidR="00B67BC4">
              <w:rPr>
                <w:lang w:val="en-US"/>
              </w:rPr>
              <w:t>add the results from earlier WP.15 meetings regarding</w:t>
            </w:r>
            <w:r w:rsidR="00B67BC4" w:rsidRPr="00D62890">
              <w:rPr>
                <w:lang w:val="en-GB"/>
              </w:rPr>
              <w:t xml:space="preserve"> </w:t>
            </w:r>
            <w:r w:rsidR="00325684" w:rsidRPr="00D62890">
              <w:rPr>
                <w:lang w:val="en-GB"/>
              </w:rPr>
              <w:t>aluminium</w:t>
            </w:r>
            <w:r w:rsidR="00B67BC4">
              <w:rPr>
                <w:lang w:val="en-US"/>
              </w:rPr>
              <w:t xml:space="preserve"> in EX/III vehicle bodies. </w:t>
            </w:r>
            <w:r w:rsidR="008471F2">
              <w:rPr>
                <w:lang w:val="en-US"/>
              </w:rPr>
              <w:t>CLCCR ask WP.15 to add on</w:t>
            </w:r>
            <w:r w:rsidR="00325684">
              <w:rPr>
                <w:lang w:val="en-US"/>
              </w:rPr>
              <w:t>e</w:t>
            </w:r>
            <w:r w:rsidR="008471F2">
              <w:rPr>
                <w:lang w:val="en-US"/>
              </w:rPr>
              <w:t xml:space="preserve"> sentence </w:t>
            </w:r>
            <w:r w:rsidR="00325684">
              <w:rPr>
                <w:lang w:val="en-US"/>
              </w:rPr>
              <w:t xml:space="preserve">in 9.3.4.2 to make clear that </w:t>
            </w:r>
            <w:r w:rsidR="00AA469B">
              <w:rPr>
                <w:lang w:val="en-US"/>
              </w:rPr>
              <w:t>using</w:t>
            </w:r>
            <w:r w:rsidR="00AA469B" w:rsidRPr="00485D8C">
              <w:rPr>
                <w:lang w:val="en-GB"/>
              </w:rPr>
              <w:t xml:space="preserve"> </w:t>
            </w:r>
            <w:r w:rsidR="00325684" w:rsidRPr="00485D8C">
              <w:rPr>
                <w:lang w:val="en-GB"/>
              </w:rPr>
              <w:t>aluminium</w:t>
            </w:r>
            <w:r w:rsidR="00325684">
              <w:rPr>
                <w:lang w:val="en-US"/>
              </w:rPr>
              <w:t xml:space="preserve"> </w:t>
            </w:r>
            <w:r w:rsidR="00AA469B">
              <w:rPr>
                <w:lang w:val="en-US"/>
              </w:rPr>
              <w:t xml:space="preserve">in EX/III vehicle bodies </w:t>
            </w:r>
            <w:r w:rsidR="00325684">
              <w:rPr>
                <w:lang w:val="en-US"/>
              </w:rPr>
              <w:t xml:space="preserve">is not prohibit. 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30C84" w:rsidRPr="007E51BA" w:rsidRDefault="00A30C84" w:rsidP="007E51BA">
            <w:pPr>
              <w:pStyle w:val="SingleTxtG"/>
              <w:tabs>
                <w:tab w:val="left" w:pos="3260"/>
              </w:tabs>
              <w:ind w:left="3260" w:hanging="2126"/>
              <w:rPr>
                <w:rFonts w:eastAsia="Arial"/>
                <w:lang w:val="en-US"/>
              </w:rPr>
            </w:pPr>
            <w:r w:rsidRPr="00E62341">
              <w:rPr>
                <w:rFonts w:eastAsia="Arial"/>
                <w:b/>
              </w:rPr>
              <w:t>Action</w:t>
            </w:r>
            <w:r w:rsidRPr="00485D8C">
              <w:rPr>
                <w:rFonts w:eastAsia="Arial"/>
                <w:b/>
                <w:lang w:val="en-GB"/>
              </w:rPr>
              <w:t xml:space="preserve"> to be taken</w:t>
            </w:r>
            <w:r w:rsidRPr="00E62341">
              <w:rPr>
                <w:rFonts w:eastAsia="Arial"/>
              </w:rPr>
              <w:t>:</w:t>
            </w:r>
            <w:r w:rsidRPr="00485D8C">
              <w:rPr>
                <w:rFonts w:eastAsia="Arial"/>
                <w:lang w:val="en-GB"/>
              </w:rPr>
              <w:tab/>
            </w:r>
            <w:r w:rsidR="007E51BA" w:rsidRPr="00485D8C">
              <w:rPr>
                <w:lang w:val="en-GB"/>
              </w:rPr>
              <w:t>Decision</w:t>
            </w:r>
            <w:r w:rsidR="007E51BA" w:rsidRPr="007E51BA">
              <w:rPr>
                <w:lang w:val="en-US"/>
              </w:rPr>
              <w:t xml:space="preserve"> 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A30C84" w:rsidRDefault="00F300B0" w:rsidP="00C60099">
            <w:pPr>
              <w:suppressAutoHyphens w:val="0"/>
              <w:ind w:left="3261" w:hanging="2127"/>
            </w:pPr>
            <w:r w:rsidRPr="00F300B0">
              <w:rPr>
                <w:rFonts w:eastAsia="Arial"/>
                <w:b/>
                <w:lang w:val="x-none"/>
              </w:rPr>
              <w:t>Reference</w:t>
            </w:r>
            <w:r w:rsidRPr="00485D8C">
              <w:rPr>
                <w:rFonts w:eastAsia="Arial"/>
                <w:b/>
              </w:rPr>
              <w:t xml:space="preserve"> documents</w:t>
            </w:r>
            <w:r w:rsidRPr="00F300B0">
              <w:rPr>
                <w:rFonts w:eastAsia="Arial"/>
                <w:b/>
                <w:lang w:val="x-none"/>
              </w:rPr>
              <w:t>:</w:t>
            </w:r>
            <w:r>
              <w:rPr>
                <w:rFonts w:eastAsia="Arial"/>
              </w:rPr>
              <w:tab/>
            </w:r>
            <w:r w:rsidRPr="00D16CD2">
              <w:t xml:space="preserve">99th session of the WP.15 (ECE/TRANS/WP.15/230; paragraphs 12-15) </w:t>
            </w:r>
            <w:r>
              <w:br/>
            </w:r>
            <w:r w:rsidRPr="00F300B0">
              <w:t>91st session of the WP.15 (ECE/TRANS/WP.15/212; paragraph 9)</w:t>
            </w:r>
          </w:p>
          <w:p w:rsidR="00BE52CD" w:rsidRPr="00E62341" w:rsidRDefault="00BE52CD" w:rsidP="00C60099">
            <w:pPr>
              <w:suppressAutoHyphens w:val="0"/>
              <w:ind w:left="3261" w:hanging="2127"/>
              <w:rPr>
                <w:rFonts w:eastAsia="Arial"/>
              </w:rPr>
            </w:pPr>
          </w:p>
        </w:tc>
      </w:tr>
    </w:tbl>
    <w:p w:rsidR="00A30C84" w:rsidRPr="007A1823" w:rsidRDefault="00A30C84" w:rsidP="00A30C84">
      <w:pPr>
        <w:pStyle w:val="HChG"/>
      </w:pPr>
      <w:r>
        <w:tab/>
      </w:r>
      <w:r w:rsidRPr="00485D8C">
        <w:rPr>
          <w:lang w:val="en-GB"/>
        </w:rPr>
        <w:tab/>
        <w:t>Introduction</w:t>
      </w:r>
    </w:p>
    <w:p w:rsidR="00463A73" w:rsidRPr="00173648" w:rsidRDefault="00463A73" w:rsidP="00463A73">
      <w:pPr>
        <w:pStyle w:val="SingleTxtG"/>
        <w:rPr>
          <w:lang w:val="en-GB"/>
        </w:rPr>
      </w:pPr>
      <w:r w:rsidRPr="00463A73">
        <w:t>1.</w:t>
      </w:r>
      <w:r>
        <w:rPr>
          <w:lang w:val="en-US"/>
        </w:rPr>
        <w:tab/>
      </w:r>
      <w:r w:rsidR="007E51BA" w:rsidRPr="007E51BA">
        <w:rPr>
          <w:lang w:val="en-US"/>
        </w:rPr>
        <w:t xml:space="preserve">The Working Party discussed </w:t>
      </w:r>
      <w:r w:rsidR="007E51BA">
        <w:rPr>
          <w:lang w:val="en-US"/>
        </w:rPr>
        <w:t>this point t</w:t>
      </w:r>
      <w:r w:rsidR="001B0522">
        <w:rPr>
          <w:lang w:val="en-US"/>
        </w:rPr>
        <w:t>w</w:t>
      </w:r>
      <w:r w:rsidR="007E51BA">
        <w:rPr>
          <w:lang w:val="en-US"/>
        </w:rPr>
        <w:t xml:space="preserve">o times and </w:t>
      </w:r>
      <w:r w:rsidR="003A438B">
        <w:rPr>
          <w:lang w:val="en-US"/>
        </w:rPr>
        <w:t xml:space="preserve">came </w:t>
      </w:r>
      <w:r>
        <w:rPr>
          <w:lang w:val="en-US"/>
        </w:rPr>
        <w:t>always to the result that ADR did not prohibit the use of</w:t>
      </w:r>
      <w:r w:rsidRPr="00173648">
        <w:rPr>
          <w:lang w:val="en-GB"/>
        </w:rPr>
        <w:t xml:space="preserve"> aluminium</w:t>
      </w:r>
      <w:r>
        <w:rPr>
          <w:lang w:val="en-US"/>
        </w:rPr>
        <w:t xml:space="preserve"> in EX/III vehicle bodies:</w:t>
      </w:r>
    </w:p>
    <w:p w:rsidR="00463A73" w:rsidRDefault="00463A73" w:rsidP="00463A73">
      <w:pPr>
        <w:pStyle w:val="SingleTxtG"/>
        <w:rPr>
          <w:lang w:val="en-US"/>
        </w:rPr>
      </w:pPr>
      <w:r w:rsidRPr="00173648">
        <w:rPr>
          <w:lang w:val="en-GB"/>
        </w:rPr>
        <w:t>Extract from the report</w:t>
      </w:r>
      <w:r w:rsidRPr="00463A73">
        <w:rPr>
          <w:lang w:val="en-US"/>
        </w:rPr>
        <w:t xml:space="preserve"> of</w:t>
      </w:r>
      <w:r w:rsidR="003A438B">
        <w:rPr>
          <w:lang w:val="en-US"/>
        </w:rPr>
        <w:t xml:space="preserve"> </w:t>
      </w:r>
      <w:r w:rsidRPr="00463A73">
        <w:rPr>
          <w:lang w:val="en-US"/>
        </w:rPr>
        <w:t xml:space="preserve">the </w:t>
      </w:r>
      <w:r w:rsidRPr="00D16CD2">
        <w:rPr>
          <w:lang w:val="en-GB"/>
        </w:rPr>
        <w:t>91st session of the WP.15 (ECE/TRANS/WP.15/212; paragraph 9</w:t>
      </w:r>
      <w:r w:rsidR="003A438B">
        <w:rPr>
          <w:lang w:val="en-GB"/>
        </w:rPr>
        <w:t>)</w:t>
      </w:r>
      <w:r>
        <w:rPr>
          <w:lang w:val="en-GB"/>
        </w:rPr>
        <w:t>:</w:t>
      </w:r>
    </w:p>
    <w:p w:rsidR="00463A73" w:rsidRPr="00173648" w:rsidRDefault="00463A73" w:rsidP="00463A73">
      <w:pPr>
        <w:pStyle w:val="SingleTxtG"/>
        <w:ind w:left="1701"/>
        <w:rPr>
          <w:lang w:val="en-GB"/>
        </w:rPr>
      </w:pPr>
      <w:r w:rsidRPr="00463A73">
        <w:rPr>
          <w:lang w:val="en-US"/>
        </w:rPr>
        <w:t>„</w:t>
      </w:r>
      <w:r>
        <w:t>9. The Working Party</w:t>
      </w:r>
      <w:r w:rsidRPr="00173648">
        <w:rPr>
          <w:lang w:val="en-GB"/>
        </w:rPr>
        <w:t xml:space="preserve"> confirmed that</w:t>
      </w:r>
      <w:r>
        <w:t xml:space="preserve"> in</w:t>
      </w:r>
      <w:r w:rsidRPr="00173648">
        <w:rPr>
          <w:lang w:val="en-GB"/>
        </w:rPr>
        <w:t xml:space="preserve"> its current wording</w:t>
      </w:r>
      <w:r>
        <w:t xml:space="preserve"> ADR</w:t>
      </w:r>
      <w:r w:rsidRPr="00173648">
        <w:rPr>
          <w:lang w:val="en-GB"/>
        </w:rPr>
        <w:t xml:space="preserve"> did</w:t>
      </w:r>
      <w:r>
        <w:t xml:space="preserve"> not</w:t>
      </w:r>
      <w:r w:rsidRPr="00173648">
        <w:rPr>
          <w:lang w:val="en-GB"/>
        </w:rPr>
        <w:t xml:space="preserve"> prohibit the use of aluminium</w:t>
      </w:r>
      <w:r>
        <w:t xml:space="preserve"> in EX/III</w:t>
      </w:r>
      <w:r w:rsidRPr="00173648">
        <w:rPr>
          <w:lang w:val="en-GB"/>
        </w:rPr>
        <w:t xml:space="preserve"> vehicle bodies</w:t>
      </w:r>
      <w:r w:rsidR="00173648">
        <w:rPr>
          <w:lang w:val="en-GB"/>
        </w:rPr>
        <w:t xml:space="preserve"> </w:t>
      </w:r>
      <w:r>
        <w:t>…</w:t>
      </w:r>
      <w:r w:rsidR="00173648" w:rsidRPr="00463A73">
        <w:rPr>
          <w:lang w:val="en-US"/>
        </w:rPr>
        <w:t>. “</w:t>
      </w:r>
    </w:p>
    <w:p w:rsidR="00463A73" w:rsidRDefault="003A438B" w:rsidP="00463A73">
      <w:pPr>
        <w:pStyle w:val="SingleTxtG"/>
        <w:rPr>
          <w:lang w:val="en-GB"/>
        </w:rPr>
      </w:pPr>
      <w:r w:rsidRPr="00173648">
        <w:rPr>
          <w:lang w:val="en-GB"/>
        </w:rPr>
        <w:t>Extract from the report</w:t>
      </w:r>
      <w:r w:rsidRPr="00463A73">
        <w:rPr>
          <w:lang w:val="en-US"/>
        </w:rPr>
        <w:t xml:space="preserve"> of</w:t>
      </w:r>
      <w:r>
        <w:rPr>
          <w:lang w:val="en-US"/>
        </w:rPr>
        <w:t xml:space="preserve"> </w:t>
      </w:r>
      <w:r w:rsidRPr="00463A73">
        <w:rPr>
          <w:lang w:val="en-US"/>
        </w:rPr>
        <w:t>the</w:t>
      </w:r>
      <w:r>
        <w:rPr>
          <w:lang w:val="en-US"/>
        </w:rPr>
        <w:t xml:space="preserve"> </w:t>
      </w:r>
      <w:r w:rsidRPr="00D16CD2">
        <w:rPr>
          <w:lang w:val="en-GB"/>
        </w:rPr>
        <w:t>99th session of the WP.15 (ECE/TRANS/WP.15/230; paragraphs 12-15)</w:t>
      </w:r>
      <w:r>
        <w:rPr>
          <w:lang w:val="en-GB"/>
        </w:rPr>
        <w:t>:</w:t>
      </w:r>
    </w:p>
    <w:p w:rsidR="003A438B" w:rsidRDefault="003A438B" w:rsidP="00BE52CD">
      <w:pPr>
        <w:suppressAutoHyphens w:val="0"/>
        <w:autoSpaceDE w:val="0"/>
        <w:autoSpaceDN w:val="0"/>
        <w:adjustRightInd w:val="0"/>
        <w:spacing w:line="240" w:lineRule="auto"/>
        <w:ind w:left="1701" w:right="1134"/>
        <w:rPr>
          <w:lang w:val="en-US" w:eastAsia="de-DE"/>
        </w:rPr>
      </w:pPr>
      <w:r>
        <w:rPr>
          <w:lang w:val="en-US" w:eastAsia="de-DE"/>
        </w:rPr>
        <w:t>“</w:t>
      </w:r>
      <w:r w:rsidRPr="003A438B">
        <w:rPr>
          <w:lang w:val="en-US" w:eastAsia="de-DE"/>
        </w:rPr>
        <w:t>12. The delegations that took the floor were of the opinion that the intention of</w:t>
      </w:r>
      <w:r>
        <w:rPr>
          <w:lang w:val="en-US" w:eastAsia="de-DE"/>
        </w:rPr>
        <w:t xml:space="preserve"> </w:t>
      </w:r>
      <w:r w:rsidRPr="003A438B">
        <w:rPr>
          <w:lang w:val="en-US" w:eastAsia="de-DE"/>
        </w:rPr>
        <w:t>subsection 9.3.4.2 of ADR was indeed to protect the load from sources of heat and external</w:t>
      </w:r>
      <w:r>
        <w:rPr>
          <w:lang w:val="en-US" w:eastAsia="de-DE"/>
        </w:rPr>
        <w:t xml:space="preserve"> </w:t>
      </w:r>
      <w:r w:rsidRPr="003A438B">
        <w:rPr>
          <w:lang w:val="en-US" w:eastAsia="de-DE"/>
        </w:rPr>
        <w:t>flames.</w:t>
      </w:r>
    </w:p>
    <w:p w:rsidR="003A438B" w:rsidRPr="003A438B" w:rsidRDefault="003A438B" w:rsidP="003A438B">
      <w:pPr>
        <w:suppressAutoHyphens w:val="0"/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</w:p>
    <w:p w:rsidR="003A438B" w:rsidRPr="003A438B" w:rsidRDefault="003A438B" w:rsidP="00BE52CD">
      <w:pPr>
        <w:suppressAutoHyphens w:val="0"/>
        <w:autoSpaceDE w:val="0"/>
        <w:autoSpaceDN w:val="0"/>
        <w:adjustRightInd w:val="0"/>
        <w:spacing w:line="240" w:lineRule="auto"/>
        <w:ind w:left="1701" w:right="1134"/>
        <w:rPr>
          <w:lang w:val="en-US" w:eastAsia="de-DE"/>
        </w:rPr>
      </w:pPr>
      <w:r w:rsidRPr="003A438B">
        <w:rPr>
          <w:lang w:val="en-US" w:eastAsia="de-DE"/>
        </w:rPr>
        <w:t>13. It was recalled that, at its ninety-first session (see ECE/TRANS/WP.15/212), the</w:t>
      </w:r>
      <w:r>
        <w:rPr>
          <w:lang w:val="en-US" w:eastAsia="de-DE"/>
        </w:rPr>
        <w:t xml:space="preserve"> </w:t>
      </w:r>
      <w:r w:rsidRPr="003A438B">
        <w:rPr>
          <w:lang w:val="en-US" w:eastAsia="de-DE"/>
        </w:rPr>
        <w:t>Working Party had confirmed that ADR did not prohibit the use of</w:t>
      </w:r>
      <w:r w:rsidRPr="00173648">
        <w:rPr>
          <w:lang w:eastAsia="de-DE"/>
        </w:rPr>
        <w:t xml:space="preserve"> aluminium</w:t>
      </w:r>
      <w:r w:rsidRPr="003A438B">
        <w:rPr>
          <w:lang w:val="en-US" w:eastAsia="de-DE"/>
        </w:rPr>
        <w:t xml:space="preserve"> in EX/III</w:t>
      </w:r>
      <w:r>
        <w:rPr>
          <w:lang w:val="en-US" w:eastAsia="de-DE"/>
        </w:rPr>
        <w:t xml:space="preserve"> </w:t>
      </w:r>
      <w:r w:rsidRPr="003A438B">
        <w:rPr>
          <w:lang w:val="en-US" w:eastAsia="de-DE"/>
        </w:rPr>
        <w:t>vehicle bodies</w:t>
      </w:r>
      <w:r>
        <w:rPr>
          <w:lang w:val="en-US" w:eastAsia="de-DE"/>
        </w:rPr>
        <w:t>….”</w:t>
      </w:r>
    </w:p>
    <w:p w:rsidR="00A30C84" w:rsidRPr="00C36A4C" w:rsidRDefault="00A30C84" w:rsidP="00A30C84">
      <w:pPr>
        <w:pStyle w:val="HChG"/>
        <w:rPr>
          <w:lang w:val="en-US"/>
        </w:rPr>
      </w:pPr>
      <w:r>
        <w:rPr>
          <w:lang w:val="fr-FR"/>
        </w:rPr>
        <w:tab/>
      </w:r>
      <w:r w:rsidRPr="00173648">
        <w:rPr>
          <w:lang w:val="en-GB"/>
        </w:rPr>
        <w:tab/>
        <w:t>Proposal</w:t>
      </w:r>
      <w:r w:rsidR="00C36A4C" w:rsidRPr="00C36A4C">
        <w:rPr>
          <w:lang w:val="en-US"/>
        </w:rPr>
        <w:t xml:space="preserve"> for amendments</w:t>
      </w:r>
    </w:p>
    <w:p w:rsidR="00BC23C8" w:rsidRDefault="00F300B0" w:rsidP="00A30C84">
      <w:pPr>
        <w:pStyle w:val="SingleTxtG"/>
        <w:rPr>
          <w:lang w:val="en-US"/>
        </w:rPr>
      </w:pPr>
      <w:r>
        <w:t>2</w:t>
      </w:r>
      <w:r w:rsidR="00A30C84">
        <w:t>.</w:t>
      </w:r>
      <w:r w:rsidR="00A30C84">
        <w:tab/>
      </w:r>
      <w:r w:rsidR="00C36A4C" w:rsidRPr="00C36A4C">
        <w:rPr>
          <w:lang w:val="en-US"/>
        </w:rPr>
        <w:t xml:space="preserve">If WP.15 follows </w:t>
      </w:r>
      <w:r w:rsidR="00C36A4C">
        <w:rPr>
          <w:lang w:val="en-US"/>
        </w:rPr>
        <w:t>there previous confirmations</w:t>
      </w:r>
      <w:r w:rsidR="00F82229">
        <w:rPr>
          <w:lang w:val="en-US"/>
        </w:rPr>
        <w:t>,</w:t>
      </w:r>
      <w:r w:rsidR="00C36A4C">
        <w:rPr>
          <w:lang w:val="en-US"/>
        </w:rPr>
        <w:t xml:space="preserve"> </w:t>
      </w:r>
      <w:r w:rsidR="00F82229">
        <w:rPr>
          <w:lang w:val="en-US"/>
        </w:rPr>
        <w:t xml:space="preserve">CLCCR would propose to add one sentence </w:t>
      </w:r>
      <w:r w:rsidR="00BC23C8">
        <w:rPr>
          <w:lang w:val="en-US"/>
        </w:rPr>
        <w:t>in 9.3.4.2:</w:t>
      </w:r>
    </w:p>
    <w:p w:rsidR="00BC23C8" w:rsidRPr="00BC23C8" w:rsidRDefault="00BC23C8" w:rsidP="00BC23C8">
      <w:pPr>
        <w:pStyle w:val="SingleTxtG"/>
        <w:ind w:left="1701"/>
        <w:rPr>
          <w:lang w:val="en-US"/>
        </w:rPr>
      </w:pPr>
      <w:r w:rsidRPr="00173648">
        <w:rPr>
          <w:lang w:val="en-GB"/>
        </w:rPr>
        <w:lastRenderedPageBreak/>
        <w:t>„Aluminium</w:t>
      </w:r>
      <w:r w:rsidRPr="00BC23C8">
        <w:rPr>
          <w:lang w:val="en-US"/>
        </w:rPr>
        <w:t xml:space="preserve"> is permitted as construction material in the load compartment</w:t>
      </w:r>
      <w:r w:rsidR="00C60099">
        <w:rPr>
          <w:lang w:val="en-US"/>
        </w:rPr>
        <w:t>s</w:t>
      </w:r>
      <w:r w:rsidRPr="00BC23C8">
        <w:rPr>
          <w:lang w:val="en-US"/>
        </w:rPr>
        <w:t>.</w:t>
      </w:r>
      <w:r>
        <w:rPr>
          <w:lang w:val="en-US"/>
        </w:rPr>
        <w:t>”</w:t>
      </w:r>
      <w:r w:rsidRPr="00BC23C8">
        <w:rPr>
          <w:lang w:val="en-US"/>
        </w:rPr>
        <w:t xml:space="preserve"> </w:t>
      </w:r>
    </w:p>
    <w:p w:rsidR="00A30C84" w:rsidRPr="00DE1A2D" w:rsidRDefault="00A30C84" w:rsidP="00A30C84">
      <w:pPr>
        <w:pStyle w:val="SingleTxtG"/>
        <w:rPr>
          <w:lang w:val="en-US"/>
        </w:rPr>
      </w:pPr>
    </w:p>
    <w:p w:rsidR="00A30C84" w:rsidRPr="00CB5756" w:rsidRDefault="00AA55D5" w:rsidP="00AA55D5">
      <w:pPr>
        <w:pStyle w:val="HChG"/>
        <w:rPr>
          <w:lang w:val="en-US"/>
        </w:rPr>
      </w:pPr>
      <w:r>
        <w:tab/>
      </w:r>
      <w:r>
        <w:tab/>
      </w:r>
      <w:r w:rsidR="00CB5756" w:rsidRPr="00CB5756">
        <w:rPr>
          <w:lang w:val="en-US"/>
        </w:rPr>
        <w:t>Justification</w:t>
      </w:r>
    </w:p>
    <w:p w:rsidR="0062608F" w:rsidRPr="00F370D7" w:rsidRDefault="0062608F" w:rsidP="00A30C84">
      <w:pPr>
        <w:pStyle w:val="SingleTxtG"/>
        <w:spacing w:before="120"/>
        <w:rPr>
          <w:lang w:val="en-US"/>
        </w:rPr>
      </w:pPr>
      <w:r w:rsidRPr="00F370D7">
        <w:rPr>
          <w:lang w:val="en-US"/>
        </w:rPr>
        <w:t>If the previous WP.15</w:t>
      </w:r>
      <w:r w:rsidR="00026061">
        <w:rPr>
          <w:lang w:val="en-US"/>
        </w:rPr>
        <w:t xml:space="preserve"> confirmations will be describe</w:t>
      </w:r>
      <w:r w:rsidRPr="00F370D7">
        <w:rPr>
          <w:lang w:val="en-US"/>
        </w:rPr>
        <w:t xml:space="preserve"> in the ADR, it will avoid discussion during the certification process of EX/III vehicle bodies. </w:t>
      </w:r>
    </w:p>
    <w:p w:rsidR="00A30C84" w:rsidRPr="00597C2F" w:rsidRDefault="00A30C84" w:rsidP="00A30C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0C84" w:rsidRPr="00597C2F" w:rsidSect="00F300B0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113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3E" w:rsidRDefault="006F303E"/>
  </w:endnote>
  <w:endnote w:type="continuationSeparator" w:id="0">
    <w:p w:rsidR="006F303E" w:rsidRDefault="006F303E"/>
  </w:endnote>
  <w:endnote w:type="continuationNotice" w:id="1">
    <w:p w:rsidR="006F303E" w:rsidRDefault="006F3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E52CD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CB5756">
      <w:rPr>
        <w:b/>
        <w:noProof/>
        <w:sz w:val="18"/>
      </w:rPr>
      <w:t>3</w:t>
    </w:r>
    <w:r w:rsidR="00CC24B7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3E" w:rsidRPr="000B175B" w:rsidRDefault="006F30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303E" w:rsidRPr="00FC68B7" w:rsidRDefault="006F30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F303E" w:rsidRDefault="006F3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BE52CD">
      <w:rPr>
        <w:szCs w:val="18"/>
        <w:lang w:val="fr-CH"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A30C84">
      <w:rPr>
        <w:lang w:val="fr-CH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0020"/>
    <w:multiLevelType w:val="hybridMultilevel"/>
    <w:tmpl w:val="864223AE"/>
    <w:lvl w:ilvl="0" w:tplc="25D8335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218B5"/>
    <w:rsid w:val="00026061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3648"/>
    <w:rsid w:val="00177CE8"/>
    <w:rsid w:val="0018210E"/>
    <w:rsid w:val="00193CA7"/>
    <w:rsid w:val="001A1DCF"/>
    <w:rsid w:val="001A6E55"/>
    <w:rsid w:val="001B0522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17CC8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C63B0"/>
    <w:rsid w:val="002D0CE4"/>
    <w:rsid w:val="002D2E24"/>
    <w:rsid w:val="002D4643"/>
    <w:rsid w:val="002D4B6C"/>
    <w:rsid w:val="002E0815"/>
    <w:rsid w:val="002F175C"/>
    <w:rsid w:val="002F3C64"/>
    <w:rsid w:val="00301D76"/>
    <w:rsid w:val="00302E18"/>
    <w:rsid w:val="0030606F"/>
    <w:rsid w:val="003173A5"/>
    <w:rsid w:val="003229D8"/>
    <w:rsid w:val="00325684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438B"/>
    <w:rsid w:val="003A6498"/>
    <w:rsid w:val="003A6728"/>
    <w:rsid w:val="003A6810"/>
    <w:rsid w:val="003A7C69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E01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A73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85D8C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2608F"/>
    <w:rsid w:val="006309EF"/>
    <w:rsid w:val="00640B26"/>
    <w:rsid w:val="00642081"/>
    <w:rsid w:val="00651B2F"/>
    <w:rsid w:val="00652D0A"/>
    <w:rsid w:val="006623D5"/>
    <w:rsid w:val="00662531"/>
    <w:rsid w:val="00662BB6"/>
    <w:rsid w:val="00662BB7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702574"/>
    <w:rsid w:val="00703577"/>
    <w:rsid w:val="00705894"/>
    <w:rsid w:val="0071793F"/>
    <w:rsid w:val="0072632A"/>
    <w:rsid w:val="007327D5"/>
    <w:rsid w:val="00743E81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51BA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471F2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6600"/>
    <w:rsid w:val="00927829"/>
    <w:rsid w:val="00933E40"/>
    <w:rsid w:val="00934137"/>
    <w:rsid w:val="00940F93"/>
    <w:rsid w:val="0094558F"/>
    <w:rsid w:val="009536F9"/>
    <w:rsid w:val="00956FFB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66670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469B"/>
    <w:rsid w:val="00AA5165"/>
    <w:rsid w:val="00AA55D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162CA"/>
    <w:rsid w:val="00B2148A"/>
    <w:rsid w:val="00B21F96"/>
    <w:rsid w:val="00B22BC2"/>
    <w:rsid w:val="00B24F79"/>
    <w:rsid w:val="00B25EB2"/>
    <w:rsid w:val="00B27148"/>
    <w:rsid w:val="00B30179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67BC4"/>
    <w:rsid w:val="00B70F1E"/>
    <w:rsid w:val="00B77D05"/>
    <w:rsid w:val="00B8059B"/>
    <w:rsid w:val="00B81206"/>
    <w:rsid w:val="00B81E12"/>
    <w:rsid w:val="00B8394B"/>
    <w:rsid w:val="00B85D76"/>
    <w:rsid w:val="00B87639"/>
    <w:rsid w:val="00B932B6"/>
    <w:rsid w:val="00B94746"/>
    <w:rsid w:val="00BA4F47"/>
    <w:rsid w:val="00BB5635"/>
    <w:rsid w:val="00BB7CD1"/>
    <w:rsid w:val="00BC23C8"/>
    <w:rsid w:val="00BC2725"/>
    <w:rsid w:val="00BC3FA0"/>
    <w:rsid w:val="00BC626B"/>
    <w:rsid w:val="00BC67E1"/>
    <w:rsid w:val="00BC74E9"/>
    <w:rsid w:val="00BE4F17"/>
    <w:rsid w:val="00BE52CD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36A4C"/>
    <w:rsid w:val="00C43462"/>
    <w:rsid w:val="00C4527F"/>
    <w:rsid w:val="00C45E05"/>
    <w:rsid w:val="00C463DD"/>
    <w:rsid w:val="00C4724C"/>
    <w:rsid w:val="00C60099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756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16CD2"/>
    <w:rsid w:val="00D2031B"/>
    <w:rsid w:val="00D224BF"/>
    <w:rsid w:val="00D22523"/>
    <w:rsid w:val="00D25FE2"/>
    <w:rsid w:val="00D43252"/>
    <w:rsid w:val="00D44198"/>
    <w:rsid w:val="00D47EEA"/>
    <w:rsid w:val="00D47F36"/>
    <w:rsid w:val="00D550D4"/>
    <w:rsid w:val="00D56292"/>
    <w:rsid w:val="00D62742"/>
    <w:rsid w:val="00D62890"/>
    <w:rsid w:val="00D7419E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D7094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6B7D"/>
    <w:rsid w:val="00F227A6"/>
    <w:rsid w:val="00F300B0"/>
    <w:rsid w:val="00F31170"/>
    <w:rsid w:val="00F31E5F"/>
    <w:rsid w:val="00F36F0D"/>
    <w:rsid w:val="00F370D7"/>
    <w:rsid w:val="00F42999"/>
    <w:rsid w:val="00F51ECD"/>
    <w:rsid w:val="00F57ED1"/>
    <w:rsid w:val="00F6100A"/>
    <w:rsid w:val="00F66565"/>
    <w:rsid w:val="00F8015D"/>
    <w:rsid w:val="00F82229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4034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219443B"/>
  <w15:chartTrackingRefBased/>
  <w15:docId w15:val="{DB3A8BE1-80AC-43AE-B57F-80D6FFFC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C7EB-F967-4C12-8AB7-1D322F99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4</cp:revision>
  <cp:lastPrinted>2014-04-24T12:30:00Z</cp:lastPrinted>
  <dcterms:created xsi:type="dcterms:W3CDTF">2017-11-07T14:02:00Z</dcterms:created>
  <dcterms:modified xsi:type="dcterms:W3CDTF">2017-11-07T14:03:00Z</dcterms:modified>
</cp:coreProperties>
</file>