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5A1400" w:rsidTr="00691F20">
        <w:trPr>
          <w:cantSplit/>
          <w:trHeight w:hRule="exact" w:val="851"/>
        </w:trPr>
        <w:tc>
          <w:tcPr>
            <w:tcW w:w="9639" w:type="dxa"/>
            <w:tcBorders>
              <w:bottom w:val="single" w:sz="4" w:space="0" w:color="auto"/>
            </w:tcBorders>
            <w:vAlign w:val="bottom"/>
          </w:tcPr>
          <w:p w:rsidR="0099001C" w:rsidRPr="005A1400" w:rsidRDefault="0099001C" w:rsidP="005A1400">
            <w:pPr>
              <w:jc w:val="right"/>
              <w:rPr>
                <w:b/>
                <w:sz w:val="40"/>
                <w:szCs w:val="40"/>
              </w:rPr>
            </w:pPr>
            <w:r w:rsidRPr="005A1400">
              <w:rPr>
                <w:b/>
                <w:sz w:val="40"/>
                <w:szCs w:val="40"/>
              </w:rPr>
              <w:t>UN/SCEGHS/</w:t>
            </w:r>
            <w:r w:rsidR="00664234" w:rsidRPr="005A1400">
              <w:rPr>
                <w:b/>
                <w:sz w:val="40"/>
                <w:szCs w:val="40"/>
              </w:rPr>
              <w:t>34</w:t>
            </w:r>
            <w:r w:rsidRPr="005A1400">
              <w:rPr>
                <w:b/>
                <w:sz w:val="40"/>
                <w:szCs w:val="40"/>
              </w:rPr>
              <w:t>/INF.</w:t>
            </w:r>
            <w:r w:rsidR="005A1400" w:rsidRPr="005A1400">
              <w:rPr>
                <w:b/>
                <w:sz w:val="40"/>
                <w:szCs w:val="40"/>
              </w:rPr>
              <w:t>21</w:t>
            </w:r>
          </w:p>
        </w:tc>
      </w:tr>
      <w:tr w:rsidR="0099001C" w:rsidRPr="005A1400" w:rsidTr="008B6E26">
        <w:trPr>
          <w:cantSplit/>
          <w:trHeight w:hRule="exact" w:val="3114"/>
        </w:trPr>
        <w:tc>
          <w:tcPr>
            <w:tcW w:w="9639" w:type="dxa"/>
            <w:tcBorders>
              <w:top w:val="single" w:sz="4" w:space="0" w:color="auto"/>
            </w:tcBorders>
          </w:tcPr>
          <w:p w:rsidR="00965932" w:rsidRPr="005A1400" w:rsidRDefault="00965932" w:rsidP="00965932">
            <w:pPr>
              <w:spacing w:before="120"/>
              <w:rPr>
                <w:b/>
                <w:sz w:val="24"/>
                <w:szCs w:val="24"/>
                <w:lang w:val="en-US"/>
              </w:rPr>
            </w:pPr>
            <w:r w:rsidRPr="005A1400">
              <w:rPr>
                <w:b/>
                <w:sz w:val="24"/>
                <w:szCs w:val="24"/>
                <w:lang w:val="en-US"/>
              </w:rPr>
              <w:t>Committee of Experts on the Transport of Dangerous Goods</w:t>
            </w:r>
            <w:r w:rsidRPr="005A1400">
              <w:rPr>
                <w:b/>
                <w:sz w:val="24"/>
                <w:szCs w:val="24"/>
                <w:lang w:val="en-US"/>
              </w:rPr>
              <w:br/>
              <w:t>and on the Globally Harmonized System of Classification</w:t>
            </w:r>
            <w:r w:rsidRPr="005A1400">
              <w:rPr>
                <w:b/>
                <w:sz w:val="24"/>
                <w:szCs w:val="24"/>
                <w:lang w:val="en-US"/>
              </w:rPr>
              <w:br/>
              <w:t>and Labelling of Chemicals</w:t>
            </w:r>
          </w:p>
          <w:p w:rsidR="00965932" w:rsidRPr="005A1400" w:rsidRDefault="00965932" w:rsidP="00965932">
            <w:pPr>
              <w:tabs>
                <w:tab w:val="left" w:pos="7230"/>
                <w:tab w:val="right" w:pos="9300"/>
              </w:tabs>
              <w:spacing w:before="120"/>
              <w:rPr>
                <w:rFonts w:ascii="Helv" w:hAnsi="Helv" w:cs="Helv"/>
                <w:b/>
                <w:color w:val="000000"/>
                <w:lang w:val="en-US"/>
              </w:rPr>
            </w:pPr>
            <w:r w:rsidRPr="005A1400">
              <w:rPr>
                <w:b/>
                <w:lang w:val="en-US"/>
              </w:rPr>
              <w:t>Sub-Committee of Experts on the Globally Harmonized</w:t>
            </w:r>
            <w:r w:rsidRPr="005A1400">
              <w:rPr>
                <w:b/>
                <w:lang w:val="en-US"/>
              </w:rPr>
              <w:br/>
              <w:t>System of Classification and Labelling of Chemicals</w:t>
            </w:r>
            <w:r w:rsidRPr="005A1400">
              <w:rPr>
                <w:b/>
                <w:lang w:val="en-US"/>
              </w:rPr>
              <w:tab/>
            </w:r>
            <w:r w:rsidR="001B06A5" w:rsidRPr="005A1400">
              <w:rPr>
                <w:b/>
                <w:lang w:val="en-US"/>
              </w:rPr>
              <w:tab/>
            </w:r>
            <w:r w:rsidR="00664234" w:rsidRPr="005A1400">
              <w:rPr>
                <w:b/>
                <w:lang w:val="en-US"/>
              </w:rPr>
              <w:t>6</w:t>
            </w:r>
            <w:r w:rsidR="00C00ACE" w:rsidRPr="005A1400">
              <w:rPr>
                <w:b/>
                <w:lang w:val="en-US"/>
              </w:rPr>
              <w:t xml:space="preserve"> </w:t>
            </w:r>
            <w:r w:rsidR="00664234" w:rsidRPr="005A1400">
              <w:rPr>
                <w:b/>
                <w:lang w:val="en-US"/>
              </w:rPr>
              <w:t>December</w:t>
            </w:r>
            <w:r w:rsidRPr="005A1400">
              <w:rPr>
                <w:b/>
                <w:lang w:val="en-US"/>
              </w:rPr>
              <w:t xml:space="preserve"> </w:t>
            </w:r>
            <w:r w:rsidR="00664234" w:rsidRPr="005A1400">
              <w:rPr>
                <w:b/>
                <w:lang w:val="en-US"/>
              </w:rPr>
              <w:t>201</w:t>
            </w:r>
            <w:r w:rsidR="005969DF">
              <w:rPr>
                <w:b/>
                <w:lang w:val="en-US"/>
              </w:rPr>
              <w:t>7</w:t>
            </w:r>
          </w:p>
          <w:p w:rsidR="00965932" w:rsidRPr="005A1400" w:rsidRDefault="00965932" w:rsidP="00965932">
            <w:pPr>
              <w:jc w:val="both"/>
              <w:rPr>
                <w:b/>
                <w:lang w:val="en-US"/>
              </w:rPr>
            </w:pPr>
          </w:p>
          <w:p w:rsidR="00965932" w:rsidRPr="005A1400" w:rsidRDefault="00965932" w:rsidP="00965932">
            <w:pPr>
              <w:jc w:val="both"/>
            </w:pPr>
            <w:r w:rsidRPr="005A1400">
              <w:rPr>
                <w:b/>
              </w:rPr>
              <w:t>Thirty-</w:t>
            </w:r>
            <w:r w:rsidR="00664234" w:rsidRPr="005A1400">
              <w:rPr>
                <w:b/>
              </w:rPr>
              <w:t>fourth</w:t>
            </w:r>
            <w:r w:rsidRPr="005A1400">
              <w:rPr>
                <w:b/>
              </w:rPr>
              <w:t xml:space="preserve"> session</w:t>
            </w:r>
            <w:r w:rsidRPr="005A1400">
              <w:t xml:space="preserve"> </w:t>
            </w:r>
          </w:p>
          <w:p w:rsidR="001B06A5" w:rsidRPr="005A1400" w:rsidRDefault="001B06A5" w:rsidP="001B06A5">
            <w:pPr>
              <w:jc w:val="both"/>
            </w:pPr>
            <w:r w:rsidRPr="005A1400">
              <w:t xml:space="preserve">Geneva, </w:t>
            </w:r>
            <w:r w:rsidR="00664234" w:rsidRPr="005A1400">
              <w:t>6</w:t>
            </w:r>
            <w:r w:rsidRPr="005A1400">
              <w:t>-</w:t>
            </w:r>
            <w:r w:rsidR="00664234" w:rsidRPr="005A1400">
              <w:t>8</w:t>
            </w:r>
            <w:r w:rsidRPr="005A1400">
              <w:t xml:space="preserve"> </w:t>
            </w:r>
            <w:r w:rsidR="00664234" w:rsidRPr="005A1400">
              <w:t>December 2018</w:t>
            </w:r>
          </w:p>
          <w:p w:rsidR="0099001C" w:rsidRPr="005A1400" w:rsidRDefault="001B06A5" w:rsidP="005A1400">
            <w:pPr>
              <w:spacing w:before="40"/>
            </w:pPr>
            <w:r w:rsidRPr="005A1400">
              <w:t xml:space="preserve">Item </w:t>
            </w:r>
            <w:r w:rsidR="00265243" w:rsidRPr="005A1400">
              <w:t xml:space="preserve">2 </w:t>
            </w:r>
            <w:r w:rsidR="005A1400" w:rsidRPr="005A1400">
              <w:t xml:space="preserve">(a) </w:t>
            </w:r>
            <w:r w:rsidRPr="005A1400">
              <w:t>of the provisional agenda</w:t>
            </w:r>
          </w:p>
        </w:tc>
      </w:tr>
    </w:tbl>
    <w:p w:rsidR="00C00ACE" w:rsidRPr="00C00ACE" w:rsidRDefault="00965932" w:rsidP="00126F98">
      <w:pPr>
        <w:pStyle w:val="HChG"/>
        <w:spacing w:before="0"/>
      </w:pPr>
      <w:r w:rsidRPr="009E7ABD">
        <w:rPr>
          <w:rFonts w:eastAsia="MS Mincho"/>
          <w:lang w:val="en-US" w:eastAsia="ja-JP"/>
        </w:rPr>
        <w:tab/>
      </w:r>
      <w:r w:rsidR="00C00ACE">
        <w:rPr>
          <w:rFonts w:eastAsia="MS Mincho"/>
          <w:lang w:val="en-US" w:eastAsia="ja-JP"/>
        </w:rPr>
        <w:tab/>
      </w:r>
      <w:r w:rsidR="00C00ACE" w:rsidRPr="005A1400">
        <w:t>Work of the Sub-Committee of Experts on the Transport of</w:t>
      </w:r>
      <w:r w:rsidR="00C00ACE" w:rsidRPr="00C00ACE">
        <w:t xml:space="preserve"> Dangerous Goods on its fifty-</w:t>
      </w:r>
      <w:r w:rsidR="00664234">
        <w:t>second</w:t>
      </w:r>
      <w:r w:rsidR="00C00ACE" w:rsidRPr="00C00ACE">
        <w:t xml:space="preserve"> session on matters of interest to the GHS Sub-Committee</w:t>
      </w:r>
    </w:p>
    <w:p w:rsidR="00C00ACE" w:rsidRDefault="00C00ACE" w:rsidP="00C00ACE">
      <w:pPr>
        <w:pStyle w:val="H1G"/>
      </w:pPr>
      <w:r>
        <w:tab/>
      </w:r>
      <w:r>
        <w:tab/>
        <w:t>Note by the secretariat</w:t>
      </w:r>
    </w:p>
    <w:p w:rsidR="00E27CDD" w:rsidRDefault="00C00ACE" w:rsidP="00C00ACE">
      <w:pPr>
        <w:pStyle w:val="SingleTxtG"/>
      </w:pPr>
      <w:r w:rsidRPr="001A5EFA">
        <w:t xml:space="preserve">1. </w:t>
      </w:r>
      <w:r w:rsidRPr="001A5EFA">
        <w:tab/>
        <w:t>At its fifty-</w:t>
      </w:r>
      <w:r w:rsidR="00664234">
        <w:t>second</w:t>
      </w:r>
      <w:r w:rsidRPr="001A5EFA">
        <w:t xml:space="preserve"> session, the Sub-Committee of Experts on the Transport of Dangerous Goods (TDG Sub-Committee) considered matters o</w:t>
      </w:r>
      <w:r w:rsidR="007229DF">
        <w:t>f</w:t>
      </w:r>
      <w:r w:rsidRPr="001A5EFA">
        <w:t xml:space="preserve"> interest to the GHS Sub-</w:t>
      </w:r>
      <w:r w:rsidRPr="00125265">
        <w:t>Committee under items 2 and 10 of its agenda</w:t>
      </w:r>
      <w:r w:rsidR="00E30EE8" w:rsidRPr="00125265">
        <w:rPr>
          <w:rStyle w:val="FootnoteReference"/>
        </w:rPr>
        <w:footnoteReference w:id="2"/>
      </w:r>
      <w:r w:rsidRPr="00125265">
        <w:t>.</w:t>
      </w:r>
      <w:r w:rsidR="00E27CDD" w:rsidRPr="00125265">
        <w:t xml:space="preserve"> These included:</w:t>
      </w:r>
    </w:p>
    <w:p w:rsidR="00E27CDD" w:rsidRDefault="00E27CDD" w:rsidP="00126F98">
      <w:pPr>
        <w:pStyle w:val="SingleTxtG"/>
        <w:spacing w:after="80" w:line="240" w:lineRule="auto"/>
        <w:ind w:left="2268" w:hanging="567"/>
      </w:pPr>
      <w:r>
        <w:t>(a)</w:t>
      </w:r>
      <w:r>
        <w:tab/>
        <w:t>Explosives and related matters</w:t>
      </w:r>
      <w:r w:rsidR="00A0275E">
        <w:t>;</w:t>
      </w:r>
      <w:r w:rsidR="00125265">
        <w:t xml:space="preserve"> and</w:t>
      </w:r>
    </w:p>
    <w:p w:rsidR="00E27CDD" w:rsidRDefault="00E27CDD" w:rsidP="00126F98">
      <w:pPr>
        <w:pStyle w:val="SingleTxtG"/>
        <w:spacing w:after="80" w:line="240" w:lineRule="auto"/>
        <w:ind w:left="2268" w:hanging="567"/>
      </w:pPr>
      <w:r>
        <w:t>(c)</w:t>
      </w:r>
      <w:r>
        <w:tab/>
        <w:t>Use of the Manual of Tests and Criteria in the context of the GHS</w:t>
      </w:r>
      <w:r w:rsidR="00BC6217">
        <w:t>;</w:t>
      </w:r>
    </w:p>
    <w:p w:rsidR="00BC6217" w:rsidRPr="00634742" w:rsidRDefault="001A5EFA" w:rsidP="00BC6217">
      <w:pPr>
        <w:pStyle w:val="SingleTxtG"/>
      </w:pPr>
      <w:r>
        <w:t>3</w:t>
      </w:r>
      <w:r w:rsidR="00C00ACE" w:rsidRPr="001A5EFA">
        <w:t xml:space="preserve">. </w:t>
      </w:r>
      <w:r w:rsidR="00C00ACE" w:rsidRPr="001A5EFA">
        <w:tab/>
      </w:r>
      <w:r w:rsidR="00BC6217" w:rsidRPr="00634742">
        <w:t>Following preliminary consideration in plenary, most issues related to the agenda item were referred to the Working Group on Explosives, which met from 27 November to 1 December 2017, with Mr. E. de Jong (Netherlands) as Chair.</w:t>
      </w:r>
    </w:p>
    <w:p w:rsidR="00970988" w:rsidRDefault="00BC6217" w:rsidP="00970988">
      <w:pPr>
        <w:pStyle w:val="SingleTxtG"/>
      </w:pPr>
      <w:r>
        <w:t>4</w:t>
      </w:r>
      <w:r w:rsidRPr="00634742">
        <w:t>.</w:t>
      </w:r>
      <w:r w:rsidRPr="00634742">
        <w:tab/>
        <w:t>Informal documents INF.3 and Add.1-2 and INF.28 on the Use of the Manual of Tests and Criteria in the context of GHS under agenda item 10 were also referred to the Working Group on Explosives.</w:t>
      </w:r>
      <w:r>
        <w:t xml:space="preserve"> </w:t>
      </w:r>
      <w:r w:rsidR="00E27CDD">
        <w:t xml:space="preserve">The </w:t>
      </w:r>
      <w:r w:rsidR="007229DF">
        <w:t xml:space="preserve">full report of the Working Group </w:t>
      </w:r>
      <w:r>
        <w:t xml:space="preserve">has been circulated as in </w:t>
      </w:r>
      <w:r w:rsidR="00E27CDD" w:rsidRPr="00BC6217">
        <w:t>INF.</w:t>
      </w:r>
      <w:r w:rsidR="005A1400">
        <w:t>53 and Add.1 and 2</w:t>
      </w:r>
      <w:r w:rsidR="00E27CDD">
        <w:t xml:space="preserve"> (</w:t>
      </w:r>
      <w:r>
        <w:t>fifty-second</w:t>
      </w:r>
      <w:r w:rsidR="00E27CDD">
        <w:t xml:space="preserve"> session of the </w:t>
      </w:r>
      <w:r w:rsidR="00E27CDD" w:rsidRPr="001A5EFA">
        <w:t>TDG Sub-Committee</w:t>
      </w:r>
      <w:r w:rsidR="00E27CDD">
        <w:t>)</w:t>
      </w:r>
      <w:r w:rsidR="00E27CDD" w:rsidRPr="001A5EFA">
        <w:rPr>
          <w:rStyle w:val="FootnoteReference"/>
        </w:rPr>
        <w:footnoteReference w:id="3"/>
      </w:r>
      <w:r w:rsidR="00E27CDD">
        <w:t>.</w:t>
      </w:r>
      <w:r w:rsidR="00970988">
        <w:t xml:space="preserve"> </w:t>
      </w:r>
    </w:p>
    <w:p w:rsidR="00727BE5" w:rsidRPr="00BC6217" w:rsidRDefault="00BC6217" w:rsidP="00970988">
      <w:pPr>
        <w:pStyle w:val="SingleTxtG"/>
      </w:pPr>
      <w:r w:rsidRPr="00BC6217">
        <w:t>5</w:t>
      </w:r>
      <w:r w:rsidR="00727BE5" w:rsidRPr="00BC6217">
        <w:t>.</w:t>
      </w:r>
      <w:r w:rsidR="00727BE5" w:rsidRPr="00BC6217">
        <w:tab/>
        <w:t xml:space="preserve">The outcome of the discussions </w:t>
      </w:r>
      <w:r w:rsidR="00457287" w:rsidRPr="00BC6217">
        <w:t>of the TDG Sub-Committee on</w:t>
      </w:r>
      <w:r w:rsidR="00727BE5" w:rsidRPr="00BC6217">
        <w:t xml:space="preserve"> </w:t>
      </w:r>
      <w:r w:rsidR="00DB1726" w:rsidRPr="00BC6217">
        <w:t xml:space="preserve">matters of interest to the GHS Sub-Committee is summarized </w:t>
      </w:r>
      <w:r w:rsidR="005A1400">
        <w:t>below</w:t>
      </w:r>
      <w:r w:rsidR="00DB1726" w:rsidRPr="00BC6217">
        <w:t xml:space="preserve">. </w:t>
      </w:r>
    </w:p>
    <w:p w:rsidR="00BC6217" w:rsidRDefault="00126807" w:rsidP="00BC6217">
      <w:pPr>
        <w:pStyle w:val="H23G"/>
      </w:pPr>
      <w:r w:rsidRPr="00BC6217">
        <w:t>Item 1</w:t>
      </w:r>
      <w:r w:rsidR="00970988" w:rsidRPr="00BC6217">
        <w:tab/>
      </w:r>
      <w:r w:rsidR="00011433" w:rsidRPr="00BC6217">
        <w:tab/>
      </w:r>
      <w:r w:rsidR="00BC6217" w:rsidRPr="00BC6217">
        <w:t>Stability tests for industrial nitrocellulose (GHS Sub-Committee agenda item 2 (a))</w:t>
      </w:r>
    </w:p>
    <w:p w:rsidR="00BC6217" w:rsidRDefault="00BC6217" w:rsidP="005A1400">
      <w:pPr>
        <w:spacing w:after="240"/>
      </w:pPr>
      <w:r>
        <w:tab/>
      </w:r>
      <w:r>
        <w:tab/>
        <w:t xml:space="preserve">Document: </w:t>
      </w:r>
      <w:r>
        <w:tab/>
        <w:t>ST/SG/AC.10/C.3/2017/35 (Germany)</w:t>
      </w:r>
    </w:p>
    <w:p w:rsidR="005A1400" w:rsidRPr="005A1400" w:rsidRDefault="005A1400" w:rsidP="005A1400">
      <w:pPr>
        <w:pStyle w:val="SingleTxtG"/>
        <w:spacing w:after="240" w:line="240" w:lineRule="auto"/>
        <w:ind w:right="39"/>
        <w:jc w:val="left"/>
        <w:rPr>
          <w:iCs/>
          <w:lang w:val="en-US"/>
        </w:rPr>
      </w:pPr>
      <w:r w:rsidRPr="005A1400">
        <w:t xml:space="preserve">Informal document: </w:t>
      </w:r>
      <w:r w:rsidRPr="005A1400">
        <w:tab/>
      </w:r>
      <w:r w:rsidRPr="005A1400">
        <w:rPr>
          <w:iCs/>
          <w:lang w:val="en-US"/>
        </w:rPr>
        <w:t>TDG/52/INF.6 (CEFIC, WONIPA)</w:t>
      </w:r>
    </w:p>
    <w:p w:rsidR="001E3484" w:rsidRPr="00D31B3A" w:rsidRDefault="00D31B3A" w:rsidP="00D31B3A">
      <w:pPr>
        <w:pStyle w:val="SingleTxtG"/>
        <w:ind w:left="1701"/>
        <w:rPr>
          <w:rStyle w:val="SingleTxtGChar"/>
        </w:rPr>
      </w:pPr>
      <w:r w:rsidRPr="00D31B3A">
        <w:rPr>
          <w:rStyle w:val="SingleTxtGChar"/>
          <w:u w:val="single"/>
        </w:rPr>
        <w:t>Discussion:</w:t>
      </w:r>
      <w:r w:rsidRPr="00D31B3A">
        <w:rPr>
          <w:rStyle w:val="SingleTxtGChar"/>
        </w:rPr>
        <w:tab/>
      </w:r>
      <w:r w:rsidR="005A1400" w:rsidRPr="00D31B3A">
        <w:rPr>
          <w:rStyle w:val="SingleTxtGChar"/>
        </w:rPr>
        <w:t>The working group generally agreed with the proposed test descriptions in INF.6, although it was noted that some additional drafting work was needed (</w:t>
      </w:r>
      <w:r w:rsidR="001E3484" w:rsidRPr="00D31B3A">
        <w:rPr>
          <w:rStyle w:val="SingleTxtGChar"/>
        </w:rPr>
        <w:t xml:space="preserve">the </w:t>
      </w:r>
      <w:r w:rsidR="005A1400" w:rsidRPr="00D31B3A">
        <w:rPr>
          <w:rStyle w:val="SingleTxtGChar"/>
        </w:rPr>
        <w:t xml:space="preserve">test procedures </w:t>
      </w:r>
      <w:r w:rsidR="001E3484" w:rsidRPr="00D31B3A">
        <w:rPr>
          <w:rStyle w:val="SingleTxtGChar"/>
        </w:rPr>
        <w:t>are</w:t>
      </w:r>
      <w:r w:rsidR="005A1400" w:rsidRPr="00D31B3A">
        <w:rPr>
          <w:rStyle w:val="SingleTxtGChar"/>
        </w:rPr>
        <w:t xml:space="preserve"> not formatted in a manner typically found in the test manual (e.g., text about safety equipment) and the Methyl Violet Paper test procedure </w:t>
      </w:r>
      <w:r w:rsidR="001E3484" w:rsidRPr="00D31B3A">
        <w:rPr>
          <w:rStyle w:val="SingleTxtGChar"/>
        </w:rPr>
        <w:t>is</w:t>
      </w:r>
      <w:r w:rsidR="005A1400" w:rsidRPr="00D31B3A">
        <w:rPr>
          <w:rStyle w:val="SingleTxtGChar"/>
        </w:rPr>
        <w:t xml:space="preserve"> not clearly described</w:t>
      </w:r>
      <w:r w:rsidR="001E3484" w:rsidRPr="00D31B3A">
        <w:rPr>
          <w:rStyle w:val="SingleTxtGChar"/>
        </w:rPr>
        <w:t>).</w:t>
      </w:r>
    </w:p>
    <w:p w:rsidR="005A1400" w:rsidRDefault="001E3484" w:rsidP="00D31B3A">
      <w:pPr>
        <w:pStyle w:val="SingleTxtG"/>
        <w:ind w:left="1701"/>
        <w:rPr>
          <w:i/>
        </w:rPr>
      </w:pPr>
      <w:r w:rsidRPr="00D31B3A">
        <w:lastRenderedPageBreak/>
        <w:t>To address s</w:t>
      </w:r>
      <w:r w:rsidR="005A1400" w:rsidRPr="00D31B3A">
        <w:t>ome concern</w:t>
      </w:r>
      <w:r w:rsidRPr="00D31B3A">
        <w:t>s</w:t>
      </w:r>
      <w:r w:rsidR="005A1400" w:rsidRPr="00D31B3A">
        <w:t xml:space="preserve"> about implementation for Class 1 nitrocellulose vs. Division 4.1 nitrocellulose</w:t>
      </w:r>
      <w:r w:rsidRPr="00D31B3A">
        <w:t>, two special</w:t>
      </w:r>
      <w:r w:rsidRPr="00D31B3A">
        <w:rPr>
          <w:rStyle w:val="SingleTxtGChar"/>
        </w:rPr>
        <w:t xml:space="preserve"> provisions (one for the Class 1 entries and another one for Division 4.1 entries) were</w:t>
      </w:r>
      <w:r>
        <w:rPr>
          <w:rStyle w:val="SingleTxtGChar"/>
        </w:rPr>
        <w:t xml:space="preserve"> developed and considered</w:t>
      </w:r>
      <w:r w:rsidR="005A1400" w:rsidRPr="005A1400">
        <w:rPr>
          <w:rStyle w:val="SingleTxtGChar"/>
        </w:rPr>
        <w:t>.</w:t>
      </w:r>
      <w:r w:rsidR="005A1400">
        <w:t xml:space="preserve"> After review, </w:t>
      </w:r>
      <w:r>
        <w:t>the Working Group agreed on the proposed text for the special provisions.</w:t>
      </w:r>
    </w:p>
    <w:p w:rsidR="005A1400" w:rsidRDefault="001E3484" w:rsidP="00B322EE">
      <w:pPr>
        <w:pStyle w:val="SingleTxtG"/>
        <w:ind w:left="1701"/>
      </w:pPr>
      <w:r>
        <w:t xml:space="preserve">On a question </w:t>
      </w:r>
      <w:r w:rsidR="005A1400">
        <w:t xml:space="preserve">raised by China in the plenary on UN </w:t>
      </w:r>
      <w:r>
        <w:t xml:space="preserve">No.2059, the Working Group </w:t>
      </w:r>
      <w:r w:rsidR="005A1400">
        <w:t xml:space="preserve">concluded </w:t>
      </w:r>
      <w:r>
        <w:t xml:space="preserve">that </w:t>
      </w:r>
      <w:r w:rsidR="005A1400">
        <w:t xml:space="preserve">the special provision was not needed </w:t>
      </w:r>
      <w:r>
        <w:t xml:space="preserve">for this entry, given that </w:t>
      </w:r>
      <w:r w:rsidR="005A1400">
        <w:t xml:space="preserve">the starting material to make these solutions would already be subject to the special provisions and that the tests </w:t>
      </w:r>
      <w:r>
        <w:t>could not</w:t>
      </w:r>
      <w:r w:rsidR="005A1400">
        <w:t xml:space="preserve"> be performed on the solutions themselves.</w:t>
      </w:r>
    </w:p>
    <w:p w:rsidR="005A1400" w:rsidRPr="003E461A" w:rsidRDefault="001E3484" w:rsidP="00B322EE">
      <w:pPr>
        <w:pStyle w:val="SingleTxtG"/>
        <w:ind w:left="1701"/>
      </w:pPr>
      <w:r>
        <w:t>On</w:t>
      </w:r>
      <w:r w:rsidR="005A1400">
        <w:t xml:space="preserve"> the possible need for transitional provisions, </w:t>
      </w:r>
      <w:r>
        <w:t xml:space="preserve">the Working Group concluded that </w:t>
      </w:r>
      <w:r w:rsidR="005A1400">
        <w:t xml:space="preserve">the current 75°C thermal stability test </w:t>
      </w:r>
      <w:r>
        <w:t>was</w:t>
      </w:r>
      <w:r w:rsidR="005A1400">
        <w:t xml:space="preserve"> not predictive enough for longer term stability; therefore, no</w:t>
      </w:r>
      <w:r w:rsidR="005A1400" w:rsidRPr="00467311">
        <w:t xml:space="preserve"> </w:t>
      </w:r>
      <w:r w:rsidR="005A1400">
        <w:t>transitional provision</w:t>
      </w:r>
      <w:r w:rsidR="005A1400" w:rsidRPr="00467311">
        <w:t xml:space="preserve"> is </w:t>
      </w:r>
      <w:r w:rsidR="005A1400">
        <w:t>required</w:t>
      </w:r>
      <w:r w:rsidR="005A1400" w:rsidRPr="00467311">
        <w:t xml:space="preserve">.  </w:t>
      </w:r>
    </w:p>
    <w:p w:rsidR="001E3484" w:rsidRDefault="001E3484" w:rsidP="00B322EE">
      <w:pPr>
        <w:pStyle w:val="SingleTxtG"/>
        <w:ind w:left="1701"/>
      </w:pPr>
      <w:bookmarkStart w:id="0" w:name="_GoBack"/>
      <w:r w:rsidRPr="00B322EE">
        <w:rPr>
          <w:u w:val="single"/>
        </w:rPr>
        <w:t>Conclusion:</w:t>
      </w:r>
      <w:bookmarkEnd w:id="0"/>
      <w:r>
        <w:t xml:space="preserve">  </w:t>
      </w:r>
      <w:r w:rsidRPr="003F04C2">
        <w:t xml:space="preserve">CEFIC </w:t>
      </w:r>
      <w:r>
        <w:t>and/</w:t>
      </w:r>
      <w:r w:rsidRPr="003F04C2">
        <w:t xml:space="preserve">or Germany will draft a formal proposal for the next session.  They asked interested parties to correspond with them by </w:t>
      </w:r>
      <w:r>
        <w:t xml:space="preserve">1 </w:t>
      </w:r>
      <w:r w:rsidRPr="003F04C2">
        <w:t xml:space="preserve">February so that the working paper could be completed by the </w:t>
      </w:r>
      <w:r>
        <w:t>working paper</w:t>
      </w:r>
      <w:r w:rsidRPr="003F04C2">
        <w:t xml:space="preserve"> submission deadline.</w:t>
      </w:r>
    </w:p>
    <w:p w:rsidR="00BC6217" w:rsidRPr="00D31B3A" w:rsidRDefault="00BC6217" w:rsidP="00D31B3A">
      <w:pPr>
        <w:pStyle w:val="SingleTxtG"/>
        <w:rPr>
          <w:b/>
        </w:rPr>
      </w:pPr>
      <w:r w:rsidRPr="00D31B3A">
        <w:rPr>
          <w:b/>
        </w:rPr>
        <w:t xml:space="preserve">The </w:t>
      </w:r>
      <w:r w:rsidR="001E3484" w:rsidRPr="00D31B3A">
        <w:rPr>
          <w:b/>
        </w:rPr>
        <w:t xml:space="preserve">TDG </w:t>
      </w:r>
      <w:r w:rsidRPr="00D31B3A">
        <w:rPr>
          <w:b/>
        </w:rPr>
        <w:t xml:space="preserve">Sub-Committee </w:t>
      </w:r>
      <w:r w:rsidR="001E3484" w:rsidRPr="00D31B3A">
        <w:rPr>
          <w:b/>
        </w:rPr>
        <w:t xml:space="preserve">noted </w:t>
      </w:r>
      <w:r w:rsidRPr="00D31B3A">
        <w:rPr>
          <w:b/>
        </w:rPr>
        <w:t>the conclusions of the Working Group.</w:t>
      </w:r>
    </w:p>
    <w:p w:rsidR="00BC6217" w:rsidRPr="001E3484" w:rsidRDefault="00BC6217" w:rsidP="00BC6217">
      <w:pPr>
        <w:pStyle w:val="SingleTxtG"/>
        <w:rPr>
          <w:i/>
        </w:rPr>
      </w:pPr>
      <w:r w:rsidRPr="001E3484">
        <w:rPr>
          <w:i/>
        </w:rPr>
        <w:t xml:space="preserve">(Ref.Doc: </w:t>
      </w:r>
      <w:r w:rsidR="001E3484">
        <w:rPr>
          <w:i/>
        </w:rPr>
        <w:t xml:space="preserve">report of the Working Group on Explosives, </w:t>
      </w:r>
      <w:r w:rsidRPr="001E3484">
        <w:rPr>
          <w:i/>
        </w:rPr>
        <w:t>TDG/</w:t>
      </w:r>
      <w:r w:rsidR="001E3484" w:rsidRPr="001E3484">
        <w:rPr>
          <w:i/>
        </w:rPr>
        <w:t>52</w:t>
      </w:r>
      <w:r w:rsidRPr="001E3484">
        <w:rPr>
          <w:i/>
        </w:rPr>
        <w:t>/INF.</w:t>
      </w:r>
      <w:r w:rsidR="001E3484" w:rsidRPr="001E3484">
        <w:rPr>
          <w:i/>
        </w:rPr>
        <w:t>53</w:t>
      </w:r>
      <w:r w:rsidRPr="001E3484">
        <w:rPr>
          <w:i/>
        </w:rPr>
        <w:t xml:space="preserve">, paragraph </w:t>
      </w:r>
      <w:r w:rsidR="001E3484" w:rsidRPr="001E3484">
        <w:rPr>
          <w:i/>
        </w:rPr>
        <w:t>5</w:t>
      </w:r>
      <w:r w:rsidRPr="001E3484">
        <w:rPr>
          <w:i/>
        </w:rPr>
        <w:t>)</w:t>
      </w:r>
    </w:p>
    <w:p w:rsidR="00BC6217" w:rsidRPr="00664234" w:rsidRDefault="00BC6217" w:rsidP="00BC6217">
      <w:pPr>
        <w:pStyle w:val="H23G"/>
        <w:rPr>
          <w:highlight w:val="yellow"/>
        </w:rPr>
      </w:pPr>
      <w:r w:rsidRPr="005F2E88">
        <w:t>Item 2</w:t>
      </w:r>
      <w:r w:rsidRPr="005F2E88">
        <w:tab/>
      </w:r>
      <w:r w:rsidRPr="005F2E88">
        <w:tab/>
      </w:r>
      <w:r w:rsidR="00533570">
        <w:rPr>
          <w:rFonts w:eastAsia="MS Mincho"/>
          <w:lang w:eastAsia="ja-JP"/>
        </w:rPr>
        <w:t>Testing of oxidizing substances</w:t>
      </w:r>
      <w:r w:rsidR="00533570" w:rsidRPr="00BC6217">
        <w:t xml:space="preserve"> </w:t>
      </w:r>
      <w:r w:rsidR="005F2E88" w:rsidRPr="00BC6217">
        <w:t>(GHS Sub-Committee agenda item 2 (a))</w:t>
      </w:r>
    </w:p>
    <w:p w:rsidR="00BC6217" w:rsidRPr="005F2E88" w:rsidRDefault="00BC6217" w:rsidP="00BC6217">
      <w:pPr>
        <w:pStyle w:val="SingleTxtG"/>
      </w:pPr>
      <w:r w:rsidRPr="005F2E88">
        <w:t>Document: ST/SG/AC.10/C.3/2017/</w:t>
      </w:r>
      <w:r w:rsidR="005F2E88" w:rsidRPr="005F2E88">
        <w:t>45 (France)</w:t>
      </w:r>
      <w:r w:rsidRPr="005F2E88">
        <w:t xml:space="preserve"> </w:t>
      </w:r>
    </w:p>
    <w:p w:rsidR="00BC6217" w:rsidRPr="005F2E88" w:rsidRDefault="00BC6217" w:rsidP="00BC6217">
      <w:pPr>
        <w:pStyle w:val="SingleTxtG"/>
      </w:pPr>
      <w:r w:rsidRPr="005F2E88">
        <w:t>Informal document: TDG/5</w:t>
      </w:r>
      <w:r w:rsidR="005F2E88" w:rsidRPr="005F2E88">
        <w:t>2</w:t>
      </w:r>
      <w:r w:rsidRPr="005F2E88">
        <w:t>/INF.</w:t>
      </w:r>
      <w:r w:rsidR="005F2E88" w:rsidRPr="005F2E88">
        <w:t>35 (France)</w:t>
      </w:r>
      <w:r w:rsidRPr="005F2E88">
        <w:t xml:space="preserve"> </w:t>
      </w:r>
    </w:p>
    <w:p w:rsidR="001E3484" w:rsidRDefault="001E3484" w:rsidP="001E3484">
      <w:pPr>
        <w:pStyle w:val="SingleTxtG"/>
      </w:pPr>
      <w:r w:rsidRPr="00C71CC6">
        <w:t>The Sub-Committee took note of the progress of work on the topic, including the intention of the expert from France to submit an official proposal at the next session of the TDG and GHS sub-committees. Experts who so wished were invited to transmit their comments to the expert from France so that they could be taken into account in the final proposal.</w:t>
      </w:r>
    </w:p>
    <w:p w:rsidR="00BC6217" w:rsidRPr="0093352C" w:rsidRDefault="001E3484" w:rsidP="001E3484">
      <w:pPr>
        <w:pStyle w:val="SingleTxtG"/>
        <w:rPr>
          <w:i/>
        </w:rPr>
      </w:pPr>
      <w:r w:rsidRPr="0093352C">
        <w:rPr>
          <w:i/>
        </w:rPr>
        <w:t xml:space="preserve"> </w:t>
      </w:r>
      <w:r w:rsidR="00BC6217" w:rsidRPr="0093352C">
        <w:rPr>
          <w:i/>
        </w:rPr>
        <w:t xml:space="preserve">(Ref.Doc.: Draft report of the TDG Sub-Committee on its </w:t>
      </w:r>
      <w:r w:rsidRPr="0093352C">
        <w:rPr>
          <w:i/>
        </w:rPr>
        <w:t>52nd</w:t>
      </w:r>
      <w:r w:rsidR="00BC6217" w:rsidRPr="0093352C">
        <w:rPr>
          <w:i/>
        </w:rPr>
        <w:t xml:space="preserve"> session: ST/SG/AC.10/C.3/2017/CRP.</w:t>
      </w:r>
      <w:r w:rsidRPr="0093352C">
        <w:rPr>
          <w:i/>
        </w:rPr>
        <w:t>3</w:t>
      </w:r>
      <w:r w:rsidR="00BC6217" w:rsidRPr="0093352C">
        <w:rPr>
          <w:i/>
        </w:rPr>
        <w:t>/Add.</w:t>
      </w:r>
      <w:r w:rsidRPr="0093352C">
        <w:rPr>
          <w:i/>
        </w:rPr>
        <w:t>5</w:t>
      </w:r>
      <w:r w:rsidR="00BC6217" w:rsidRPr="0093352C">
        <w:rPr>
          <w:i/>
        </w:rPr>
        <w:t xml:space="preserve">, paragraph </w:t>
      </w:r>
      <w:r w:rsidRPr="0093352C">
        <w:rPr>
          <w:i/>
        </w:rPr>
        <w:t>41</w:t>
      </w:r>
      <w:r w:rsidR="00BC6217" w:rsidRPr="0093352C">
        <w:rPr>
          <w:i/>
        </w:rPr>
        <w:t>)</w:t>
      </w:r>
    </w:p>
    <w:p w:rsidR="00970988" w:rsidRPr="005F2E88" w:rsidRDefault="005F2E88" w:rsidP="00970988">
      <w:pPr>
        <w:pStyle w:val="H23G"/>
      </w:pPr>
      <w:r w:rsidRPr="005F2E88">
        <w:t>Item 3</w:t>
      </w:r>
      <w:r w:rsidR="00BC6217" w:rsidRPr="005F2E88">
        <w:tab/>
      </w:r>
      <w:r w:rsidR="00BC6217" w:rsidRPr="005F2E88">
        <w:tab/>
      </w:r>
      <w:r w:rsidR="00970988" w:rsidRPr="005F2E88">
        <w:t>Use of the Manual of Tests and Criteria in the context of the GHS</w:t>
      </w:r>
      <w:r w:rsidR="007229DF" w:rsidRPr="005F2E88">
        <w:t xml:space="preserve"> </w:t>
      </w:r>
      <w:r w:rsidR="00BC6217" w:rsidRPr="005F2E88">
        <w:br/>
      </w:r>
      <w:r w:rsidR="007229DF" w:rsidRPr="005F2E88">
        <w:t xml:space="preserve">(GHS Sub-Committee agenda item 2 (a)) </w:t>
      </w:r>
    </w:p>
    <w:p w:rsidR="00D31B3A" w:rsidRDefault="00970988" w:rsidP="006E36AF">
      <w:pPr>
        <w:tabs>
          <w:tab w:val="left" w:pos="1134"/>
          <w:tab w:val="left" w:pos="2977"/>
        </w:tabs>
      </w:pPr>
      <w:r w:rsidRPr="005F2E88">
        <w:tab/>
        <w:t xml:space="preserve">Informal documents: </w:t>
      </w:r>
      <w:r w:rsidRPr="005F2E88">
        <w:tab/>
        <w:t>TDG/</w:t>
      </w:r>
      <w:r w:rsidR="005F2E88" w:rsidRPr="005F2E88">
        <w:t>52</w:t>
      </w:r>
      <w:r w:rsidRPr="005F2E88">
        <w:t>/INF.</w:t>
      </w:r>
      <w:r w:rsidR="005F2E88" w:rsidRPr="005F2E88">
        <w:t>3</w:t>
      </w:r>
      <w:r w:rsidRPr="005F2E88">
        <w:t xml:space="preserve"> </w:t>
      </w:r>
      <w:r w:rsidR="005F2E88" w:rsidRPr="005F2E88">
        <w:t>and Add</w:t>
      </w:r>
      <w:r w:rsidR="00D31B3A">
        <w:t>.</w:t>
      </w:r>
      <w:r w:rsidR="005F2E88" w:rsidRPr="005F2E88">
        <w:t xml:space="preserve"> 1 and 2 </w:t>
      </w:r>
      <w:r w:rsidRPr="005F2E88">
        <w:t>- GHS/</w:t>
      </w:r>
      <w:r w:rsidR="005F2E88" w:rsidRPr="005F2E88">
        <w:t>34</w:t>
      </w:r>
      <w:r w:rsidRPr="005F2E88">
        <w:t>/INF.3</w:t>
      </w:r>
      <w:r w:rsidR="005F2E88" w:rsidRPr="005F2E88">
        <w:t xml:space="preserve"> and Adds 1 and 2 </w:t>
      </w:r>
    </w:p>
    <w:p w:rsidR="00970988" w:rsidRDefault="006E36AF" w:rsidP="00D31B3A">
      <w:pPr>
        <w:tabs>
          <w:tab w:val="left" w:pos="1134"/>
          <w:tab w:val="left" w:pos="2977"/>
        </w:tabs>
      </w:pPr>
      <w:r w:rsidRPr="005F2E88">
        <w:t xml:space="preserve"> </w:t>
      </w:r>
      <w:r w:rsidR="00D31B3A">
        <w:tab/>
      </w:r>
      <w:r w:rsidR="00D31B3A">
        <w:tab/>
      </w:r>
      <w:r w:rsidR="00D31B3A" w:rsidRPr="005F2E88">
        <w:t>TDG/52/INF.</w:t>
      </w:r>
      <w:r w:rsidR="00D31B3A">
        <w:t>13</w:t>
      </w:r>
      <w:r w:rsidR="00D31B3A" w:rsidRPr="005F2E88">
        <w:t xml:space="preserve"> - GHS/34/INF.</w:t>
      </w:r>
      <w:r w:rsidR="00D31B3A">
        <w:t>7</w:t>
      </w:r>
      <w:r w:rsidR="00D31B3A" w:rsidRPr="005F2E88">
        <w:t xml:space="preserve"> </w:t>
      </w:r>
      <w:r w:rsidR="00D31B3A">
        <w:t>(AEISG)</w:t>
      </w:r>
    </w:p>
    <w:p w:rsidR="00D31B3A" w:rsidRDefault="00D31B3A" w:rsidP="00D31B3A">
      <w:pPr>
        <w:tabs>
          <w:tab w:val="left" w:pos="1134"/>
          <w:tab w:val="left" w:pos="2977"/>
        </w:tabs>
      </w:pPr>
      <w:r>
        <w:tab/>
      </w:r>
      <w:r>
        <w:tab/>
      </w:r>
      <w:r w:rsidRPr="005F2E88">
        <w:t>TDG/52/INF.</w:t>
      </w:r>
      <w:r>
        <w:t>28</w:t>
      </w:r>
      <w:r w:rsidRPr="005F2E88">
        <w:t xml:space="preserve"> - GHS/34/INF.</w:t>
      </w:r>
      <w:r>
        <w:t>12 (SAAMI)</w:t>
      </w:r>
    </w:p>
    <w:p w:rsidR="00A8562B" w:rsidRDefault="00A8562B" w:rsidP="00D31B3A">
      <w:pPr>
        <w:tabs>
          <w:tab w:val="left" w:pos="1134"/>
          <w:tab w:val="left" w:pos="2977"/>
        </w:tabs>
      </w:pPr>
      <w:r>
        <w:tab/>
      </w:r>
    </w:p>
    <w:p w:rsidR="00A8562B" w:rsidRDefault="00A8562B" w:rsidP="00D31B3A">
      <w:pPr>
        <w:tabs>
          <w:tab w:val="left" w:pos="1134"/>
          <w:tab w:val="left" w:pos="2977"/>
        </w:tabs>
      </w:pPr>
      <w:r>
        <w:tab/>
        <w:t>The TDG Sub-Committee noted that:</w:t>
      </w:r>
    </w:p>
    <w:p w:rsidR="00A8562B" w:rsidRDefault="00A8562B" w:rsidP="00D31B3A">
      <w:pPr>
        <w:tabs>
          <w:tab w:val="left" w:pos="1134"/>
          <w:tab w:val="left" w:pos="2977"/>
        </w:tabs>
      </w:pPr>
    </w:p>
    <w:p w:rsidR="00D31B3A" w:rsidRDefault="00D31B3A" w:rsidP="00D16BFE">
      <w:pPr>
        <w:pStyle w:val="Bullet1G"/>
      </w:pPr>
      <w:r>
        <w:t xml:space="preserve">The working group completed review of Sections 1 and 10 of the Manual of Tests and Criteria (INF.3 and INF.3/Add.1).  Proposals in </w:t>
      </w:r>
      <w:r w:rsidR="00A8562B">
        <w:t>informal document TDG/52/INF.13-</w:t>
      </w:r>
      <w:r w:rsidR="00A8562B" w:rsidRPr="00A8562B">
        <w:t xml:space="preserve"> </w:t>
      </w:r>
      <w:r w:rsidR="00A8562B" w:rsidRPr="005F2E88">
        <w:t>GHS/34/INF.</w:t>
      </w:r>
      <w:r w:rsidR="00A8562B">
        <w:t>7 from AEISG</w:t>
      </w:r>
      <w:r w:rsidR="00A8562B" w:rsidRPr="005F2E88">
        <w:t xml:space="preserve"> </w:t>
      </w:r>
      <w:r>
        <w:t xml:space="preserve">were considered by the working group, but there was no support for their adoption.  Several proposals in </w:t>
      </w:r>
      <w:r w:rsidR="00A8562B" w:rsidRPr="005F2E88">
        <w:t>TDG/52/INF.</w:t>
      </w:r>
      <w:r w:rsidR="00A8562B">
        <w:t>28</w:t>
      </w:r>
      <w:r w:rsidR="00A8562B" w:rsidRPr="005F2E88">
        <w:t xml:space="preserve"> - GHS/34/INF.</w:t>
      </w:r>
      <w:r w:rsidR="00A8562B">
        <w:t xml:space="preserve">12 from </w:t>
      </w:r>
      <w:r>
        <w:t xml:space="preserve">SAAMI were adopted, including amendments from the working group, and the remainder were withdrawn.  All accepted revisions to these sections of the manual are provided in Add.1 and Add.2 to </w:t>
      </w:r>
      <w:r w:rsidR="00A8562B">
        <w:t>the report of the Explosives Working Group</w:t>
      </w:r>
      <w:r>
        <w:t xml:space="preserve"> (</w:t>
      </w:r>
      <w:r w:rsidR="00A8562B">
        <w:t>refer to TDG/52/INF.53/Add.1 and 2)</w:t>
      </w:r>
      <w:r>
        <w:t>.</w:t>
      </w:r>
    </w:p>
    <w:p w:rsidR="00D31B3A" w:rsidRPr="00EF1236" w:rsidRDefault="00D31B3A" w:rsidP="00A8562B">
      <w:pPr>
        <w:pStyle w:val="Bullet1G"/>
      </w:pPr>
      <w:r w:rsidRPr="00EF1236">
        <w:t>SAAMI cautioned that, as the manual is generally being made sector-neutral, other physical properties currently not addressed in the manual, such as electrostatic sensitivity, might be considered.  In that case, proposals should be made to GHS.</w:t>
      </w:r>
    </w:p>
    <w:p w:rsidR="00D31B3A" w:rsidRDefault="00D31B3A" w:rsidP="00D31B3A">
      <w:pPr>
        <w:pStyle w:val="Bullet1G"/>
      </w:pPr>
      <w:r>
        <w:lastRenderedPageBreak/>
        <w:t>A review of Part II of the manual (INF.3/Add.2) was started and will continue during the next session.</w:t>
      </w:r>
    </w:p>
    <w:p w:rsidR="00A8562B" w:rsidRDefault="00A8562B" w:rsidP="00A8562B">
      <w:pPr>
        <w:pStyle w:val="Bullet1G"/>
      </w:pPr>
      <w:r>
        <w:t>Agreed changes will be submitted to the Sub-Committee as formal proposals for adoption during the next session.</w:t>
      </w:r>
    </w:p>
    <w:p w:rsidR="00A8562B" w:rsidRPr="00A8562B" w:rsidRDefault="00A8562B" w:rsidP="00A8562B">
      <w:pPr>
        <w:pStyle w:val="Bullet1G"/>
        <w:numPr>
          <w:ilvl w:val="0"/>
          <w:numId w:val="0"/>
        </w:numPr>
        <w:ind w:left="1531"/>
        <w:rPr>
          <w:i/>
        </w:rPr>
      </w:pPr>
      <w:r w:rsidRPr="00A8562B">
        <w:rPr>
          <w:i/>
        </w:rPr>
        <w:t xml:space="preserve">(Ref.Doc: report of the Working Group on Explosives, TDG/52/INF.53, paragraph </w:t>
      </w:r>
      <w:r>
        <w:rPr>
          <w:i/>
        </w:rPr>
        <w:t>17</w:t>
      </w:r>
      <w:r w:rsidRPr="00A8562B">
        <w:rPr>
          <w:i/>
        </w:rPr>
        <w:t>)</w:t>
      </w:r>
    </w:p>
    <w:p w:rsidR="00126807" w:rsidRPr="00533570" w:rsidRDefault="00D5565C" w:rsidP="00126807">
      <w:pPr>
        <w:pStyle w:val="H23G"/>
      </w:pPr>
      <w:r w:rsidRPr="00533570">
        <w:t xml:space="preserve">Item </w:t>
      </w:r>
      <w:r w:rsidR="005F2E88" w:rsidRPr="00533570">
        <w:t>4</w:t>
      </w:r>
      <w:r w:rsidR="00263054" w:rsidRPr="00533570">
        <w:tab/>
      </w:r>
      <w:r w:rsidR="00263054" w:rsidRPr="00533570">
        <w:tab/>
      </w:r>
      <w:r w:rsidR="00011433" w:rsidRPr="00533570">
        <w:t xml:space="preserve">Classification of desensitized explosives </w:t>
      </w:r>
      <w:r w:rsidR="005F2E88" w:rsidRPr="00533570">
        <w:t xml:space="preserve">for the purposes of supply and use according to GHS Chapter 2.17: test results on industrial nitrocellulose </w:t>
      </w:r>
      <w:r w:rsidR="005F2E88" w:rsidRPr="00533570">
        <w:br/>
      </w:r>
      <w:r w:rsidR="00126807" w:rsidRPr="00533570">
        <w:t xml:space="preserve">(GHS Sub-Committee agenda item 2 (a)) </w:t>
      </w:r>
    </w:p>
    <w:p w:rsidR="00011433" w:rsidRDefault="00011433" w:rsidP="00263054">
      <w:pPr>
        <w:ind w:left="567" w:firstLine="567"/>
      </w:pPr>
      <w:r w:rsidRPr="00533570">
        <w:t>Informal document</w:t>
      </w:r>
      <w:r w:rsidR="00533570">
        <w:t>s</w:t>
      </w:r>
      <w:r w:rsidRPr="00533570">
        <w:t xml:space="preserve">: </w:t>
      </w:r>
      <w:r w:rsidR="00263054" w:rsidRPr="00533570">
        <w:tab/>
      </w:r>
      <w:r w:rsidRPr="00533570">
        <w:t>TDG/</w:t>
      </w:r>
      <w:r w:rsidR="005F2E88" w:rsidRPr="00533570">
        <w:t>52</w:t>
      </w:r>
      <w:r w:rsidRPr="00533570">
        <w:t>/INF.</w:t>
      </w:r>
      <w:r w:rsidR="00EB5B0A">
        <w:t>7</w:t>
      </w:r>
      <w:r w:rsidRPr="00533570">
        <w:t xml:space="preserve"> – GHS/</w:t>
      </w:r>
      <w:r w:rsidR="00533570" w:rsidRPr="00533570">
        <w:t>34</w:t>
      </w:r>
      <w:r w:rsidRPr="00533570">
        <w:t>/INF.</w:t>
      </w:r>
      <w:r w:rsidR="00EB5B0A">
        <w:t>4</w:t>
      </w:r>
      <w:r w:rsidR="006E36AF" w:rsidRPr="00533570">
        <w:t xml:space="preserve"> (</w:t>
      </w:r>
      <w:r w:rsidR="00EB5B0A">
        <w:t>CEFIC and WONIPA</w:t>
      </w:r>
      <w:r w:rsidR="006E36AF" w:rsidRPr="00533570">
        <w:t>)</w:t>
      </w:r>
    </w:p>
    <w:p w:rsidR="00533570" w:rsidRPr="00533570" w:rsidRDefault="00533570" w:rsidP="00EB5B0A">
      <w:pPr>
        <w:spacing w:after="240"/>
        <w:ind w:left="2268" w:firstLine="567"/>
      </w:pPr>
      <w:r>
        <w:tab/>
      </w:r>
      <w:r w:rsidRPr="00533570">
        <w:tab/>
        <w:t>TDG/52/INF.</w:t>
      </w:r>
      <w:r>
        <w:t>14</w:t>
      </w:r>
      <w:r w:rsidRPr="00533570">
        <w:t xml:space="preserve"> – GHS/34/INF.</w:t>
      </w:r>
      <w:r>
        <w:t>9</w:t>
      </w:r>
      <w:r w:rsidRPr="00533570">
        <w:t xml:space="preserve"> (</w:t>
      </w:r>
      <w:r>
        <w:t>SAAMI</w:t>
      </w:r>
      <w:r w:rsidRPr="00533570">
        <w:t>)</w:t>
      </w:r>
    </w:p>
    <w:p w:rsidR="00EB5B0A" w:rsidRPr="00EB5B0A" w:rsidRDefault="00EB5B0A" w:rsidP="00EB5B0A">
      <w:pPr>
        <w:pStyle w:val="SingleTxtG"/>
        <w:ind w:left="1560"/>
      </w:pPr>
      <w:r w:rsidRPr="00EB5B0A">
        <w:rPr>
          <w:u w:val="single"/>
        </w:rPr>
        <w:t>Discussion</w:t>
      </w:r>
      <w:r w:rsidRPr="00EB5B0A">
        <w:t>:  It was generally agreed that classification based on existing test data, where appropriate, was desirable in lieu of actually performing tests.  There was some discussion regarding the need to be more specific in describing the steel drum packaging to which the data applied.</w:t>
      </w:r>
    </w:p>
    <w:p w:rsidR="00EB5B0A" w:rsidRPr="00EB5B0A" w:rsidRDefault="00EB5B0A" w:rsidP="00EB5B0A">
      <w:pPr>
        <w:pStyle w:val="SingleTxtG"/>
        <w:ind w:left="1560"/>
      </w:pPr>
      <w:r w:rsidRPr="00EB5B0A">
        <w:t xml:space="preserve">Sweden observed some discrepancies between the results presented in TDG/52/INF.7 – GHS/34/INF.4 and the results published in 51.4.5.1 of the Manual of Tests and Criteria. WONIPA volunteered to check it. </w:t>
      </w:r>
    </w:p>
    <w:p w:rsidR="00EB5B0A" w:rsidRDefault="00EB5B0A" w:rsidP="00EB5B0A">
      <w:pPr>
        <w:pStyle w:val="SingleTxtG"/>
        <w:keepNext/>
        <w:spacing w:after="240" w:line="240" w:lineRule="auto"/>
        <w:ind w:left="1560" w:right="43"/>
      </w:pPr>
      <w:r w:rsidRPr="00EB5B0A">
        <w:rPr>
          <w:u w:val="single"/>
        </w:rPr>
        <w:t>Conclusion:</w:t>
      </w:r>
      <w:r>
        <w:t xml:space="preserve">  </w:t>
      </w:r>
      <w:r w:rsidRPr="006E3FA2">
        <w:t xml:space="preserve">CEFIC and SAAMI </w:t>
      </w:r>
      <w:r>
        <w:t>will</w:t>
      </w:r>
      <w:r w:rsidRPr="006E3FA2">
        <w:t xml:space="preserve"> prepare updated proposal</w:t>
      </w:r>
      <w:r>
        <w:t>s</w:t>
      </w:r>
      <w:r w:rsidRPr="006E3FA2">
        <w:t xml:space="preserve"> for the next session.</w:t>
      </w:r>
    </w:p>
    <w:p w:rsidR="00D5565C" w:rsidRPr="0093352C" w:rsidRDefault="00D5565C" w:rsidP="00D5565C">
      <w:pPr>
        <w:pStyle w:val="SingleTxtG"/>
      </w:pPr>
      <w:r w:rsidRPr="0093352C">
        <w:t xml:space="preserve">The </w:t>
      </w:r>
      <w:r w:rsidR="00394612" w:rsidRPr="0093352C">
        <w:t xml:space="preserve">TDG </w:t>
      </w:r>
      <w:r w:rsidRPr="0093352C">
        <w:t xml:space="preserve">Sub-Committee </w:t>
      </w:r>
      <w:r w:rsidR="00EB5B0A" w:rsidRPr="0093352C">
        <w:t>noted</w:t>
      </w:r>
      <w:r w:rsidR="00911EB1" w:rsidRPr="0093352C">
        <w:t xml:space="preserve"> the conclusion</w:t>
      </w:r>
      <w:r w:rsidRPr="0093352C">
        <w:t xml:space="preserve"> of the Working Group.</w:t>
      </w:r>
    </w:p>
    <w:p w:rsidR="00EB5B0A" w:rsidRPr="00A8562B" w:rsidRDefault="00EB5B0A" w:rsidP="00EB5B0A">
      <w:pPr>
        <w:pStyle w:val="Bullet1G"/>
        <w:numPr>
          <w:ilvl w:val="0"/>
          <w:numId w:val="0"/>
        </w:numPr>
        <w:ind w:left="1134"/>
        <w:rPr>
          <w:i/>
        </w:rPr>
      </w:pPr>
      <w:r w:rsidRPr="00A8562B">
        <w:rPr>
          <w:i/>
        </w:rPr>
        <w:t xml:space="preserve">(Ref.Doc: report of the Working Group on Explosives, TDG/52/INF.53, paragraph </w:t>
      </w:r>
      <w:r>
        <w:rPr>
          <w:i/>
        </w:rPr>
        <w:t>6</w:t>
      </w:r>
      <w:r w:rsidRPr="00A8562B">
        <w:rPr>
          <w:i/>
        </w:rPr>
        <w:t>)</w:t>
      </w:r>
    </w:p>
    <w:p w:rsidR="00D563D8" w:rsidRPr="00533570" w:rsidRDefault="00D563D8" w:rsidP="00D563D8">
      <w:pPr>
        <w:pStyle w:val="H23G"/>
      </w:pPr>
      <w:r w:rsidRPr="00533570">
        <w:t xml:space="preserve">Item </w:t>
      </w:r>
      <w:r w:rsidR="005F2E88" w:rsidRPr="00533570">
        <w:t>5</w:t>
      </w:r>
      <w:r w:rsidRPr="00533570">
        <w:tab/>
      </w:r>
      <w:r w:rsidRPr="00533570">
        <w:tab/>
        <w:t>Review of Chapter 2.1 of the GHS (GHS Sub-Committee agenda item 2 (</w:t>
      </w:r>
      <w:r w:rsidR="00144F53" w:rsidRPr="00533570">
        <w:t>b</w:t>
      </w:r>
      <w:r w:rsidRPr="00533570">
        <w:t xml:space="preserve">)) </w:t>
      </w:r>
    </w:p>
    <w:p w:rsidR="00144F53" w:rsidRPr="00533570" w:rsidRDefault="00144F53" w:rsidP="006E36AF">
      <w:pPr>
        <w:pStyle w:val="SingleTxtG"/>
        <w:spacing w:after="0"/>
      </w:pPr>
      <w:r w:rsidRPr="00533570">
        <w:t>Informal documen</w:t>
      </w:r>
      <w:r w:rsidR="006E36AF" w:rsidRPr="00533570">
        <w:t>ts: TDG/</w:t>
      </w:r>
      <w:r w:rsidR="00533570">
        <w:t>52</w:t>
      </w:r>
      <w:r w:rsidR="006E36AF" w:rsidRPr="00533570">
        <w:t>/INF.</w:t>
      </w:r>
      <w:r w:rsidR="00533570">
        <w:t>20</w:t>
      </w:r>
      <w:r w:rsidR="006E36AF" w:rsidRPr="00533570">
        <w:t xml:space="preserve"> - GHS/</w:t>
      </w:r>
      <w:r w:rsidR="00533570">
        <w:t>34</w:t>
      </w:r>
      <w:r w:rsidR="006E36AF" w:rsidRPr="00533570">
        <w:t>/INF.</w:t>
      </w:r>
      <w:r w:rsidR="00533570">
        <w:t>10</w:t>
      </w:r>
      <w:r w:rsidRPr="00533570">
        <w:t xml:space="preserve"> (Sweden) </w:t>
      </w:r>
    </w:p>
    <w:p w:rsidR="00EB5B0A" w:rsidRPr="00533570" w:rsidRDefault="00EB5B0A" w:rsidP="00EB5B0A">
      <w:pPr>
        <w:pStyle w:val="SingleTxtG"/>
        <w:ind w:left="2268" w:firstLine="567"/>
      </w:pPr>
      <w:r>
        <w:tab/>
        <w:t>T</w:t>
      </w:r>
      <w:r w:rsidRPr="00533570">
        <w:t>DG/</w:t>
      </w:r>
      <w:r>
        <w:t>52</w:t>
      </w:r>
      <w:r w:rsidRPr="00533570">
        <w:t>/INF.</w:t>
      </w:r>
      <w:r>
        <w:t>57</w:t>
      </w:r>
      <w:r w:rsidRPr="00533570">
        <w:t xml:space="preserve"> - GHS/</w:t>
      </w:r>
      <w:r>
        <w:t>34</w:t>
      </w:r>
      <w:r w:rsidRPr="00533570">
        <w:t>/INF.</w:t>
      </w:r>
      <w:r>
        <w:t>20</w:t>
      </w:r>
      <w:r w:rsidRPr="00533570">
        <w:t xml:space="preserve"> (Sweden) </w:t>
      </w:r>
    </w:p>
    <w:p w:rsidR="00FE7836" w:rsidRDefault="00FE7836" w:rsidP="00FE7836">
      <w:pPr>
        <w:pStyle w:val="SingleTxtG"/>
      </w:pPr>
      <w:r>
        <w:t>The Sub-Committee noted that the group had discussed the two different proposed schemes for classification of explosives as reflected in the annexes of INF.20. The outcome of subsequent discussions involving the informal correspondence group was a tentatively single classification system and criteria as described in informal document INF.57.</w:t>
      </w:r>
    </w:p>
    <w:p w:rsidR="00FE7836" w:rsidRDefault="00FE7836" w:rsidP="00FE7836">
      <w:pPr>
        <w:pStyle w:val="SingleTxtG"/>
      </w:pPr>
      <w:r>
        <w:t xml:space="preserve">The representative of SAAMI explained that the idea to group most divisions into a single sub-category in the GHS was intended for hazard communication purposes, and consideration should be given to address potential unintended consequences. </w:t>
      </w:r>
    </w:p>
    <w:p w:rsidR="00FE7836" w:rsidRDefault="00FE7836" w:rsidP="00FE7836">
      <w:pPr>
        <w:pStyle w:val="SingleTxtG"/>
      </w:pPr>
      <w:r>
        <w:t xml:space="preserve">It was </w:t>
      </w:r>
      <w:r w:rsidRPr="001D2836">
        <w:t xml:space="preserve">noted that the outcome of the discussions of the Working group on explosives </w:t>
      </w:r>
      <w:r>
        <w:t xml:space="preserve">and the informal correspondence group </w:t>
      </w:r>
      <w:r w:rsidRPr="001D2836">
        <w:t xml:space="preserve">would be considered by the GHS Sub-Committee at its thirty-fourth session. </w:t>
      </w:r>
    </w:p>
    <w:p w:rsidR="00FE7836" w:rsidRDefault="00FE7836" w:rsidP="00FE7836">
      <w:pPr>
        <w:pStyle w:val="SingleTxtG"/>
        <w:rPr>
          <w:highlight w:val="green"/>
        </w:rPr>
      </w:pPr>
      <w:r>
        <w:t>The Sub-Committee</w:t>
      </w:r>
      <w:r w:rsidRPr="001D2836">
        <w:t xml:space="preserve"> </w:t>
      </w:r>
      <w:r>
        <w:t xml:space="preserve">considered that it would be appropriate to discuss this item jointly with the GHS Sub-Committee during a joint meeting of the TDG and GHS sub-committees in July 2018. Subject to the agreement of the GHS Sub-Committee to this proposal, the date, the time needed and the topics to be discussed at the joint session could be decided by the officers of both sub-committees after the deadline for submission of documents. </w:t>
      </w:r>
    </w:p>
    <w:p w:rsidR="00144F53" w:rsidRPr="00714D20" w:rsidRDefault="00FE7836" w:rsidP="00FE7836">
      <w:pPr>
        <w:pStyle w:val="Bullet1G"/>
        <w:numPr>
          <w:ilvl w:val="0"/>
          <w:numId w:val="0"/>
        </w:numPr>
        <w:ind w:left="1134"/>
        <w:rPr>
          <w:i/>
        </w:rPr>
      </w:pPr>
      <w:r w:rsidRPr="00714D20">
        <w:rPr>
          <w:i/>
        </w:rPr>
        <w:t xml:space="preserve"> </w:t>
      </w:r>
      <w:r w:rsidR="00144F53" w:rsidRPr="00714D20">
        <w:rPr>
          <w:i/>
        </w:rPr>
        <w:t>(Ref</w:t>
      </w:r>
      <w:r w:rsidR="00911EB1" w:rsidRPr="00714D20">
        <w:rPr>
          <w:i/>
        </w:rPr>
        <w:t>.D</w:t>
      </w:r>
      <w:r w:rsidR="00144F53" w:rsidRPr="00714D20">
        <w:rPr>
          <w:i/>
        </w:rPr>
        <w:t xml:space="preserve">oc: </w:t>
      </w:r>
      <w:r w:rsidR="00EB5B0A" w:rsidRPr="00714D20">
        <w:rPr>
          <w:i/>
        </w:rPr>
        <w:t xml:space="preserve">report of the Working Group on Explosives, TDG/52/INF.53, paragraph 10, and </w:t>
      </w:r>
      <w:r w:rsidR="00144F53" w:rsidRPr="00714D20">
        <w:rPr>
          <w:i/>
        </w:rPr>
        <w:t xml:space="preserve">draft report of the TDG Sub-Committee on its </w:t>
      </w:r>
      <w:r w:rsidR="00EB5B0A" w:rsidRPr="00714D20">
        <w:rPr>
          <w:i/>
        </w:rPr>
        <w:t>52nd</w:t>
      </w:r>
      <w:r w:rsidR="00144F53" w:rsidRPr="00714D20">
        <w:rPr>
          <w:i/>
        </w:rPr>
        <w:t xml:space="preserve"> session: ST/SG/AC.10/C.3/2017/CRP.</w:t>
      </w:r>
      <w:r w:rsidR="00EB5B0A" w:rsidRPr="00714D20">
        <w:rPr>
          <w:i/>
        </w:rPr>
        <w:t>3</w:t>
      </w:r>
      <w:r w:rsidR="00911EB1" w:rsidRPr="00714D20">
        <w:rPr>
          <w:i/>
        </w:rPr>
        <w:t>/Add.</w:t>
      </w:r>
      <w:r w:rsidR="00EB5B0A" w:rsidRPr="00714D20">
        <w:rPr>
          <w:i/>
        </w:rPr>
        <w:t>7</w:t>
      </w:r>
      <w:r w:rsidR="00144F53" w:rsidRPr="00714D20">
        <w:rPr>
          <w:i/>
        </w:rPr>
        <w:t xml:space="preserve">, </w:t>
      </w:r>
      <w:r w:rsidR="00911EB1" w:rsidRPr="00714D20">
        <w:rPr>
          <w:i/>
        </w:rPr>
        <w:t>paragraph</w:t>
      </w:r>
      <w:r w:rsidR="00EB5B0A" w:rsidRPr="00714D20">
        <w:rPr>
          <w:i/>
        </w:rPr>
        <w:t>s</w:t>
      </w:r>
      <w:r w:rsidR="00911EB1" w:rsidRPr="00714D20">
        <w:rPr>
          <w:i/>
        </w:rPr>
        <w:t xml:space="preserve"> </w:t>
      </w:r>
      <w:r w:rsidR="00EB5B0A" w:rsidRPr="00714D20">
        <w:rPr>
          <w:i/>
        </w:rPr>
        <w:t>54 and 55 and</w:t>
      </w:r>
      <w:r w:rsidR="00714D20">
        <w:rPr>
          <w:i/>
        </w:rPr>
        <w:t xml:space="preserve"> </w:t>
      </w:r>
      <w:r w:rsidR="00EB5B0A" w:rsidRPr="00714D20">
        <w:rPr>
          <w:i/>
        </w:rPr>
        <w:t>ST/SG/AC.10/C.3/2017/CRP.3/Add.9, paragraphs 55 bis and 55 ter</w:t>
      </w:r>
      <w:r>
        <w:rPr>
          <w:i/>
        </w:rPr>
        <w:t>, as amended</w:t>
      </w:r>
      <w:r w:rsidR="00144F53" w:rsidRPr="00714D20">
        <w:rPr>
          <w:i/>
        </w:rPr>
        <w:t>)</w:t>
      </w:r>
      <w:r>
        <w:rPr>
          <w:i/>
        </w:rPr>
        <w:t>.</w:t>
      </w:r>
    </w:p>
    <w:p w:rsidR="00DB1726" w:rsidRDefault="00DB1726" w:rsidP="00DB1726">
      <w:pPr>
        <w:pStyle w:val="SingleTxtG"/>
        <w:jc w:val="center"/>
        <w:rPr>
          <w:i/>
        </w:rPr>
      </w:pPr>
      <w:r w:rsidRPr="00533570">
        <w:rPr>
          <w:i/>
        </w:rPr>
        <w:t>________________</w:t>
      </w:r>
    </w:p>
    <w:sectPr w:rsidR="00DB1726" w:rsidSect="0099001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B322EE">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B322EE">
      <w:rPr>
        <w:b/>
        <w:noProof/>
        <w:sz w:val="18"/>
      </w:rPr>
      <w:t>3</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57" w:rsidRPr="0099001C" w:rsidRDefault="00B322EE">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251657728">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 w:id="2">
    <w:p w:rsidR="00E30EE8" w:rsidRPr="00E30EE8" w:rsidRDefault="00E30EE8">
      <w:pPr>
        <w:pStyle w:val="FootnoteText"/>
      </w:pPr>
      <w:r>
        <w:tab/>
      </w:r>
      <w:r>
        <w:rPr>
          <w:rStyle w:val="FootnoteReference"/>
        </w:rPr>
        <w:footnoteRef/>
      </w:r>
      <w:r>
        <w:t xml:space="preserve"> </w:t>
      </w:r>
      <w:r>
        <w:tab/>
      </w:r>
      <w:r w:rsidRPr="001A5EFA">
        <w:t>The final version of the report of the TDG Sub-Committee will be circulated as document ST/SG/AC.10/C.3/</w:t>
      </w:r>
      <w:r w:rsidR="00664234">
        <w:t>104</w:t>
      </w:r>
      <w:r>
        <w:t xml:space="preserve"> (</w:t>
      </w:r>
      <w:r w:rsidRPr="001A5EFA">
        <w:t>http://www.unece.org/trans/main/dgdb/dgsubc3/c3rep.html</w:t>
      </w:r>
      <w:r>
        <w:t>)</w:t>
      </w:r>
    </w:p>
  </w:footnote>
  <w:footnote w:id="3">
    <w:p w:rsidR="00E27CDD" w:rsidRPr="001A5EFA" w:rsidRDefault="00E27CDD" w:rsidP="00E27CDD">
      <w:pPr>
        <w:pStyle w:val="FootnoteText"/>
      </w:pPr>
      <w:r>
        <w:tab/>
      </w:r>
      <w:r>
        <w:rPr>
          <w:rStyle w:val="FootnoteReference"/>
        </w:rPr>
        <w:footnoteRef/>
      </w:r>
      <w:r>
        <w:t xml:space="preserve"> </w:t>
      </w:r>
      <w:r>
        <w:tab/>
      </w:r>
      <w:r w:rsidRPr="001A5EFA">
        <w:t>http://www.unece.org/trans/main/dgdb/dgsubc3/c3inf</w:t>
      </w:r>
      <w:r w:rsidR="00664234">
        <w:t>52</w:t>
      </w:r>
      <w:r w:rsidRPr="001A5EFA">
        <w:t>.html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57" w:rsidRPr="0099001C" w:rsidRDefault="006A7757" w:rsidP="00366CA7">
    <w:pPr>
      <w:pStyle w:val="Header"/>
    </w:pPr>
    <w:r w:rsidRPr="005A1400">
      <w:t>UN/SCEGHS/</w:t>
    </w:r>
    <w:r w:rsidR="00664234" w:rsidRPr="005A1400">
      <w:t>34</w:t>
    </w:r>
    <w:r w:rsidRPr="005A1400">
      <w:t>/INF.</w:t>
    </w:r>
    <w:r w:rsidR="005A1400" w:rsidRPr="005A1400">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57" w:rsidRPr="0099001C" w:rsidRDefault="006A7757" w:rsidP="0099001C">
    <w:pPr>
      <w:pStyle w:val="Header"/>
      <w:jc w:val="right"/>
    </w:pPr>
    <w:r>
      <w:t>UN/SCEGHS/</w:t>
    </w:r>
    <w:r w:rsidR="00A8562B">
      <w:t>34</w:t>
    </w:r>
    <w:r>
      <w:t>/INF.</w:t>
    </w:r>
    <w:r w:rsidR="00A8562B">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141A7D7E"/>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0"/>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0"/>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01C"/>
    <w:rsid w:val="00002EFA"/>
    <w:rsid w:val="00011433"/>
    <w:rsid w:val="00033B3D"/>
    <w:rsid w:val="00050F6B"/>
    <w:rsid w:val="00072C8C"/>
    <w:rsid w:val="00081647"/>
    <w:rsid w:val="000931C0"/>
    <w:rsid w:val="000B175B"/>
    <w:rsid w:val="000B3A0F"/>
    <w:rsid w:val="000B3BED"/>
    <w:rsid w:val="000C6544"/>
    <w:rsid w:val="000D10AA"/>
    <w:rsid w:val="000E0415"/>
    <w:rsid w:val="00111620"/>
    <w:rsid w:val="001220B8"/>
    <w:rsid w:val="00125265"/>
    <w:rsid w:val="00126807"/>
    <w:rsid w:val="00126F98"/>
    <w:rsid w:val="00144F53"/>
    <w:rsid w:val="00156F3C"/>
    <w:rsid w:val="0015786F"/>
    <w:rsid w:val="00162BF7"/>
    <w:rsid w:val="00190AEA"/>
    <w:rsid w:val="001A5EFA"/>
    <w:rsid w:val="001B06A5"/>
    <w:rsid w:val="001B4B04"/>
    <w:rsid w:val="001C6663"/>
    <w:rsid w:val="001C7895"/>
    <w:rsid w:val="001D26DF"/>
    <w:rsid w:val="001E3484"/>
    <w:rsid w:val="001E47FD"/>
    <w:rsid w:val="00211E0B"/>
    <w:rsid w:val="002405A7"/>
    <w:rsid w:val="0025322D"/>
    <w:rsid w:val="00257E45"/>
    <w:rsid w:val="00262488"/>
    <w:rsid w:val="00263054"/>
    <w:rsid w:val="00265243"/>
    <w:rsid w:val="002D59D3"/>
    <w:rsid w:val="003107FA"/>
    <w:rsid w:val="003127A2"/>
    <w:rsid w:val="00312888"/>
    <w:rsid w:val="003229D8"/>
    <w:rsid w:val="0032550E"/>
    <w:rsid w:val="0033745A"/>
    <w:rsid w:val="003642AF"/>
    <w:rsid w:val="00366CA7"/>
    <w:rsid w:val="0039277A"/>
    <w:rsid w:val="00394612"/>
    <w:rsid w:val="003972E0"/>
    <w:rsid w:val="003B3A99"/>
    <w:rsid w:val="003C2CC4"/>
    <w:rsid w:val="003C3936"/>
    <w:rsid w:val="003D4B23"/>
    <w:rsid w:val="003F1ED3"/>
    <w:rsid w:val="00421612"/>
    <w:rsid w:val="004325CB"/>
    <w:rsid w:val="00446DE4"/>
    <w:rsid w:val="00457287"/>
    <w:rsid w:val="00460DD9"/>
    <w:rsid w:val="00467F71"/>
    <w:rsid w:val="004A41CA"/>
    <w:rsid w:val="004E7ED6"/>
    <w:rsid w:val="00503228"/>
    <w:rsid w:val="00505384"/>
    <w:rsid w:val="00532EF8"/>
    <w:rsid w:val="00533570"/>
    <w:rsid w:val="005420F2"/>
    <w:rsid w:val="005969DF"/>
    <w:rsid w:val="005A1400"/>
    <w:rsid w:val="005B2C89"/>
    <w:rsid w:val="005B3DB3"/>
    <w:rsid w:val="005E22FE"/>
    <w:rsid w:val="005F2E88"/>
    <w:rsid w:val="00611FC4"/>
    <w:rsid w:val="006176FB"/>
    <w:rsid w:val="00627ED0"/>
    <w:rsid w:val="00640B26"/>
    <w:rsid w:val="00664234"/>
    <w:rsid w:val="00665595"/>
    <w:rsid w:val="00691F20"/>
    <w:rsid w:val="00693543"/>
    <w:rsid w:val="006A7392"/>
    <w:rsid w:val="006A7757"/>
    <w:rsid w:val="006E36AF"/>
    <w:rsid w:val="006E564B"/>
    <w:rsid w:val="0071349F"/>
    <w:rsid w:val="00714D20"/>
    <w:rsid w:val="00720DEB"/>
    <w:rsid w:val="007229DF"/>
    <w:rsid w:val="0072632A"/>
    <w:rsid w:val="00727BE5"/>
    <w:rsid w:val="00733AAE"/>
    <w:rsid w:val="00781A60"/>
    <w:rsid w:val="007A0B22"/>
    <w:rsid w:val="007B2603"/>
    <w:rsid w:val="007B6BA5"/>
    <w:rsid w:val="007C3390"/>
    <w:rsid w:val="007C4F4B"/>
    <w:rsid w:val="007F0B83"/>
    <w:rsid w:val="007F48EF"/>
    <w:rsid w:val="007F4FCD"/>
    <w:rsid w:val="007F6611"/>
    <w:rsid w:val="0081732C"/>
    <w:rsid w:val="008175E9"/>
    <w:rsid w:val="008242D7"/>
    <w:rsid w:val="00827E05"/>
    <w:rsid w:val="008311A3"/>
    <w:rsid w:val="00836AF7"/>
    <w:rsid w:val="00871FD5"/>
    <w:rsid w:val="008979B1"/>
    <w:rsid w:val="008A6B25"/>
    <w:rsid w:val="008A6C4F"/>
    <w:rsid w:val="008B6E26"/>
    <w:rsid w:val="008E0E46"/>
    <w:rsid w:val="008E4C4C"/>
    <w:rsid w:val="00907AD2"/>
    <w:rsid w:val="00911047"/>
    <w:rsid w:val="00911EB1"/>
    <w:rsid w:val="0093352C"/>
    <w:rsid w:val="00963CBA"/>
    <w:rsid w:val="009650E6"/>
    <w:rsid w:val="00965932"/>
    <w:rsid w:val="00970988"/>
    <w:rsid w:val="00974A8D"/>
    <w:rsid w:val="0099001C"/>
    <w:rsid w:val="00991261"/>
    <w:rsid w:val="009F3A17"/>
    <w:rsid w:val="009F3D53"/>
    <w:rsid w:val="00A0275E"/>
    <w:rsid w:val="00A1427D"/>
    <w:rsid w:val="00A426FB"/>
    <w:rsid w:val="00A55FB2"/>
    <w:rsid w:val="00A72F22"/>
    <w:rsid w:val="00A748A6"/>
    <w:rsid w:val="00A80459"/>
    <w:rsid w:val="00A805EB"/>
    <w:rsid w:val="00A8562B"/>
    <w:rsid w:val="00A8760B"/>
    <w:rsid w:val="00A879A4"/>
    <w:rsid w:val="00AA496B"/>
    <w:rsid w:val="00AE71F3"/>
    <w:rsid w:val="00B30179"/>
    <w:rsid w:val="00B30E8F"/>
    <w:rsid w:val="00B322EE"/>
    <w:rsid w:val="00B33EC0"/>
    <w:rsid w:val="00B6064F"/>
    <w:rsid w:val="00B81E12"/>
    <w:rsid w:val="00B97D28"/>
    <w:rsid w:val="00BC30B2"/>
    <w:rsid w:val="00BC6217"/>
    <w:rsid w:val="00BC74E9"/>
    <w:rsid w:val="00BD2146"/>
    <w:rsid w:val="00BE02AE"/>
    <w:rsid w:val="00BE4F74"/>
    <w:rsid w:val="00BE618E"/>
    <w:rsid w:val="00C00ACE"/>
    <w:rsid w:val="00C17699"/>
    <w:rsid w:val="00C1778D"/>
    <w:rsid w:val="00C41A28"/>
    <w:rsid w:val="00C463DD"/>
    <w:rsid w:val="00C6210B"/>
    <w:rsid w:val="00C745C3"/>
    <w:rsid w:val="00C945EB"/>
    <w:rsid w:val="00CC65B7"/>
    <w:rsid w:val="00CE4A8F"/>
    <w:rsid w:val="00D055EB"/>
    <w:rsid w:val="00D2031B"/>
    <w:rsid w:val="00D25FE2"/>
    <w:rsid w:val="00D317BB"/>
    <w:rsid w:val="00D31B3A"/>
    <w:rsid w:val="00D35D8F"/>
    <w:rsid w:val="00D43252"/>
    <w:rsid w:val="00D5565C"/>
    <w:rsid w:val="00D563D8"/>
    <w:rsid w:val="00D63881"/>
    <w:rsid w:val="00D7387D"/>
    <w:rsid w:val="00D978C6"/>
    <w:rsid w:val="00DA67AD"/>
    <w:rsid w:val="00DB1726"/>
    <w:rsid w:val="00DB5D0F"/>
    <w:rsid w:val="00DC3242"/>
    <w:rsid w:val="00DE7F20"/>
    <w:rsid w:val="00DF12F7"/>
    <w:rsid w:val="00DF2C64"/>
    <w:rsid w:val="00E02C81"/>
    <w:rsid w:val="00E04A75"/>
    <w:rsid w:val="00E06EAB"/>
    <w:rsid w:val="00E130AB"/>
    <w:rsid w:val="00E27CDD"/>
    <w:rsid w:val="00E30EE8"/>
    <w:rsid w:val="00E31C87"/>
    <w:rsid w:val="00E677EC"/>
    <w:rsid w:val="00E70DF5"/>
    <w:rsid w:val="00E7260F"/>
    <w:rsid w:val="00E80F5F"/>
    <w:rsid w:val="00E86024"/>
    <w:rsid w:val="00E87921"/>
    <w:rsid w:val="00E96630"/>
    <w:rsid w:val="00EA264E"/>
    <w:rsid w:val="00EA3A41"/>
    <w:rsid w:val="00EB5B0A"/>
    <w:rsid w:val="00ED1541"/>
    <w:rsid w:val="00ED71D9"/>
    <w:rsid w:val="00ED7A2A"/>
    <w:rsid w:val="00EF1D7F"/>
    <w:rsid w:val="00EF358F"/>
    <w:rsid w:val="00F124A0"/>
    <w:rsid w:val="00F53EDA"/>
    <w:rsid w:val="00F73015"/>
    <w:rsid w:val="00F7753D"/>
    <w:rsid w:val="00F85F34"/>
    <w:rsid w:val="00FA06F7"/>
    <w:rsid w:val="00FB171A"/>
    <w:rsid w:val="00FC09B8"/>
    <w:rsid w:val="00FC68B7"/>
    <w:rsid w:val="00FD4F7E"/>
    <w:rsid w:val="00FD7BF6"/>
    <w:rsid w:val="00FE78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FA20E9"/>
  <w15:docId w15:val="{C98F3037-D55C-4297-8D34-A6FD565A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5A1400"/>
    <w:rPr>
      <w:lang w:val="en-GB" w:eastAsia="en-US" w:bidi="ar-SA"/>
    </w:rPr>
  </w:style>
  <w:style w:type="character" w:customStyle="1" w:styleId="HeaderChar">
    <w:name w:val="Header Char"/>
    <w:aliases w:val="6_G Char"/>
    <w:link w:val="Header"/>
    <w:rsid w:val="001E3484"/>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4D4AE-52E1-4CC5-9357-7B47B212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123</TotalTime>
  <Pages>3</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12</cp:revision>
  <cp:lastPrinted>2017-12-05T17:01:00Z</cp:lastPrinted>
  <dcterms:created xsi:type="dcterms:W3CDTF">2017-11-29T09:31:00Z</dcterms:created>
  <dcterms:modified xsi:type="dcterms:W3CDTF">2017-12-06T11:28:00Z</dcterms:modified>
</cp:coreProperties>
</file>