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16198E" w14:paraId="12B3D036" w14:textId="77777777" w:rsidTr="00691F20">
        <w:trPr>
          <w:cantSplit/>
          <w:trHeight w:hRule="exact" w:val="851"/>
        </w:trPr>
        <w:tc>
          <w:tcPr>
            <w:tcW w:w="9639" w:type="dxa"/>
            <w:tcBorders>
              <w:bottom w:val="single" w:sz="4" w:space="0" w:color="auto"/>
            </w:tcBorders>
            <w:vAlign w:val="bottom"/>
          </w:tcPr>
          <w:p w14:paraId="2A86DC07" w14:textId="75C84DCE" w:rsidR="0099001C" w:rsidRPr="0016198E" w:rsidRDefault="0099001C" w:rsidP="0016198E">
            <w:pPr>
              <w:jc w:val="right"/>
              <w:rPr>
                <w:b/>
                <w:sz w:val="40"/>
                <w:szCs w:val="40"/>
              </w:rPr>
            </w:pPr>
            <w:r w:rsidRPr="0016198E">
              <w:rPr>
                <w:b/>
                <w:sz w:val="40"/>
                <w:szCs w:val="40"/>
              </w:rPr>
              <w:t>UN/SCEGHS/</w:t>
            </w:r>
            <w:r w:rsidR="001B06A5" w:rsidRPr="0016198E">
              <w:rPr>
                <w:b/>
                <w:sz w:val="40"/>
                <w:szCs w:val="40"/>
              </w:rPr>
              <w:t>33</w:t>
            </w:r>
            <w:r w:rsidRPr="0016198E">
              <w:rPr>
                <w:b/>
                <w:sz w:val="40"/>
                <w:szCs w:val="40"/>
              </w:rPr>
              <w:t>/INF.</w:t>
            </w:r>
            <w:r w:rsidR="0016198E" w:rsidRPr="0016198E">
              <w:rPr>
                <w:b/>
                <w:sz w:val="40"/>
                <w:szCs w:val="40"/>
              </w:rPr>
              <w:t>9</w:t>
            </w:r>
          </w:p>
        </w:tc>
      </w:tr>
      <w:tr w:rsidR="0099001C" w14:paraId="2A30BBEC" w14:textId="77777777" w:rsidTr="008B6E26">
        <w:trPr>
          <w:cantSplit/>
          <w:trHeight w:hRule="exact" w:val="3114"/>
        </w:trPr>
        <w:tc>
          <w:tcPr>
            <w:tcW w:w="9639" w:type="dxa"/>
            <w:tcBorders>
              <w:top w:val="single" w:sz="4" w:space="0" w:color="auto"/>
            </w:tcBorders>
          </w:tcPr>
          <w:p w14:paraId="17476F07" w14:textId="77777777" w:rsidR="00965932" w:rsidRPr="0016198E" w:rsidRDefault="00965932" w:rsidP="00965932">
            <w:pPr>
              <w:spacing w:before="120"/>
              <w:rPr>
                <w:b/>
                <w:sz w:val="24"/>
                <w:szCs w:val="24"/>
                <w:lang w:val="en-US"/>
              </w:rPr>
            </w:pPr>
            <w:r w:rsidRPr="0016198E">
              <w:rPr>
                <w:b/>
                <w:sz w:val="24"/>
                <w:szCs w:val="24"/>
                <w:lang w:val="en-US"/>
              </w:rPr>
              <w:t>Committee of Experts on the Transport of Dangerous Goods</w:t>
            </w:r>
            <w:r w:rsidRPr="0016198E">
              <w:rPr>
                <w:b/>
                <w:sz w:val="24"/>
                <w:szCs w:val="24"/>
                <w:lang w:val="en-US"/>
              </w:rPr>
              <w:br/>
              <w:t>and on the Globally Harmonized System of Classification</w:t>
            </w:r>
            <w:r w:rsidRPr="0016198E">
              <w:rPr>
                <w:b/>
                <w:sz w:val="24"/>
                <w:szCs w:val="24"/>
                <w:lang w:val="en-US"/>
              </w:rPr>
              <w:br/>
              <w:t>and Labelling of Chemicals</w:t>
            </w:r>
          </w:p>
          <w:p w14:paraId="2A7B16FE" w14:textId="6404FC9E" w:rsidR="00965932" w:rsidRPr="0016198E" w:rsidRDefault="00965932" w:rsidP="00965932">
            <w:pPr>
              <w:tabs>
                <w:tab w:val="left" w:pos="7230"/>
                <w:tab w:val="right" w:pos="9300"/>
              </w:tabs>
              <w:spacing w:before="120"/>
              <w:rPr>
                <w:rFonts w:ascii="Helv" w:hAnsi="Helv" w:cs="Helv"/>
                <w:b/>
                <w:color w:val="000000"/>
                <w:lang w:val="en-US"/>
              </w:rPr>
            </w:pPr>
            <w:r w:rsidRPr="0016198E">
              <w:rPr>
                <w:b/>
                <w:lang w:val="en-US"/>
              </w:rPr>
              <w:t>Sub-Committee of Experts on the Globally Harmonized</w:t>
            </w:r>
            <w:r w:rsidRPr="0016198E">
              <w:rPr>
                <w:b/>
                <w:lang w:val="en-US"/>
              </w:rPr>
              <w:br/>
              <w:t>System of Classification and Labelling of Chemicals</w:t>
            </w:r>
            <w:r w:rsidRPr="0016198E">
              <w:rPr>
                <w:b/>
                <w:lang w:val="en-US"/>
              </w:rPr>
              <w:tab/>
            </w:r>
            <w:r w:rsidR="001B06A5" w:rsidRPr="0016198E">
              <w:rPr>
                <w:b/>
                <w:lang w:val="en-US"/>
              </w:rPr>
              <w:tab/>
            </w:r>
            <w:r w:rsidR="0016198E" w:rsidRPr="0016198E">
              <w:rPr>
                <w:b/>
                <w:lang w:val="en-US"/>
              </w:rPr>
              <w:t>27</w:t>
            </w:r>
            <w:r w:rsidR="006560F1" w:rsidRPr="0016198E">
              <w:rPr>
                <w:b/>
                <w:lang w:val="en-US"/>
              </w:rPr>
              <w:t xml:space="preserve"> June</w:t>
            </w:r>
            <w:r w:rsidRPr="0016198E">
              <w:rPr>
                <w:b/>
                <w:lang w:val="en-US"/>
              </w:rPr>
              <w:t xml:space="preserve"> 201</w:t>
            </w:r>
            <w:r w:rsidR="001B06A5" w:rsidRPr="0016198E">
              <w:rPr>
                <w:b/>
                <w:lang w:val="en-US"/>
              </w:rPr>
              <w:t>7</w:t>
            </w:r>
          </w:p>
          <w:p w14:paraId="4F2DD1A2" w14:textId="77777777" w:rsidR="00965932" w:rsidRPr="0016198E" w:rsidRDefault="00965932" w:rsidP="00965932">
            <w:pPr>
              <w:jc w:val="both"/>
              <w:rPr>
                <w:b/>
                <w:lang w:val="en-US"/>
              </w:rPr>
            </w:pPr>
          </w:p>
          <w:p w14:paraId="2BD01902" w14:textId="77777777" w:rsidR="00965932" w:rsidRPr="0016198E" w:rsidRDefault="00965932" w:rsidP="00965932">
            <w:pPr>
              <w:jc w:val="both"/>
            </w:pPr>
            <w:r w:rsidRPr="0016198E">
              <w:rPr>
                <w:b/>
              </w:rPr>
              <w:t>Thirty-</w:t>
            </w:r>
            <w:r w:rsidR="001B06A5" w:rsidRPr="0016198E">
              <w:rPr>
                <w:b/>
              </w:rPr>
              <w:t>third</w:t>
            </w:r>
            <w:r w:rsidRPr="0016198E">
              <w:rPr>
                <w:b/>
              </w:rPr>
              <w:t xml:space="preserve"> session</w:t>
            </w:r>
            <w:r w:rsidRPr="0016198E">
              <w:t xml:space="preserve"> </w:t>
            </w:r>
          </w:p>
          <w:p w14:paraId="695C1D71" w14:textId="77777777" w:rsidR="001B06A5" w:rsidRPr="0016198E" w:rsidRDefault="001B06A5" w:rsidP="001B06A5">
            <w:pPr>
              <w:jc w:val="both"/>
            </w:pPr>
            <w:r w:rsidRPr="0016198E">
              <w:t>Geneva, 10-12 July 2017</w:t>
            </w:r>
          </w:p>
          <w:p w14:paraId="0DE26F57" w14:textId="77777777" w:rsidR="001B06A5" w:rsidRPr="0016198E" w:rsidRDefault="001B06A5" w:rsidP="001B06A5">
            <w:pPr>
              <w:spacing w:before="40"/>
            </w:pPr>
            <w:r w:rsidRPr="0016198E">
              <w:t xml:space="preserve">Item </w:t>
            </w:r>
            <w:r w:rsidR="00623A2A" w:rsidRPr="0016198E">
              <w:t>3</w:t>
            </w:r>
            <w:r w:rsidR="006560F1" w:rsidRPr="0016198E">
              <w:t xml:space="preserve"> (d)</w:t>
            </w:r>
            <w:r w:rsidRPr="0016198E">
              <w:t xml:space="preserve"> of the provisional agenda</w:t>
            </w:r>
          </w:p>
          <w:p w14:paraId="42D616AD" w14:textId="77777777" w:rsidR="0099001C" w:rsidRDefault="00623A2A" w:rsidP="001B06A5">
            <w:pPr>
              <w:spacing w:line="240" w:lineRule="exact"/>
            </w:pPr>
            <w:r w:rsidRPr="0016198E">
              <w:rPr>
                <w:b/>
              </w:rPr>
              <w:t>Hazard communication: Other issues</w:t>
            </w:r>
          </w:p>
        </w:tc>
      </w:tr>
    </w:tbl>
    <w:p w14:paraId="2AA614BE" w14:textId="16CDE5F0" w:rsidR="006560F1" w:rsidRPr="00AE4DC1" w:rsidRDefault="00965932" w:rsidP="006560F1">
      <w:pPr>
        <w:pStyle w:val="HChG"/>
        <w:ind w:left="1138" w:right="1138" w:hanging="1138"/>
        <w:rPr>
          <w:rFonts w:eastAsia="MS Mincho"/>
          <w:lang w:eastAsia="ja-JP"/>
        </w:rPr>
      </w:pPr>
      <w:r w:rsidRPr="009E7ABD">
        <w:rPr>
          <w:rFonts w:eastAsia="MS Mincho"/>
          <w:lang w:val="en-US" w:eastAsia="ja-JP"/>
        </w:rPr>
        <w:tab/>
      </w:r>
      <w:r>
        <w:rPr>
          <w:rFonts w:eastAsia="MS Mincho"/>
          <w:lang w:val="en-US" w:eastAsia="ja-JP"/>
        </w:rPr>
        <w:tab/>
      </w:r>
      <w:r w:rsidR="00FE4A21">
        <w:rPr>
          <w:rFonts w:eastAsia="MS Mincho"/>
          <w:lang w:val="en-US" w:eastAsia="ja-JP"/>
        </w:rPr>
        <w:t xml:space="preserve">Amendments to </w:t>
      </w:r>
      <w:r w:rsidR="00623A2A">
        <w:rPr>
          <w:szCs w:val="28"/>
        </w:rPr>
        <w:t>Annex 7, example 7</w:t>
      </w:r>
      <w:r w:rsidR="006560F1">
        <w:rPr>
          <w:szCs w:val="28"/>
        </w:rPr>
        <w:t>:</w:t>
      </w:r>
      <w:r w:rsidR="00FE4A21">
        <w:rPr>
          <w:szCs w:val="28"/>
        </w:rPr>
        <w:t xml:space="preserve"> single </w:t>
      </w:r>
      <w:proofErr w:type="spellStart"/>
      <w:r w:rsidR="00FE4A21">
        <w:rPr>
          <w:szCs w:val="28"/>
        </w:rPr>
        <w:t>packagings</w:t>
      </w:r>
      <w:proofErr w:type="spellEnd"/>
    </w:p>
    <w:p w14:paraId="407685DB" w14:textId="77777777" w:rsidR="006560F1" w:rsidRPr="00AE4DC1" w:rsidRDefault="006560F1" w:rsidP="006560F1">
      <w:pPr>
        <w:pStyle w:val="H1G"/>
        <w:ind w:left="1138" w:right="1138" w:hanging="1138"/>
        <w:rPr>
          <w:rFonts w:eastAsia="MS Mincho"/>
        </w:rPr>
      </w:pPr>
      <w:r>
        <w:rPr>
          <w:rFonts w:eastAsia="MS Mincho"/>
        </w:rPr>
        <w:tab/>
      </w:r>
      <w:r>
        <w:rPr>
          <w:rFonts w:eastAsia="MS Mincho"/>
        </w:rPr>
        <w:tab/>
      </w:r>
      <w:r w:rsidRPr="00AE4DC1">
        <w:rPr>
          <w:szCs w:val="24"/>
        </w:rPr>
        <w:t xml:space="preserve">Transmitted by </w:t>
      </w:r>
      <w:r w:rsidRPr="00AE4DC1">
        <w:rPr>
          <w:szCs w:val="24"/>
          <w:lang w:eastAsia="ja-JP"/>
        </w:rPr>
        <w:t xml:space="preserve">the </w:t>
      </w:r>
      <w:r w:rsidR="00623A2A">
        <w:rPr>
          <w:szCs w:val="24"/>
          <w:lang w:eastAsia="ja-JP"/>
        </w:rPr>
        <w:t>United Nations Institute for Training and Research (UNITAR)</w:t>
      </w:r>
      <w:r w:rsidRPr="00AE4DC1">
        <w:rPr>
          <w:szCs w:val="24"/>
          <w:lang w:eastAsia="de-DE"/>
        </w:rPr>
        <w:t xml:space="preserve"> </w:t>
      </w:r>
    </w:p>
    <w:p w14:paraId="1DF9EB51" w14:textId="77777777" w:rsidR="006560F1" w:rsidRPr="00AE4DC1" w:rsidRDefault="006560F1" w:rsidP="006560F1">
      <w:pPr>
        <w:pStyle w:val="HChG"/>
        <w:ind w:left="1138" w:right="1138" w:hanging="1138"/>
      </w:pPr>
      <w:r>
        <w:tab/>
      </w:r>
      <w:r w:rsidRPr="00AE4DC1">
        <w:tab/>
        <w:t>Introduction</w:t>
      </w:r>
    </w:p>
    <w:p w14:paraId="17C54437" w14:textId="6E4E7E58" w:rsidR="006560F1" w:rsidRDefault="006560F1" w:rsidP="006560F1">
      <w:pPr>
        <w:pStyle w:val="SingleTxtG"/>
      </w:pPr>
      <w:r>
        <w:t>1.</w:t>
      </w:r>
      <w:r>
        <w:tab/>
        <w:t>This informal paper</w:t>
      </w:r>
      <w:r w:rsidR="00F70B54">
        <w:t xml:space="preserve"> proposes </w:t>
      </w:r>
      <w:r w:rsidR="00FE4A21">
        <w:t>amendments</w:t>
      </w:r>
      <w:r w:rsidR="00F70B54">
        <w:t xml:space="preserve"> to the annex 7, example 7 on si</w:t>
      </w:r>
      <w:r w:rsidR="00D31865">
        <w:t>ngle</w:t>
      </w:r>
      <w:r w:rsidR="00F70B54">
        <w:t xml:space="preserve"> </w:t>
      </w:r>
      <w:proofErr w:type="spellStart"/>
      <w:r w:rsidR="00F70B54">
        <w:t>packagings</w:t>
      </w:r>
      <w:proofErr w:type="spellEnd"/>
      <w:r w:rsidR="00F70B54">
        <w:t xml:space="preserve">, to improve </w:t>
      </w:r>
      <w:r w:rsidR="008B5778">
        <w:t xml:space="preserve">consistency with requirements and recommendations of the </w:t>
      </w:r>
      <w:r w:rsidR="00F70B54">
        <w:t>GHS text (specific references are</w:t>
      </w:r>
      <w:r w:rsidR="00D31865">
        <w:t xml:space="preserve"> to</w:t>
      </w:r>
      <w:r w:rsidR="00F70B54">
        <w:t xml:space="preserve"> the </w:t>
      </w:r>
      <w:r w:rsidR="00FE4A21">
        <w:t>7</w:t>
      </w:r>
      <w:r w:rsidR="00F70B54" w:rsidRPr="00F70B54">
        <w:rPr>
          <w:vertAlign w:val="superscript"/>
        </w:rPr>
        <w:t>th</w:t>
      </w:r>
      <w:r w:rsidR="00F70B54">
        <w:t xml:space="preserve"> revision)</w:t>
      </w:r>
      <w:r w:rsidR="008B5778">
        <w:t xml:space="preserve">, particularly as it relates to </w:t>
      </w:r>
      <w:r w:rsidR="009737AE">
        <w:t xml:space="preserve">using the text for </w:t>
      </w:r>
      <w:r w:rsidR="008B5778">
        <w:t>capacity building activities</w:t>
      </w:r>
      <w:r w:rsidR="00F70B54">
        <w:t>.</w:t>
      </w:r>
    </w:p>
    <w:p w14:paraId="05D6B7E4" w14:textId="77777777" w:rsidR="006560F1" w:rsidRPr="008457C1" w:rsidRDefault="006560F1" w:rsidP="006560F1">
      <w:pPr>
        <w:pStyle w:val="Default"/>
        <w:spacing w:before="360" w:after="240"/>
        <w:ind w:left="562"/>
        <w:jc w:val="both"/>
        <w:rPr>
          <w:b/>
          <w:sz w:val="28"/>
          <w:szCs w:val="28"/>
        </w:rPr>
      </w:pPr>
      <w:r>
        <w:rPr>
          <w:b/>
          <w:sz w:val="28"/>
          <w:szCs w:val="28"/>
        </w:rPr>
        <w:tab/>
      </w:r>
      <w:r>
        <w:rPr>
          <w:b/>
          <w:sz w:val="28"/>
          <w:szCs w:val="28"/>
        </w:rPr>
        <w:tab/>
      </w:r>
      <w:r w:rsidR="00F70B54">
        <w:rPr>
          <w:b/>
          <w:sz w:val="28"/>
          <w:szCs w:val="28"/>
        </w:rPr>
        <w:t>Current situation</w:t>
      </w:r>
    </w:p>
    <w:p w14:paraId="19596B5D" w14:textId="081472E9" w:rsidR="008D4CFF" w:rsidRDefault="006560F1" w:rsidP="006560F1">
      <w:pPr>
        <w:pStyle w:val="SingleTxtG"/>
        <w:rPr>
          <w:noProof/>
          <w:lang w:val="en-US"/>
        </w:rPr>
      </w:pPr>
      <w:r>
        <w:rPr>
          <w:bCs/>
          <w:color w:val="000000"/>
          <w:spacing w:val="-4"/>
        </w:rPr>
        <w:t>2</w:t>
      </w:r>
      <w:r w:rsidRPr="00495D06">
        <w:rPr>
          <w:bCs/>
          <w:color w:val="000000"/>
          <w:spacing w:val="-4"/>
        </w:rPr>
        <w:t>.</w:t>
      </w:r>
      <w:r w:rsidRPr="00495D06">
        <w:rPr>
          <w:bCs/>
          <w:color w:val="000000"/>
          <w:spacing w:val="-4"/>
        </w:rPr>
        <w:tab/>
      </w:r>
      <w:r w:rsidR="008B5778">
        <w:rPr>
          <w:noProof/>
          <w:lang w:val="en-US"/>
        </w:rPr>
        <w:t>Stakeholders rely</w:t>
      </w:r>
      <w:r w:rsidR="008D4CFF">
        <w:rPr>
          <w:noProof/>
          <w:lang w:val="en-US"/>
        </w:rPr>
        <w:t xml:space="preserve"> on the GHS text in order to provide clear and consistent guidance to those responsible for implementing the GHS.</w:t>
      </w:r>
      <w:r w:rsidR="009737AE">
        <w:rPr>
          <w:noProof/>
          <w:lang w:val="en-US"/>
        </w:rPr>
        <w:t xml:space="preserve"> Furthermore, it is as an integral tool for training and capacity building.</w:t>
      </w:r>
      <w:r w:rsidR="008D4CFF">
        <w:rPr>
          <w:noProof/>
          <w:lang w:val="en-US"/>
        </w:rPr>
        <w:t xml:space="preserve">  </w:t>
      </w:r>
    </w:p>
    <w:p w14:paraId="167897D8" w14:textId="6E5A02D2" w:rsidR="00F70B54" w:rsidRDefault="008D4CFF" w:rsidP="006560F1">
      <w:pPr>
        <w:pStyle w:val="SingleTxtG"/>
        <w:rPr>
          <w:bCs/>
          <w:color w:val="000000"/>
          <w:spacing w:val="-4"/>
        </w:rPr>
      </w:pPr>
      <w:r>
        <w:rPr>
          <w:bCs/>
          <w:color w:val="000000"/>
          <w:spacing w:val="-4"/>
        </w:rPr>
        <w:t>3.</w:t>
      </w:r>
      <w:r>
        <w:rPr>
          <w:bCs/>
          <w:color w:val="000000"/>
          <w:spacing w:val="-4"/>
        </w:rPr>
        <w:tab/>
      </w:r>
      <w:r w:rsidR="00F70B54">
        <w:rPr>
          <w:bCs/>
          <w:color w:val="000000"/>
          <w:spacing w:val="-4"/>
        </w:rPr>
        <w:t>Paragraph 1.4.10.5.4.1 of the GHS – Location of GHS inform</w:t>
      </w:r>
      <w:r w:rsidR="0010070A">
        <w:rPr>
          <w:bCs/>
          <w:color w:val="000000"/>
          <w:spacing w:val="-4"/>
        </w:rPr>
        <w:t>ation on the label – states</w:t>
      </w:r>
      <w:r w:rsidR="00F70B54">
        <w:rPr>
          <w:bCs/>
          <w:color w:val="000000"/>
          <w:spacing w:val="-4"/>
        </w:rPr>
        <w:t>:</w:t>
      </w:r>
    </w:p>
    <w:p w14:paraId="2B65F0C4" w14:textId="77777777" w:rsidR="00F70B54" w:rsidRPr="0037138D" w:rsidRDefault="00F70B54" w:rsidP="0037138D">
      <w:pPr>
        <w:pStyle w:val="SingleTxtG"/>
        <w:ind w:left="1701"/>
        <w:rPr>
          <w:i/>
        </w:rPr>
      </w:pPr>
      <w:r w:rsidRPr="0037138D">
        <w:rPr>
          <w:i/>
        </w:rPr>
        <w:t>“The GHS hazard pictograms, signal word and hazard statements should be located together on the label. The competent authority may choose to provide a specified layout for the presentation of these and for the presentation of precautionary information, or allow supplier discretion. Specific guidance and examples are provided in the chapters on individual hazard classes.”</w:t>
      </w:r>
    </w:p>
    <w:p w14:paraId="00D26AFF" w14:textId="0FED155A" w:rsidR="006560F1" w:rsidRDefault="008D4CFF" w:rsidP="006560F1">
      <w:pPr>
        <w:pStyle w:val="SingleTxtG"/>
      </w:pPr>
      <w:r>
        <w:t>4</w:t>
      </w:r>
      <w:r w:rsidR="006560F1">
        <w:t>.</w:t>
      </w:r>
      <w:r w:rsidR="006560F1">
        <w:tab/>
      </w:r>
      <w:r w:rsidR="00FE4A21">
        <w:t xml:space="preserve">Annex 7, example 7 </w:t>
      </w:r>
      <w:r w:rsidR="00F70B54">
        <w:t>gives an example of “Single packaging using 3 adjacent panels to convey multiple hazards”. However</w:t>
      </w:r>
      <w:r w:rsidR="00043431">
        <w:t>, in this example, the hazard statements are not located together with the pictograms and the signal word.</w:t>
      </w:r>
    </w:p>
    <w:p w14:paraId="6D84BFE7" w14:textId="0489094A" w:rsidR="009A1EE2" w:rsidRDefault="008C288C" w:rsidP="006560F1">
      <w:pPr>
        <w:pStyle w:val="SingleTxtG"/>
        <w:rPr>
          <w:noProof/>
          <w:lang w:val="en-US"/>
        </w:rPr>
      </w:pPr>
      <w:r>
        <w:rPr>
          <w:noProof/>
          <w:lang w:val="en-US"/>
        </w:rPr>
        <w:t>5</w:t>
      </w:r>
      <w:r w:rsidR="00D31865">
        <w:rPr>
          <w:noProof/>
          <w:lang w:val="en-US"/>
        </w:rPr>
        <w:t>.</w:t>
      </w:r>
      <w:r w:rsidR="00D31865">
        <w:rPr>
          <w:noProof/>
          <w:lang w:val="en-US"/>
        </w:rPr>
        <w:tab/>
      </w:r>
      <w:r w:rsidR="009A1EE2">
        <w:rPr>
          <w:noProof/>
          <w:lang w:val="en-US"/>
        </w:rPr>
        <w:t xml:space="preserve">In addition, other </w:t>
      </w:r>
      <w:r>
        <w:rPr>
          <w:noProof/>
          <w:lang w:val="en-US"/>
        </w:rPr>
        <w:t xml:space="preserve">possible </w:t>
      </w:r>
      <w:r w:rsidR="009A1EE2">
        <w:rPr>
          <w:noProof/>
          <w:lang w:val="en-US"/>
        </w:rPr>
        <w:t xml:space="preserve">areas for </w:t>
      </w:r>
      <w:r w:rsidR="0010070A">
        <w:rPr>
          <w:noProof/>
          <w:lang w:val="en-US"/>
        </w:rPr>
        <w:t>amendment</w:t>
      </w:r>
      <w:r w:rsidR="009A1EE2">
        <w:rPr>
          <w:noProof/>
          <w:lang w:val="en-US"/>
        </w:rPr>
        <w:t xml:space="preserve"> have been identified:</w:t>
      </w:r>
    </w:p>
    <w:p w14:paraId="3B2AAE44" w14:textId="2E462A8B" w:rsidR="00FE4A21" w:rsidRPr="0037138D" w:rsidRDefault="0037138D" w:rsidP="0037138D">
      <w:pPr>
        <w:pStyle w:val="SingleTxtG"/>
        <w:ind w:left="2268" w:hanging="567"/>
      </w:pPr>
      <w:r>
        <w:t>(a)</w:t>
      </w:r>
      <w:r>
        <w:tab/>
      </w:r>
      <w:r w:rsidR="009A1EE2" w:rsidRPr="0037138D">
        <w:t>The he</w:t>
      </w:r>
      <w:r w:rsidR="00D81390" w:rsidRPr="0037138D">
        <w:t>a</w:t>
      </w:r>
      <w:r w:rsidR="009A1EE2" w:rsidRPr="0037138D">
        <w:t xml:space="preserve">der should </w:t>
      </w:r>
      <w:r w:rsidR="00D81390" w:rsidRPr="0037138D">
        <w:t xml:space="preserve">read: </w:t>
      </w:r>
      <w:r>
        <w:t xml:space="preserve"> </w:t>
      </w:r>
      <w:r w:rsidR="005760C3" w:rsidRPr="0037138D">
        <w:t>“(c) Category 2 Specific target organ toxicity (repeated exposure).”</w:t>
      </w:r>
    </w:p>
    <w:p w14:paraId="31A91EEB" w14:textId="101C4583" w:rsidR="005760C3" w:rsidRPr="0037138D" w:rsidRDefault="0037138D" w:rsidP="0037138D">
      <w:pPr>
        <w:pStyle w:val="SingleTxtG"/>
        <w:ind w:left="2268" w:hanging="567"/>
      </w:pPr>
      <w:r>
        <w:t>(b)</w:t>
      </w:r>
      <w:r>
        <w:tab/>
        <w:t>The emergency phone n</w:t>
      </w:r>
      <w:r w:rsidR="00E8333E" w:rsidRPr="0037138D">
        <w:t>umber is currently placed immed</w:t>
      </w:r>
      <w:r w:rsidR="00FE4A21" w:rsidRPr="0037138D">
        <w:t>iately under the company details: it could be placed separately.</w:t>
      </w:r>
    </w:p>
    <w:p w14:paraId="34E2F2FF" w14:textId="741B2F36" w:rsidR="00D92C85" w:rsidRPr="0037138D" w:rsidRDefault="0037138D" w:rsidP="0037138D">
      <w:pPr>
        <w:pStyle w:val="SingleTxtG"/>
        <w:ind w:left="2268" w:hanging="567"/>
      </w:pPr>
      <w:r>
        <w:t>(c)</w:t>
      </w:r>
      <w:r>
        <w:tab/>
      </w:r>
      <w:r w:rsidR="00D92C85" w:rsidRPr="0037138D">
        <w:t>The general precautionary statement P102 should be changed to: “Keep out of reach of children.”</w:t>
      </w:r>
    </w:p>
    <w:p w14:paraId="6B4EEDB7" w14:textId="6AD81D2C" w:rsidR="00D92C85" w:rsidRPr="0037138D" w:rsidRDefault="0037138D" w:rsidP="0037138D">
      <w:pPr>
        <w:pStyle w:val="SingleTxtG"/>
        <w:ind w:left="2268" w:hanging="567"/>
      </w:pPr>
      <w:r>
        <w:lastRenderedPageBreak/>
        <w:t>(d)</w:t>
      </w:r>
      <w:r>
        <w:tab/>
      </w:r>
      <w:r w:rsidR="00D92C85" w:rsidRPr="0037138D">
        <w:t>The response precautionary statement P312 should be changed to: “Call a POISON CENTER/doctor/…if you feel unwell.”</w:t>
      </w:r>
      <w:r w:rsidR="00E5792E" w:rsidRPr="0037138D">
        <w:t xml:space="preserve"> This preserves the option for the manufacturer/supplier or the competent authority to specify the appropriate source of emergency medical advice.</w:t>
      </w:r>
    </w:p>
    <w:p w14:paraId="5AA49ECD" w14:textId="12915717" w:rsidR="00E5792E" w:rsidRPr="0037138D" w:rsidRDefault="0037138D" w:rsidP="0037138D">
      <w:pPr>
        <w:pStyle w:val="SingleTxtG"/>
        <w:ind w:left="2268" w:hanging="567"/>
      </w:pPr>
      <w:r>
        <w:t>(e)</w:t>
      </w:r>
      <w:r>
        <w:tab/>
      </w:r>
      <w:r w:rsidR="00E5792E" w:rsidRPr="0037138D">
        <w:t xml:space="preserve">For the purposes of highlighting the hazard, </w:t>
      </w:r>
      <w:r w:rsidR="00FE4A21" w:rsidRPr="0037138D">
        <w:t>it is suggested to increase the size of the pictograms, given the relative size of the label</w:t>
      </w:r>
      <w:r w:rsidR="00E5792E" w:rsidRPr="0037138D">
        <w:t>.</w:t>
      </w:r>
    </w:p>
    <w:p w14:paraId="22842C8D" w14:textId="61180560" w:rsidR="009A1EE2" w:rsidRPr="0037138D" w:rsidRDefault="0037138D" w:rsidP="0037138D">
      <w:pPr>
        <w:pStyle w:val="SingleTxtG"/>
        <w:ind w:left="2268" w:hanging="567"/>
      </w:pPr>
      <w:r>
        <w:t>(f)</w:t>
      </w:r>
      <w:r>
        <w:tab/>
      </w:r>
      <w:r w:rsidR="003F2061" w:rsidRPr="0037138D">
        <w:t>In addition to the product name, t</w:t>
      </w:r>
      <w:r w:rsidR="00A303A1" w:rsidRPr="0037138D">
        <w:t>here should be a section to provide the chem</w:t>
      </w:r>
      <w:r w:rsidR="00BD1123" w:rsidRPr="0037138D">
        <w:t>ical identity of the substance, or in the case of a mixture the chemical identities of all ingredients or alloying elements that contribute to certain types of toxicity.</w:t>
      </w:r>
    </w:p>
    <w:p w14:paraId="7D0C5606" w14:textId="77777777" w:rsidR="0010070A" w:rsidRDefault="0010070A" w:rsidP="006560F1">
      <w:pPr>
        <w:pStyle w:val="SingleTxtG"/>
        <w:rPr>
          <w:noProof/>
          <w:u w:val="single"/>
          <w:lang w:val="en-US"/>
        </w:rPr>
      </w:pPr>
    </w:p>
    <w:p w14:paraId="6AC4A770" w14:textId="52B17618" w:rsidR="0010070A" w:rsidRPr="0010070A" w:rsidRDefault="0010070A" w:rsidP="0037138D">
      <w:pPr>
        <w:pStyle w:val="SingleTxtG"/>
        <w:jc w:val="center"/>
        <w:rPr>
          <w:noProof/>
          <w:u w:val="single"/>
          <w:lang w:val="en-US"/>
        </w:rPr>
      </w:pPr>
      <w:r w:rsidRPr="0010070A">
        <w:rPr>
          <w:noProof/>
          <w:u w:val="single"/>
          <w:lang w:val="en-US"/>
        </w:rPr>
        <w:t>Annex 7, Example 7 from the GHS</w:t>
      </w:r>
    </w:p>
    <w:p w14:paraId="4FAD0170" w14:textId="6B4457FC" w:rsidR="008C288C" w:rsidRDefault="008C288C" w:rsidP="006560F1">
      <w:pPr>
        <w:pStyle w:val="SingleTxtG"/>
        <w:rPr>
          <w:noProof/>
          <w:lang w:val="en-US"/>
        </w:rPr>
      </w:pPr>
      <w:r w:rsidRPr="00043431">
        <w:rPr>
          <w:noProof/>
          <w:lang w:eastAsia="en-GB"/>
        </w:rPr>
        <w:drawing>
          <wp:inline distT="0" distB="0" distL="0" distR="0" wp14:anchorId="37F048CC" wp14:editId="600D4842">
            <wp:extent cx="5049073" cy="3238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831" cy="3240910"/>
                    </a:xfrm>
                    <a:prstGeom prst="rect">
                      <a:avLst/>
                    </a:prstGeom>
                    <a:noFill/>
                    <a:ln>
                      <a:noFill/>
                    </a:ln>
                  </pic:spPr>
                </pic:pic>
              </a:graphicData>
            </a:graphic>
          </wp:inline>
        </w:drawing>
      </w:r>
    </w:p>
    <w:p w14:paraId="2A2B1197" w14:textId="706B49BF" w:rsidR="00B3665F" w:rsidRPr="0037138D" w:rsidRDefault="008C288C" w:rsidP="0037138D">
      <w:pPr>
        <w:pStyle w:val="SingleTxtG"/>
      </w:pPr>
      <w:r w:rsidRPr="0037138D">
        <w:t>6</w:t>
      </w:r>
      <w:r w:rsidR="00A303A1" w:rsidRPr="0037138D">
        <w:t>.</w:t>
      </w:r>
      <w:r w:rsidR="00A303A1" w:rsidRPr="0037138D">
        <w:tab/>
      </w:r>
      <w:r w:rsidR="00D31865" w:rsidRPr="0037138D">
        <w:t>While the use of “should” and other options for fle</w:t>
      </w:r>
      <w:r w:rsidR="0037138D">
        <w:t>xibility are noted in paragraph </w:t>
      </w:r>
      <w:r w:rsidR="00D31865" w:rsidRPr="0037138D">
        <w:t>1.4.10.5.4.1</w:t>
      </w:r>
      <w:r w:rsidR="00A303A1" w:rsidRPr="0037138D">
        <w:t xml:space="preserve"> and throughout the GHS text</w:t>
      </w:r>
      <w:r w:rsidR="00D31865" w:rsidRPr="0037138D">
        <w:t>, UNITAR believes that making the example 7 more consistent with the recommendations would assist with capacity building.</w:t>
      </w:r>
    </w:p>
    <w:p w14:paraId="514E996C" w14:textId="77777777" w:rsidR="006560F1" w:rsidRDefault="006560F1" w:rsidP="006560F1">
      <w:pPr>
        <w:pStyle w:val="HChG"/>
        <w:ind w:left="1138" w:right="1138" w:hanging="1138"/>
      </w:pPr>
      <w:r>
        <w:tab/>
      </w:r>
      <w:r>
        <w:tab/>
      </w:r>
      <w:r w:rsidR="00043431">
        <w:t>Proposal</w:t>
      </w:r>
      <w:r>
        <w:t xml:space="preserve"> </w:t>
      </w:r>
      <w:bookmarkStart w:id="0" w:name="_GoBack"/>
      <w:bookmarkEnd w:id="0"/>
    </w:p>
    <w:p w14:paraId="4F6091F9" w14:textId="052B4778" w:rsidR="006560F1" w:rsidRPr="0037138D" w:rsidRDefault="008C288C" w:rsidP="0037138D">
      <w:pPr>
        <w:pStyle w:val="SingleTxtG"/>
      </w:pPr>
      <w:r w:rsidRPr="0037138D">
        <w:t>7</w:t>
      </w:r>
      <w:r w:rsidR="00B3665F" w:rsidRPr="0037138D">
        <w:t>.</w:t>
      </w:r>
      <w:r w:rsidR="00B3665F" w:rsidRPr="0037138D">
        <w:tab/>
        <w:t xml:space="preserve">As capacity building is an integral part of the GHS, and </w:t>
      </w:r>
      <w:r w:rsidR="008D4CFF" w:rsidRPr="0037138D">
        <w:t xml:space="preserve">one of </w:t>
      </w:r>
      <w:r w:rsidR="00B3665F" w:rsidRPr="0037138D">
        <w:t>the function</w:t>
      </w:r>
      <w:r w:rsidR="008D4CFF" w:rsidRPr="0037138D">
        <w:t>s</w:t>
      </w:r>
      <w:r w:rsidR="00B3665F" w:rsidRPr="0037138D">
        <w:t xml:space="preserve"> of the </w:t>
      </w:r>
      <w:r w:rsidR="00780D8A" w:rsidRPr="0037138D">
        <w:t xml:space="preserve">Sub-Committee </w:t>
      </w:r>
      <w:r w:rsidR="008D4CFF" w:rsidRPr="0037138D">
        <w:t xml:space="preserve">is </w:t>
      </w:r>
      <w:r w:rsidR="00B3665F" w:rsidRPr="0037138D">
        <w:t xml:space="preserve">“to promote understanding and use of the GHS and to </w:t>
      </w:r>
      <w:r w:rsidR="008D4CFF" w:rsidRPr="0037138D">
        <w:t xml:space="preserve">encourage feedback”, UNITAR would like to propose that the Annex 7, example 7 is </w:t>
      </w:r>
      <w:r w:rsidR="003F2061" w:rsidRPr="0037138D">
        <w:t>amended</w:t>
      </w:r>
      <w:r w:rsidR="008D4CFF" w:rsidRPr="0037138D">
        <w:t xml:space="preserve"> to ensure that the</w:t>
      </w:r>
      <w:r w:rsidR="00B3665F" w:rsidRPr="0037138D">
        <w:t xml:space="preserve"> </w:t>
      </w:r>
      <w:r w:rsidR="00A303A1" w:rsidRPr="0037138D">
        <w:t xml:space="preserve">label better presents the </w:t>
      </w:r>
      <w:r w:rsidR="008B5778" w:rsidRPr="0037138D">
        <w:t xml:space="preserve">requirements of the </w:t>
      </w:r>
      <w:r w:rsidR="00A303A1" w:rsidRPr="0037138D">
        <w:t xml:space="preserve">GHS </w:t>
      </w:r>
      <w:r w:rsidR="008B5778" w:rsidRPr="0037138D">
        <w:t xml:space="preserve">and the spirt of other </w:t>
      </w:r>
      <w:r w:rsidR="00A303A1" w:rsidRPr="0037138D">
        <w:t>recommendations</w:t>
      </w:r>
      <w:r w:rsidR="008D4CFF" w:rsidRPr="0037138D">
        <w:t xml:space="preserve">. </w:t>
      </w:r>
      <w:r w:rsidR="00D31865" w:rsidRPr="0037138D">
        <w:t>This would serve as a more consistent example of where to place GHS information.</w:t>
      </w:r>
    </w:p>
    <w:p w14:paraId="46CCD56C" w14:textId="746F9633" w:rsidR="00D31865" w:rsidRPr="0037138D" w:rsidRDefault="008C288C" w:rsidP="0037138D">
      <w:pPr>
        <w:pStyle w:val="SingleTxtG"/>
      </w:pPr>
      <w:r w:rsidRPr="0037138D">
        <w:t>8</w:t>
      </w:r>
      <w:r w:rsidR="00D31865" w:rsidRPr="0037138D">
        <w:t>.</w:t>
      </w:r>
      <w:r w:rsidR="00D31865" w:rsidRPr="0037138D">
        <w:tab/>
        <w:t xml:space="preserve">Should the </w:t>
      </w:r>
      <w:r w:rsidR="00780D8A" w:rsidRPr="0037138D">
        <w:t xml:space="preserve">Sub-Committee </w:t>
      </w:r>
      <w:r w:rsidR="00D31865" w:rsidRPr="0037138D">
        <w:t>agree, a worked-through proposal for</w:t>
      </w:r>
      <w:r w:rsidR="003F2061" w:rsidRPr="0037138D">
        <w:t xml:space="preserve"> an amended</w:t>
      </w:r>
      <w:r w:rsidR="00D31865" w:rsidRPr="0037138D">
        <w:t xml:space="preserve"> example would be presented as a working document at its thirty-fourth </w:t>
      </w:r>
      <w:proofErr w:type="gramStart"/>
      <w:r w:rsidR="00D31865" w:rsidRPr="0037138D">
        <w:t>session.</w:t>
      </w:r>
      <w:proofErr w:type="gramEnd"/>
    </w:p>
    <w:p w14:paraId="3B247384" w14:textId="77777777" w:rsidR="006560F1" w:rsidRDefault="006560F1" w:rsidP="006560F1">
      <w:pPr>
        <w:pStyle w:val="SingleTxtG"/>
        <w:jc w:val="center"/>
      </w:pPr>
      <w:r>
        <w:t>________________</w:t>
      </w:r>
    </w:p>
    <w:sectPr w:rsidR="006560F1" w:rsidSect="0099001C">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27F40" w14:textId="77777777" w:rsidR="006E348A" w:rsidRDefault="006E348A"/>
  </w:endnote>
  <w:endnote w:type="continuationSeparator" w:id="0">
    <w:p w14:paraId="44F9198F" w14:textId="77777777" w:rsidR="006E348A" w:rsidRDefault="006E348A"/>
  </w:endnote>
  <w:endnote w:type="continuationNotice" w:id="1">
    <w:p w14:paraId="43F31A64" w14:textId="77777777" w:rsidR="006E348A" w:rsidRDefault="006E3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A8FD" w14:textId="6C6CD990"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16198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BBFC" w14:textId="08A9273B"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16198E">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1BDA1" w14:textId="7628C878" w:rsidR="006A7757" w:rsidRPr="0099001C" w:rsidRDefault="00D31865">
    <w:r>
      <w:rPr>
        <w:noProof/>
        <w:lang w:eastAsia="en-GB"/>
      </w:rPr>
      <w:drawing>
        <wp:anchor distT="0" distB="0" distL="114300" distR="114300" simplePos="0" relativeHeight="251657728" behindDoc="0" locked="1" layoutInCell="1" allowOverlap="1" wp14:anchorId="6B6AA75A" wp14:editId="7378A397">
          <wp:simplePos x="0" y="0"/>
          <wp:positionH relativeFrom="column">
            <wp:posOffset>5148580</wp:posOffset>
          </wp:positionH>
          <wp:positionV relativeFrom="paragraph">
            <wp:posOffset>-79375</wp:posOffset>
          </wp:positionV>
          <wp:extent cx="930275" cy="230505"/>
          <wp:effectExtent l="0" t="0" r="0" b="0"/>
          <wp:wrapNone/>
          <wp:docPr id="2"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155BF" w14:textId="77777777" w:rsidR="006E348A" w:rsidRPr="000B175B" w:rsidRDefault="006E348A" w:rsidP="000B175B">
      <w:pPr>
        <w:tabs>
          <w:tab w:val="right" w:pos="2155"/>
        </w:tabs>
        <w:spacing w:after="80"/>
        <w:ind w:left="680"/>
        <w:rPr>
          <w:u w:val="single"/>
        </w:rPr>
      </w:pPr>
      <w:r>
        <w:rPr>
          <w:u w:val="single"/>
        </w:rPr>
        <w:tab/>
      </w:r>
    </w:p>
  </w:footnote>
  <w:footnote w:type="continuationSeparator" w:id="0">
    <w:p w14:paraId="77069F96" w14:textId="77777777" w:rsidR="006E348A" w:rsidRPr="00FC68B7" w:rsidRDefault="006E348A" w:rsidP="00FC68B7">
      <w:pPr>
        <w:tabs>
          <w:tab w:val="left" w:pos="2155"/>
        </w:tabs>
        <w:spacing w:after="80"/>
        <w:ind w:left="680"/>
        <w:rPr>
          <w:u w:val="single"/>
        </w:rPr>
      </w:pPr>
      <w:r>
        <w:rPr>
          <w:u w:val="single"/>
        </w:rPr>
        <w:tab/>
      </w:r>
    </w:p>
  </w:footnote>
  <w:footnote w:type="continuationNotice" w:id="1">
    <w:p w14:paraId="32CE1212" w14:textId="77777777" w:rsidR="006E348A" w:rsidRDefault="006E34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7CCC" w14:textId="3100107C" w:rsidR="006A7757" w:rsidRPr="0099001C" w:rsidRDefault="006A7757" w:rsidP="00366CA7">
    <w:pPr>
      <w:pStyle w:val="Header"/>
    </w:pPr>
    <w:r w:rsidRPr="0016198E">
      <w:t>UN/SCEGHS/</w:t>
    </w:r>
    <w:r w:rsidR="00B07933" w:rsidRPr="0016198E">
      <w:t>33</w:t>
    </w:r>
    <w:r w:rsidRPr="0016198E">
      <w:t>/INF.</w:t>
    </w:r>
    <w:r w:rsidR="0016198E" w:rsidRPr="0016198E">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F87F" w14:textId="77777777"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37230566"/>
    <w:multiLevelType w:val="hybridMultilevel"/>
    <w:tmpl w:val="A60833B4"/>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en-GB" w:vendorID="64" w:dllVersion="0" w:nlCheck="1" w:checkStyle="1"/>
  <w:activeWritingStyle w:appName="MSWord" w:lang="en-US" w:vendorID="64" w:dllVersion="0" w:nlCheck="1" w:checkStyle="1"/>
  <w:activeWritingStyle w:appName="MSWord" w:lang="en-AU" w:vendorID="64" w:dllVersion="0" w:nlCheck="1" w:checkStyle="1"/>
  <w:activeWritingStyle w:appName="MSWord" w:lang="fr-CH" w:vendorID="64" w:dllVersion="0" w:nlCheck="1" w:checkStyle="1"/>
  <w:activeWritingStyle w:appName="MSWord" w:lang="fr-FR"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33B3D"/>
    <w:rsid w:val="00043431"/>
    <w:rsid w:val="00050F6B"/>
    <w:rsid w:val="00072C8C"/>
    <w:rsid w:val="00081647"/>
    <w:rsid w:val="000931C0"/>
    <w:rsid w:val="000B175B"/>
    <w:rsid w:val="000B3A0F"/>
    <w:rsid w:val="000C6544"/>
    <w:rsid w:val="000D10AA"/>
    <w:rsid w:val="000E0415"/>
    <w:rsid w:val="000E3373"/>
    <w:rsid w:val="0010070A"/>
    <w:rsid w:val="001220B8"/>
    <w:rsid w:val="00156F3C"/>
    <w:rsid w:val="0016198E"/>
    <w:rsid w:val="00162BF7"/>
    <w:rsid w:val="00190AEA"/>
    <w:rsid w:val="001B06A5"/>
    <w:rsid w:val="001B4B04"/>
    <w:rsid w:val="001C6663"/>
    <w:rsid w:val="001C7895"/>
    <w:rsid w:val="001D26DF"/>
    <w:rsid w:val="001D6FCB"/>
    <w:rsid w:val="001E47FD"/>
    <w:rsid w:val="00211E0B"/>
    <w:rsid w:val="002405A7"/>
    <w:rsid w:val="0025322D"/>
    <w:rsid w:val="00257E45"/>
    <w:rsid w:val="00262488"/>
    <w:rsid w:val="002D59D3"/>
    <w:rsid w:val="003107FA"/>
    <w:rsid w:val="003127A2"/>
    <w:rsid w:val="003229D8"/>
    <w:rsid w:val="0032550E"/>
    <w:rsid w:val="0033745A"/>
    <w:rsid w:val="00353915"/>
    <w:rsid w:val="003642AF"/>
    <w:rsid w:val="00366CA7"/>
    <w:rsid w:val="0037138D"/>
    <w:rsid w:val="0039277A"/>
    <w:rsid w:val="003972E0"/>
    <w:rsid w:val="003B3A99"/>
    <w:rsid w:val="003C2CC4"/>
    <w:rsid w:val="003C3936"/>
    <w:rsid w:val="003D4B23"/>
    <w:rsid w:val="003F1ED3"/>
    <w:rsid w:val="003F2061"/>
    <w:rsid w:val="00421612"/>
    <w:rsid w:val="004325CB"/>
    <w:rsid w:val="00446DE4"/>
    <w:rsid w:val="00460DD9"/>
    <w:rsid w:val="00467F71"/>
    <w:rsid w:val="004A41CA"/>
    <w:rsid w:val="004E7ED6"/>
    <w:rsid w:val="00503228"/>
    <w:rsid w:val="00505384"/>
    <w:rsid w:val="00532EF8"/>
    <w:rsid w:val="005420F2"/>
    <w:rsid w:val="005760C3"/>
    <w:rsid w:val="005B2C89"/>
    <w:rsid w:val="005B3DB3"/>
    <w:rsid w:val="005E22FE"/>
    <w:rsid w:val="00611FC4"/>
    <w:rsid w:val="006176FB"/>
    <w:rsid w:val="00623A2A"/>
    <w:rsid w:val="00627ED0"/>
    <w:rsid w:val="00640B26"/>
    <w:rsid w:val="006560F1"/>
    <w:rsid w:val="00665595"/>
    <w:rsid w:val="00691F20"/>
    <w:rsid w:val="00693543"/>
    <w:rsid w:val="006A5EAE"/>
    <w:rsid w:val="006A7392"/>
    <w:rsid w:val="006A7757"/>
    <w:rsid w:val="006E348A"/>
    <w:rsid w:val="006E564B"/>
    <w:rsid w:val="0071349F"/>
    <w:rsid w:val="00720DEB"/>
    <w:rsid w:val="0072632A"/>
    <w:rsid w:val="00733AAE"/>
    <w:rsid w:val="00780D8A"/>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5778"/>
    <w:rsid w:val="008B6E26"/>
    <w:rsid w:val="008C288C"/>
    <w:rsid w:val="008D4CFF"/>
    <w:rsid w:val="008E0E46"/>
    <w:rsid w:val="008E4C4C"/>
    <w:rsid w:val="00907AD2"/>
    <w:rsid w:val="00911047"/>
    <w:rsid w:val="00963CBA"/>
    <w:rsid w:val="009650E6"/>
    <w:rsid w:val="00965932"/>
    <w:rsid w:val="009737AE"/>
    <w:rsid w:val="00974A8D"/>
    <w:rsid w:val="0099001C"/>
    <w:rsid w:val="00991261"/>
    <w:rsid w:val="009A1EE2"/>
    <w:rsid w:val="009F3A17"/>
    <w:rsid w:val="009F3D53"/>
    <w:rsid w:val="00A1427D"/>
    <w:rsid w:val="00A303A1"/>
    <w:rsid w:val="00A426FB"/>
    <w:rsid w:val="00A55FB2"/>
    <w:rsid w:val="00A72F22"/>
    <w:rsid w:val="00A748A6"/>
    <w:rsid w:val="00A80459"/>
    <w:rsid w:val="00A805EB"/>
    <w:rsid w:val="00A8760B"/>
    <w:rsid w:val="00A879A4"/>
    <w:rsid w:val="00AA496B"/>
    <w:rsid w:val="00AE71F3"/>
    <w:rsid w:val="00B07933"/>
    <w:rsid w:val="00B30179"/>
    <w:rsid w:val="00B30E8F"/>
    <w:rsid w:val="00B33EC0"/>
    <w:rsid w:val="00B3665F"/>
    <w:rsid w:val="00B81E12"/>
    <w:rsid w:val="00B97D28"/>
    <w:rsid w:val="00BC74E9"/>
    <w:rsid w:val="00BD1123"/>
    <w:rsid w:val="00BD2146"/>
    <w:rsid w:val="00BE4F74"/>
    <w:rsid w:val="00BE618E"/>
    <w:rsid w:val="00C17699"/>
    <w:rsid w:val="00C1778D"/>
    <w:rsid w:val="00C41A28"/>
    <w:rsid w:val="00C463DD"/>
    <w:rsid w:val="00C6210B"/>
    <w:rsid w:val="00C745C3"/>
    <w:rsid w:val="00C945EB"/>
    <w:rsid w:val="00CC65B7"/>
    <w:rsid w:val="00CE4A8F"/>
    <w:rsid w:val="00D055EB"/>
    <w:rsid w:val="00D2031B"/>
    <w:rsid w:val="00D25FE2"/>
    <w:rsid w:val="00D317BB"/>
    <w:rsid w:val="00D31865"/>
    <w:rsid w:val="00D35D8F"/>
    <w:rsid w:val="00D43252"/>
    <w:rsid w:val="00D63881"/>
    <w:rsid w:val="00D7387D"/>
    <w:rsid w:val="00D81390"/>
    <w:rsid w:val="00D92C85"/>
    <w:rsid w:val="00D978C6"/>
    <w:rsid w:val="00DA67AD"/>
    <w:rsid w:val="00DB5D0F"/>
    <w:rsid w:val="00DC3242"/>
    <w:rsid w:val="00DE7F20"/>
    <w:rsid w:val="00DF12F7"/>
    <w:rsid w:val="00DF2C64"/>
    <w:rsid w:val="00E02C81"/>
    <w:rsid w:val="00E04A75"/>
    <w:rsid w:val="00E06EAB"/>
    <w:rsid w:val="00E130AB"/>
    <w:rsid w:val="00E31C87"/>
    <w:rsid w:val="00E5792E"/>
    <w:rsid w:val="00E677EC"/>
    <w:rsid w:val="00E70DF5"/>
    <w:rsid w:val="00E7260F"/>
    <w:rsid w:val="00E80F5F"/>
    <w:rsid w:val="00E8333E"/>
    <w:rsid w:val="00E87921"/>
    <w:rsid w:val="00E96630"/>
    <w:rsid w:val="00EA264E"/>
    <w:rsid w:val="00EA3A41"/>
    <w:rsid w:val="00ED1541"/>
    <w:rsid w:val="00ED71D9"/>
    <w:rsid w:val="00ED7A2A"/>
    <w:rsid w:val="00EF1D7F"/>
    <w:rsid w:val="00EF358F"/>
    <w:rsid w:val="00F124A0"/>
    <w:rsid w:val="00F53EDA"/>
    <w:rsid w:val="00F70B54"/>
    <w:rsid w:val="00F73015"/>
    <w:rsid w:val="00F7753D"/>
    <w:rsid w:val="00F85F34"/>
    <w:rsid w:val="00FA06F7"/>
    <w:rsid w:val="00FB171A"/>
    <w:rsid w:val="00FC09B8"/>
    <w:rsid w:val="00FC68B7"/>
    <w:rsid w:val="00FD4F7E"/>
    <w:rsid w:val="00FD7BF6"/>
    <w:rsid w:val="00FE4A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40EB0"/>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character" w:styleId="CommentReference">
    <w:name w:val="annotation reference"/>
    <w:basedOn w:val="DefaultParagraphFont"/>
    <w:semiHidden/>
    <w:unhideWhenUsed/>
    <w:rsid w:val="00E5792E"/>
    <w:rPr>
      <w:sz w:val="16"/>
      <w:szCs w:val="16"/>
    </w:rPr>
  </w:style>
  <w:style w:type="paragraph" w:styleId="CommentText">
    <w:name w:val="annotation text"/>
    <w:basedOn w:val="Normal"/>
    <w:link w:val="CommentTextChar"/>
    <w:semiHidden/>
    <w:unhideWhenUsed/>
    <w:rsid w:val="00E5792E"/>
    <w:pPr>
      <w:spacing w:line="240" w:lineRule="auto"/>
    </w:pPr>
  </w:style>
  <w:style w:type="character" w:customStyle="1" w:styleId="CommentTextChar">
    <w:name w:val="Comment Text Char"/>
    <w:basedOn w:val="DefaultParagraphFont"/>
    <w:link w:val="CommentText"/>
    <w:semiHidden/>
    <w:rsid w:val="00E5792E"/>
    <w:rPr>
      <w:lang w:eastAsia="en-US"/>
    </w:rPr>
  </w:style>
  <w:style w:type="paragraph" w:styleId="CommentSubject">
    <w:name w:val="annotation subject"/>
    <w:basedOn w:val="CommentText"/>
    <w:next w:val="CommentText"/>
    <w:link w:val="CommentSubjectChar"/>
    <w:semiHidden/>
    <w:unhideWhenUsed/>
    <w:rsid w:val="00E5792E"/>
    <w:rPr>
      <w:b/>
      <w:bCs/>
    </w:rPr>
  </w:style>
  <w:style w:type="character" w:customStyle="1" w:styleId="CommentSubjectChar">
    <w:name w:val="Comment Subject Char"/>
    <w:basedOn w:val="CommentTextChar"/>
    <w:link w:val="CommentSubject"/>
    <w:semiHidden/>
    <w:rsid w:val="00E5792E"/>
    <w:rPr>
      <w:b/>
      <w:bCs/>
      <w:lang w:eastAsia="en-US"/>
    </w:rPr>
  </w:style>
  <w:style w:type="paragraph" w:styleId="BalloonText">
    <w:name w:val="Balloon Text"/>
    <w:basedOn w:val="Normal"/>
    <w:link w:val="BalloonTextChar"/>
    <w:semiHidden/>
    <w:unhideWhenUsed/>
    <w:rsid w:val="00E579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5792E"/>
    <w:rPr>
      <w:rFonts w:ascii="Segoe UI" w:hAnsi="Segoe UI" w:cs="Segoe UI"/>
      <w:sz w:val="18"/>
      <w:szCs w:val="18"/>
      <w:lang w:eastAsia="en-US"/>
    </w:rPr>
  </w:style>
  <w:style w:type="paragraph" w:styleId="Revision">
    <w:name w:val="Revision"/>
    <w:hidden/>
    <w:uiPriority w:val="99"/>
    <w:semiHidden/>
    <w:rsid w:val="00780D8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60C22D0EB6554E8E64EA9CBE9F8990" ma:contentTypeVersion="16" ma:contentTypeDescription="Create a new document." ma:contentTypeScope="" ma:versionID="b5fc7bfe143c3443ca6531a258c87ca6">
  <xsd:schema xmlns:xsd="http://www.w3.org/2001/XMLSchema" xmlns:xs="http://www.w3.org/2001/XMLSchema" xmlns:p="http://schemas.microsoft.com/office/2006/metadata/properties" xmlns:ns2="28bf6691-1073-4ed5-9186-532cfdfa95f2" xmlns:ns3="51bf639d-eccf-4bcb-952a-0b33f900c279" targetNamespace="http://schemas.microsoft.com/office/2006/metadata/properties" ma:root="true" ma:fieldsID="a7db8c8f7647b34a98c2dab49fdda92f" ns2:_="" ns3:_="">
    <xsd:import namespace="28bf6691-1073-4ed5-9186-532cfdfa95f2"/>
    <xsd:import namespace="51bf639d-eccf-4bcb-952a-0b33f900c2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f6691-1073-4ed5-9186-532cfdfa9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bf639d-eccf-4bcb-952a-0b33f900c2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5CA2-3AA7-4EC7-906F-70E7B787F2B5}">
  <ds:schemaRefs>
    <ds:schemaRef ds:uri="http://schemas.microsoft.com/sharepoint/v3/contenttype/forms"/>
  </ds:schemaRefs>
</ds:datastoreItem>
</file>

<file path=customXml/itemProps2.xml><?xml version="1.0" encoding="utf-8"?>
<ds:datastoreItem xmlns:ds="http://schemas.openxmlformats.org/officeDocument/2006/customXml" ds:itemID="{2AD9F6E2-EB70-4FCF-8DE2-AA328423D0FB}">
  <ds:schemaRefs>
    <ds:schemaRef ds:uri="http://schemas.microsoft.com/office/infopath/2007/PartnerControls"/>
    <ds:schemaRef ds:uri="http://schemas.microsoft.com/office/2006/documentManagement/types"/>
    <ds:schemaRef ds:uri="28bf6691-1073-4ed5-9186-532cfdfa95f2"/>
    <ds:schemaRef ds:uri="http://purl.org/dc/elements/1.1/"/>
    <ds:schemaRef ds:uri="http://schemas.openxmlformats.org/package/2006/metadata/core-properties"/>
    <ds:schemaRef ds:uri="http://purl.org/dc/terms/"/>
    <ds:schemaRef ds:uri="51bf639d-eccf-4bcb-952a-0b33f900c27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B45A59-9D27-43D9-85EF-AB786C56F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f6691-1073-4ed5-9186-532cfdfa95f2"/>
    <ds:schemaRef ds:uri="51bf639d-eccf-4bcb-952a-0b33f900c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4E768-0828-422C-BBEC-36272A5B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4</cp:revision>
  <cp:lastPrinted>2017-06-12T08:31:00Z</cp:lastPrinted>
  <dcterms:created xsi:type="dcterms:W3CDTF">2017-06-27T13:31:00Z</dcterms:created>
  <dcterms:modified xsi:type="dcterms:W3CDTF">2017-06-27T14:03:00Z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0x010100E760C22D0EB6554E8E64EA9CBE9F8990</vt:lpwstr>
  </property>
</Properties>
</file>