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B07933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1B06A5">
              <w:rPr>
                <w:b/>
                <w:sz w:val="40"/>
                <w:szCs w:val="40"/>
              </w:rPr>
              <w:t>33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B07933">
              <w:rPr>
                <w:b/>
                <w:sz w:val="40"/>
                <w:szCs w:val="40"/>
              </w:rPr>
              <w:t>6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965932" w:rsidRPr="001B03EA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1B06A5">
              <w:rPr>
                <w:b/>
                <w:lang w:val="en-US"/>
              </w:rPr>
              <w:tab/>
            </w:r>
            <w:r w:rsidR="006560F1">
              <w:rPr>
                <w:b/>
                <w:lang w:val="en-US"/>
              </w:rPr>
              <w:t>12 June</w:t>
            </w:r>
            <w:r w:rsidRPr="001B03EA">
              <w:rPr>
                <w:b/>
                <w:lang w:val="en-US"/>
              </w:rPr>
              <w:t xml:space="preserve"> 201</w:t>
            </w:r>
            <w:r w:rsidR="001B06A5">
              <w:rPr>
                <w:b/>
                <w:lang w:val="en-US"/>
              </w:rPr>
              <w:t>7</w:t>
            </w:r>
          </w:p>
          <w:p w:rsidR="00965932" w:rsidRPr="001B03EA" w:rsidRDefault="00965932" w:rsidP="00965932">
            <w:pPr>
              <w:jc w:val="both"/>
              <w:rPr>
                <w:b/>
              </w:rPr>
            </w:pPr>
          </w:p>
          <w:p w:rsidR="00965932" w:rsidRPr="001B03EA" w:rsidRDefault="00965932" w:rsidP="00965932">
            <w:pPr>
              <w:jc w:val="both"/>
            </w:pPr>
            <w:r w:rsidRPr="001B03EA">
              <w:rPr>
                <w:b/>
              </w:rPr>
              <w:t>Thirty-</w:t>
            </w:r>
            <w:r w:rsidR="001B06A5">
              <w:rPr>
                <w:b/>
              </w:rPr>
              <w:t>third</w:t>
            </w:r>
            <w:r w:rsidRPr="001B03EA">
              <w:rPr>
                <w:b/>
              </w:rPr>
              <w:t xml:space="preserve"> session</w:t>
            </w:r>
            <w:r w:rsidRPr="001B03EA">
              <w:t xml:space="preserve"> </w:t>
            </w:r>
          </w:p>
          <w:p w:rsidR="001B06A5" w:rsidRPr="000B4919" w:rsidRDefault="001B06A5" w:rsidP="001B06A5">
            <w:pPr>
              <w:jc w:val="both"/>
            </w:pPr>
            <w:r w:rsidRPr="00283442">
              <w:t xml:space="preserve">Geneva, </w:t>
            </w:r>
            <w:r>
              <w:t>10-12 July 2017</w:t>
            </w:r>
          </w:p>
          <w:p w:rsidR="001B06A5" w:rsidRPr="00FA63B2" w:rsidRDefault="001B06A5" w:rsidP="001B06A5">
            <w:pPr>
              <w:spacing w:before="40"/>
            </w:pPr>
            <w:r w:rsidRPr="00FA63B2">
              <w:t xml:space="preserve">Item </w:t>
            </w:r>
            <w:r w:rsidR="006560F1">
              <w:t>2 (d)</w:t>
            </w:r>
            <w:r w:rsidRPr="00FA63B2">
              <w:t xml:space="preserve"> of the provisional agenda</w:t>
            </w:r>
          </w:p>
          <w:p w:rsidR="0099001C" w:rsidRDefault="006560F1" w:rsidP="001B06A5">
            <w:pPr>
              <w:spacing w:line="240" w:lineRule="exact"/>
            </w:pPr>
            <w:r>
              <w:rPr>
                <w:b/>
              </w:rPr>
              <w:t>Use of non-animal testing methods for classification of health hazards</w:t>
            </w:r>
          </w:p>
        </w:tc>
      </w:tr>
    </w:tbl>
    <w:p w:rsidR="006560F1" w:rsidRPr="00AE4DC1" w:rsidRDefault="00965932" w:rsidP="006560F1">
      <w:pPr>
        <w:pStyle w:val="HChG"/>
        <w:ind w:left="1138" w:right="1138" w:hanging="1138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6560F1" w:rsidRPr="002D4870">
        <w:rPr>
          <w:szCs w:val="28"/>
        </w:rPr>
        <w:t>Use of non-animal testing methods for classification of health hazards</w:t>
      </w:r>
      <w:r w:rsidR="006560F1">
        <w:rPr>
          <w:szCs w:val="28"/>
        </w:rPr>
        <w:t>: Status report and proposed continuance of work</w:t>
      </w:r>
    </w:p>
    <w:p w:rsidR="006560F1" w:rsidRPr="00AE4DC1" w:rsidRDefault="006560F1" w:rsidP="006560F1">
      <w:pPr>
        <w:pStyle w:val="H1G"/>
        <w:ind w:left="1138" w:right="1138" w:hanging="1138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AE4DC1">
        <w:rPr>
          <w:szCs w:val="24"/>
        </w:rPr>
        <w:t xml:space="preserve">Transmitted by </w:t>
      </w:r>
      <w:r w:rsidRPr="00AE4DC1">
        <w:rPr>
          <w:szCs w:val="24"/>
          <w:lang w:eastAsia="ja-JP"/>
        </w:rPr>
        <w:t>the expert</w:t>
      </w:r>
      <w:r>
        <w:rPr>
          <w:szCs w:val="24"/>
          <w:lang w:eastAsia="ja-JP"/>
        </w:rPr>
        <w:t>s</w:t>
      </w:r>
      <w:r w:rsidRPr="00AE4DC1">
        <w:rPr>
          <w:szCs w:val="24"/>
          <w:lang w:eastAsia="ja-JP"/>
        </w:rPr>
        <w:t xml:space="preserve"> </w:t>
      </w:r>
      <w:r w:rsidRPr="00AE4DC1">
        <w:rPr>
          <w:szCs w:val="24"/>
        </w:rPr>
        <w:t xml:space="preserve">from the United </w:t>
      </w:r>
      <w:r>
        <w:rPr>
          <w:szCs w:val="24"/>
        </w:rPr>
        <w:t>Kingdom and the Netherlands</w:t>
      </w:r>
      <w:r w:rsidRPr="00AE4DC1">
        <w:rPr>
          <w:szCs w:val="24"/>
        </w:rPr>
        <w:t xml:space="preserve"> </w:t>
      </w:r>
      <w:r w:rsidRPr="00AE4DC1">
        <w:rPr>
          <w:szCs w:val="24"/>
          <w:lang w:eastAsia="de-DE"/>
        </w:rPr>
        <w:t xml:space="preserve">on behalf of the informal correspondence group </w:t>
      </w:r>
    </w:p>
    <w:p w:rsidR="006560F1" w:rsidRPr="00AE4DC1" w:rsidRDefault="006560F1" w:rsidP="006560F1">
      <w:pPr>
        <w:pStyle w:val="HChG"/>
        <w:ind w:left="1138" w:right="1138" w:hanging="1138"/>
      </w:pPr>
      <w:r>
        <w:tab/>
      </w:r>
      <w:r w:rsidRPr="00AE4DC1">
        <w:tab/>
        <w:t>Introduction</w:t>
      </w:r>
    </w:p>
    <w:p w:rsidR="006560F1" w:rsidRDefault="006560F1" w:rsidP="006560F1">
      <w:pPr>
        <w:pStyle w:val="SingleTxtG"/>
      </w:pPr>
      <w:r>
        <w:t>1.</w:t>
      </w:r>
      <w:r>
        <w:tab/>
        <w:t xml:space="preserve">This informal paper provides an update on the work performed by the correspondence group </w:t>
      </w:r>
      <w:r w:rsidRPr="00AE4DC1">
        <w:rPr>
          <w:szCs w:val="24"/>
          <w:lang w:eastAsia="de-DE"/>
        </w:rPr>
        <w:t xml:space="preserve">on </w:t>
      </w:r>
      <w:r>
        <w:rPr>
          <w:szCs w:val="24"/>
          <w:lang w:eastAsia="de-DE"/>
        </w:rPr>
        <w:t>“U</w:t>
      </w:r>
      <w:r w:rsidRPr="00953266">
        <w:rPr>
          <w:szCs w:val="24"/>
          <w:lang w:eastAsia="de-DE"/>
        </w:rPr>
        <w:t>se of non-animal testing methods for classification of health hazards</w:t>
      </w:r>
      <w:r>
        <w:rPr>
          <w:szCs w:val="24"/>
          <w:lang w:eastAsia="de-DE"/>
        </w:rPr>
        <w:t xml:space="preserve">” </w:t>
      </w:r>
      <w:r>
        <w:t>since the thirty-second</w:t>
      </w:r>
      <w:r>
        <w:rPr>
          <w:vertAlign w:val="superscript"/>
        </w:rPr>
        <w:t xml:space="preserve"> </w:t>
      </w:r>
      <w:r>
        <w:t>session of the Sub-Committee.</w:t>
      </w:r>
    </w:p>
    <w:p w:rsidR="006560F1" w:rsidRPr="008457C1" w:rsidRDefault="006560F1" w:rsidP="006560F1">
      <w:pPr>
        <w:pStyle w:val="Default"/>
        <w:spacing w:before="360" w:after="240"/>
        <w:ind w:left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457C1">
        <w:rPr>
          <w:b/>
          <w:sz w:val="28"/>
          <w:szCs w:val="28"/>
        </w:rPr>
        <w:t>Background</w:t>
      </w:r>
    </w:p>
    <w:p w:rsidR="006560F1" w:rsidRDefault="006560F1" w:rsidP="006560F1">
      <w:pPr>
        <w:pStyle w:val="SingleTxtG"/>
      </w:pPr>
      <w:r>
        <w:rPr>
          <w:bCs/>
          <w:color w:val="000000"/>
          <w:spacing w:val="-4"/>
        </w:rPr>
        <w:t>2</w:t>
      </w:r>
      <w:r w:rsidRPr="00495D06">
        <w:rPr>
          <w:bCs/>
          <w:color w:val="000000"/>
          <w:spacing w:val="-4"/>
        </w:rPr>
        <w:t>.</w:t>
      </w:r>
      <w:r w:rsidRPr="00495D06">
        <w:rPr>
          <w:bCs/>
          <w:color w:val="000000"/>
          <w:spacing w:val="-4"/>
        </w:rPr>
        <w:tab/>
      </w:r>
      <w:r>
        <w:t>The Sub-Committee agreed to keep the work on the u</w:t>
      </w:r>
      <w:r w:rsidRPr="00953266">
        <w:t xml:space="preserve">se of non-animal testing methods for classification of health hazards </w:t>
      </w:r>
      <w:r>
        <w:t>on its programme of work for the 2017-2018 biennium (s</w:t>
      </w:r>
      <w:r w:rsidRPr="0018447B">
        <w:rPr>
          <w:color w:val="000000"/>
        </w:rPr>
        <w:t xml:space="preserve">ee </w:t>
      </w:r>
      <w:r w:rsidRPr="002D4870">
        <w:rPr>
          <w:bCs/>
          <w:color w:val="000000"/>
          <w:spacing w:val="-4"/>
          <w:bdr w:val="none" w:sz="0" w:space="0" w:color="auto" w:frame="1"/>
        </w:rPr>
        <w:t>ST/SG/AC.10/C.4/64</w:t>
      </w:r>
      <w:r>
        <w:rPr>
          <w:bCs/>
          <w:color w:val="000000"/>
          <w:spacing w:val="-4"/>
          <w:bdr w:val="none" w:sz="0" w:space="0" w:color="auto" w:frame="1"/>
        </w:rPr>
        <w:t>).</w:t>
      </w:r>
      <w:r w:rsidRPr="00BC036C">
        <w:t xml:space="preserve"> </w:t>
      </w:r>
      <w:r>
        <w:t xml:space="preserve"> Information on the m</w:t>
      </w:r>
      <w:r w:rsidRPr="00C11235">
        <w:t>andate/</w:t>
      </w:r>
      <w:r>
        <w:t>terms of reference of the correspondence</w:t>
      </w:r>
      <w:r w:rsidRPr="00495996">
        <w:t xml:space="preserve"> </w:t>
      </w:r>
      <w:r>
        <w:t>group is in</w:t>
      </w:r>
      <w:r w:rsidRPr="00FD4389">
        <w:t xml:space="preserve"> </w:t>
      </w:r>
      <w:r w:rsidRPr="0030646F">
        <w:t>INF.27/Rev.2 (</w:t>
      </w:r>
      <w:r>
        <w:t>thirty-first</w:t>
      </w:r>
      <w:r w:rsidRPr="0030646F">
        <w:t xml:space="preserve"> session) and </w:t>
      </w:r>
      <w:r>
        <w:t xml:space="preserve">the </w:t>
      </w:r>
      <w:r w:rsidRPr="0030646F">
        <w:t xml:space="preserve">report of the </w:t>
      </w:r>
      <w:r w:rsidR="001D6FCB">
        <w:br/>
      </w:r>
      <w:r w:rsidRPr="0030646F">
        <w:t xml:space="preserve">Sub-Committee on its </w:t>
      </w:r>
      <w:r>
        <w:t>thirty-first</w:t>
      </w:r>
      <w:r w:rsidRPr="0030646F">
        <w:t xml:space="preserve"> session (ST/SG/AC.10/C.4/62 paragraph </w:t>
      </w:r>
      <w:r>
        <w:t>2</w:t>
      </w:r>
      <w:r w:rsidRPr="0030646F">
        <w:t>6</w:t>
      </w:r>
      <w:r>
        <w:t>).</w:t>
      </w:r>
    </w:p>
    <w:p w:rsidR="006560F1" w:rsidRDefault="006560F1" w:rsidP="006560F1">
      <w:pPr>
        <w:pStyle w:val="SingleTxtG"/>
      </w:pPr>
      <w:r>
        <w:t>3.</w:t>
      </w:r>
      <w:r>
        <w:tab/>
        <w:t>Since the last meeting of the Sub-Committee, the correspondence group held teleconferences on 31 January, 16 February and 12 April 2017.</w:t>
      </w:r>
      <w:r w:rsidRPr="00011577">
        <w:rPr>
          <w:bCs/>
          <w:color w:val="000000"/>
          <w:spacing w:val="-4"/>
        </w:rPr>
        <w:t xml:space="preserve">  </w:t>
      </w:r>
      <w:r>
        <w:rPr>
          <w:bCs/>
          <w:color w:val="000000"/>
          <w:spacing w:val="-4"/>
        </w:rPr>
        <w:t>There has been a good level of participation and much interest in this work.</w:t>
      </w:r>
      <w:bookmarkStart w:id="0" w:name="_GoBack"/>
      <w:bookmarkEnd w:id="0"/>
    </w:p>
    <w:p w:rsidR="006560F1" w:rsidRDefault="006560F1" w:rsidP="006560F1">
      <w:pPr>
        <w:pStyle w:val="HChG"/>
        <w:ind w:left="1138" w:right="1138" w:hanging="1138"/>
      </w:pPr>
      <w:r>
        <w:tab/>
      </w:r>
      <w:r>
        <w:tab/>
        <w:t xml:space="preserve">Status report </w:t>
      </w:r>
    </w:p>
    <w:p w:rsidR="006560F1" w:rsidRDefault="006560F1" w:rsidP="006560F1">
      <w:pPr>
        <w:pStyle w:val="SingleTxtG"/>
      </w:pPr>
      <w:r>
        <w:t>4.</w:t>
      </w:r>
      <w:r>
        <w:tab/>
        <w:t xml:space="preserve">At the thirty-second session of the Sub-Committee an oral update of the progress of the informal working group was presented. At that stage, the correspondence group had decided </w:t>
      </w:r>
      <w:r w:rsidRPr="00F43638">
        <w:t xml:space="preserve">that </w:t>
      </w:r>
      <w:r>
        <w:t>the</w:t>
      </w:r>
      <w:r w:rsidRPr="00F43638">
        <w:t xml:space="preserve"> best start</w:t>
      </w:r>
      <w:r>
        <w:t>ing</w:t>
      </w:r>
      <w:r w:rsidRPr="00F43638">
        <w:t xml:space="preserve"> </w:t>
      </w:r>
      <w:r>
        <w:t>point was</w:t>
      </w:r>
      <w:r w:rsidRPr="00F43638">
        <w:t xml:space="preserve"> the hazard class skin corrosion</w:t>
      </w:r>
      <w:r>
        <w:t>/</w:t>
      </w:r>
      <w:r w:rsidRPr="00F43638">
        <w:t xml:space="preserve">irritation </w:t>
      </w:r>
      <w:r>
        <w:t>(Chapter 3.2. of GHS). Relevant available documents and guidelines on skin irritation were gathered and discussed by a sub-group of experts.</w:t>
      </w:r>
    </w:p>
    <w:p w:rsidR="006560F1" w:rsidRDefault="006560F1" w:rsidP="006560F1">
      <w:pPr>
        <w:pStyle w:val="SingleTxtG"/>
      </w:pPr>
      <w:r>
        <w:t>5.</w:t>
      </w:r>
      <w:r>
        <w:tab/>
        <w:t xml:space="preserve">As preparation for the teleconference on 31 January 2017, experts from the Netherlands prepared three documents on possible approaches to adapt Chapter 3.2 to provide more detail on classification using </w:t>
      </w:r>
      <w:r>
        <w:rPr>
          <w:i/>
        </w:rPr>
        <w:t xml:space="preserve">in vitro </w:t>
      </w:r>
      <w:r>
        <w:t xml:space="preserve">and </w:t>
      </w:r>
      <w:r>
        <w:rPr>
          <w:i/>
        </w:rPr>
        <w:t xml:space="preserve">in silico </w:t>
      </w:r>
      <w:r>
        <w:t>methods, and weight of evidence approaches. Participants considered:</w:t>
      </w:r>
    </w:p>
    <w:p w:rsidR="006560F1" w:rsidRDefault="006560F1" w:rsidP="006560F1">
      <w:pPr>
        <w:pStyle w:val="Bullet1G"/>
      </w:pPr>
      <w:r>
        <w:lastRenderedPageBreak/>
        <w:t xml:space="preserve">For </w:t>
      </w:r>
      <w:r>
        <w:rPr>
          <w:i/>
        </w:rPr>
        <w:t xml:space="preserve">in vitro </w:t>
      </w:r>
      <w:r>
        <w:t xml:space="preserve">methods: whether to include a specific sub-chapter </w:t>
      </w:r>
      <w:r w:rsidRPr="00F3584A">
        <w:t xml:space="preserve">“Classification based on standard </w:t>
      </w:r>
      <w:r w:rsidRPr="002226E0">
        <w:rPr>
          <w:i/>
        </w:rPr>
        <w:t>in vitro</w:t>
      </w:r>
      <w:r w:rsidRPr="00F3584A">
        <w:t xml:space="preserve"> test data” </w:t>
      </w:r>
      <w:r>
        <w:t>between</w:t>
      </w:r>
      <w:r w:rsidRPr="00F3584A">
        <w:t xml:space="preserve"> </w:t>
      </w:r>
      <w:r>
        <w:t>section</w:t>
      </w:r>
      <w:r w:rsidRPr="00F3584A">
        <w:t xml:space="preserve"> 3.2.2.1 </w:t>
      </w:r>
      <w:r>
        <w:t>“</w:t>
      </w:r>
      <w:r w:rsidRPr="00F3584A">
        <w:t>Classification based on standard animal test data</w:t>
      </w:r>
      <w:r>
        <w:t>”</w:t>
      </w:r>
      <w:r w:rsidRPr="00F3584A">
        <w:t xml:space="preserve"> and </w:t>
      </w:r>
      <w:r>
        <w:t>section</w:t>
      </w:r>
      <w:r w:rsidRPr="00F3584A">
        <w:t xml:space="preserve"> 3.2.2.2 </w:t>
      </w:r>
      <w:r>
        <w:t>“</w:t>
      </w:r>
      <w:r w:rsidRPr="00F3584A">
        <w:t>Classification in a tiered approach</w:t>
      </w:r>
      <w:r>
        <w:t>”</w:t>
      </w:r>
      <w:r w:rsidRPr="00F3584A">
        <w:t xml:space="preserve">. </w:t>
      </w:r>
      <w:r>
        <w:t>Additionally whether to include a</w:t>
      </w:r>
      <w:r w:rsidRPr="00F3584A">
        <w:t xml:space="preserve"> full description of the criteria.</w:t>
      </w:r>
      <w:r>
        <w:t xml:space="preserve"> </w:t>
      </w:r>
    </w:p>
    <w:p w:rsidR="006560F1" w:rsidRDefault="006560F1" w:rsidP="006560F1">
      <w:pPr>
        <w:pStyle w:val="Bullet1G"/>
      </w:pPr>
      <w:r>
        <w:t xml:space="preserve">For </w:t>
      </w:r>
      <w:r>
        <w:rPr>
          <w:i/>
        </w:rPr>
        <w:t xml:space="preserve">in silico </w:t>
      </w:r>
      <w:r>
        <w:t xml:space="preserve">methods: whether to include a </w:t>
      </w:r>
      <w:r w:rsidRPr="00F3584A">
        <w:t xml:space="preserve">specific </w:t>
      </w:r>
      <w:r>
        <w:t>section</w:t>
      </w:r>
      <w:r w:rsidRPr="00F3584A">
        <w:t xml:space="preserve"> “Classification based on </w:t>
      </w:r>
      <w:r w:rsidRPr="002226E0">
        <w:rPr>
          <w:i/>
        </w:rPr>
        <w:t>in silico</w:t>
      </w:r>
      <w:r w:rsidRPr="00F3584A">
        <w:t xml:space="preserve"> methods” after the </w:t>
      </w:r>
      <w:r w:rsidRPr="00F3584A">
        <w:rPr>
          <w:i/>
        </w:rPr>
        <w:t>in vivo</w:t>
      </w:r>
      <w:r w:rsidRPr="00F3584A">
        <w:t xml:space="preserve"> and the </w:t>
      </w:r>
      <w:r w:rsidRPr="00F3584A">
        <w:rPr>
          <w:i/>
        </w:rPr>
        <w:t>in vitro</w:t>
      </w:r>
      <w:r w:rsidRPr="00F3584A">
        <w:t xml:space="preserve"> </w:t>
      </w:r>
      <w:r>
        <w:t xml:space="preserve">sections, providing a short </w:t>
      </w:r>
      <w:r w:rsidRPr="00F3584A">
        <w:t xml:space="preserve">text that can be used for all or most hazard classes. A general </w:t>
      </w:r>
      <w:r>
        <w:t>section</w:t>
      </w:r>
      <w:r w:rsidRPr="00F3584A">
        <w:t xml:space="preserve"> on </w:t>
      </w:r>
      <w:r w:rsidRPr="002226E0">
        <w:rPr>
          <w:i/>
        </w:rPr>
        <w:t>in silico</w:t>
      </w:r>
      <w:r w:rsidRPr="00F3584A">
        <w:t xml:space="preserve"> methods </w:t>
      </w:r>
      <w:r>
        <w:t>may be</w:t>
      </w:r>
      <w:r w:rsidRPr="00F3584A">
        <w:t xml:space="preserve"> included in the general part of the GHS</w:t>
      </w:r>
      <w:r>
        <w:t>,</w:t>
      </w:r>
      <w:r w:rsidRPr="00F3584A">
        <w:t xml:space="preserve"> for example a </w:t>
      </w:r>
      <w:r>
        <w:t>new section</w:t>
      </w:r>
      <w:r w:rsidRPr="00F3584A">
        <w:t xml:space="preserve"> 1.3.2.4.10 </w:t>
      </w:r>
      <w:r>
        <w:t>“</w:t>
      </w:r>
      <w:r w:rsidRPr="002226E0">
        <w:rPr>
          <w:i/>
        </w:rPr>
        <w:t>In silico</w:t>
      </w:r>
      <w:r w:rsidRPr="00F3584A">
        <w:t xml:space="preserve"> methods</w:t>
      </w:r>
      <w:r>
        <w:t>”</w:t>
      </w:r>
      <w:r w:rsidRPr="00F3584A">
        <w:t>.</w:t>
      </w:r>
    </w:p>
    <w:p w:rsidR="006560F1" w:rsidRDefault="006560F1" w:rsidP="006560F1">
      <w:pPr>
        <w:pStyle w:val="Bullet1G"/>
      </w:pPr>
      <w:r>
        <w:t xml:space="preserve">For weight of evidence: whether to use an integrated approach to testing and assessment, including weight of evidence in line with OECD Guidance Document 203 instead of a tiered approach. </w:t>
      </w:r>
    </w:p>
    <w:p w:rsidR="006560F1" w:rsidRDefault="006560F1" w:rsidP="006560F1">
      <w:pPr>
        <w:pStyle w:val="SingleTxtG"/>
      </w:pPr>
      <w:r>
        <w:t>6.</w:t>
      </w:r>
      <w:r>
        <w:tab/>
        <w:t xml:space="preserve">As there were a range of views on the level of detail that should be included on </w:t>
      </w:r>
      <w:r>
        <w:rPr>
          <w:i/>
        </w:rPr>
        <w:t xml:space="preserve">in vitro </w:t>
      </w:r>
      <w:r>
        <w:t>methods, experts from the Netherlands</w:t>
      </w:r>
      <w:r w:rsidRPr="006F5D53">
        <w:t xml:space="preserve"> </w:t>
      </w:r>
      <w:r>
        <w:t>prepared</w:t>
      </w:r>
      <w:r w:rsidRPr="006F5D53">
        <w:t xml:space="preserve"> three text options with different levels of details</w:t>
      </w:r>
      <w:r>
        <w:t>:</w:t>
      </w:r>
      <w:r w:rsidRPr="006F5D53">
        <w:t xml:space="preserve"> </w:t>
      </w:r>
    </w:p>
    <w:p w:rsidR="006560F1" w:rsidRDefault="006560F1" w:rsidP="006560F1">
      <w:pPr>
        <w:pStyle w:val="SingleTxtG"/>
        <w:ind w:left="2127" w:hanging="426"/>
      </w:pPr>
      <w:r>
        <w:t>(</w:t>
      </w:r>
      <w:r w:rsidRPr="006F5D53">
        <w:t xml:space="preserve">a) </w:t>
      </w:r>
      <w:r>
        <w:tab/>
      </w:r>
      <w:r w:rsidRPr="00490A04">
        <w:t xml:space="preserve">Minimal </w:t>
      </w:r>
      <w:r w:rsidRPr="002226E0">
        <w:rPr>
          <w:i/>
        </w:rPr>
        <w:t>in vitro</w:t>
      </w:r>
      <w:r w:rsidRPr="00490A04">
        <w:t xml:space="preserve"> criteria</w:t>
      </w:r>
      <w:r>
        <w:t>;</w:t>
      </w:r>
    </w:p>
    <w:p w:rsidR="006560F1" w:rsidRDefault="006560F1" w:rsidP="006560F1">
      <w:pPr>
        <w:pStyle w:val="SingleTxtG"/>
        <w:ind w:left="2127" w:hanging="426"/>
      </w:pPr>
      <w:r>
        <w:t>(</w:t>
      </w:r>
      <w:r w:rsidRPr="006F5D53">
        <w:t xml:space="preserve">b) </w:t>
      </w:r>
      <w:r>
        <w:tab/>
      </w:r>
      <w:r w:rsidRPr="00490A04">
        <w:t xml:space="preserve">Full </w:t>
      </w:r>
      <w:r w:rsidRPr="002226E0">
        <w:rPr>
          <w:i/>
        </w:rPr>
        <w:t>in vitro</w:t>
      </w:r>
      <w:r w:rsidRPr="00490A04">
        <w:t xml:space="preserve"> criteria</w:t>
      </w:r>
      <w:r w:rsidRPr="006F5D53">
        <w:t xml:space="preserve">, and </w:t>
      </w:r>
    </w:p>
    <w:p w:rsidR="006560F1" w:rsidRDefault="006560F1" w:rsidP="006560F1">
      <w:pPr>
        <w:pStyle w:val="SingleTxtG"/>
        <w:ind w:left="2127" w:hanging="426"/>
      </w:pPr>
      <w:r>
        <w:t>(</w:t>
      </w:r>
      <w:r w:rsidRPr="006F5D53">
        <w:t xml:space="preserve">c) </w:t>
      </w:r>
      <w:r>
        <w:tab/>
      </w:r>
      <w:r w:rsidRPr="00490A04">
        <w:t xml:space="preserve">Full </w:t>
      </w:r>
      <w:r w:rsidRPr="002226E0">
        <w:rPr>
          <w:i/>
        </w:rPr>
        <w:t>in vitro</w:t>
      </w:r>
      <w:r w:rsidRPr="00490A04">
        <w:t xml:space="preserve"> criteria with additional details </w:t>
      </w:r>
      <w:r>
        <w:t xml:space="preserve">(e.g. </w:t>
      </w:r>
      <w:r w:rsidRPr="006F5D53">
        <w:t>applicability domain</w:t>
      </w:r>
      <w:r>
        <w:t>)</w:t>
      </w:r>
      <w:r w:rsidRPr="006F5D53">
        <w:t xml:space="preserve">. </w:t>
      </w:r>
    </w:p>
    <w:p w:rsidR="006560F1" w:rsidRDefault="006560F1" w:rsidP="006560F1">
      <w:pPr>
        <w:pStyle w:val="SingleTxtG"/>
        <w:ind w:firstLine="567"/>
      </w:pPr>
      <w:r>
        <w:t>These three text proposals were discussed during the teleconference on</w:t>
      </w:r>
      <w:r w:rsidR="000E3373">
        <w:t xml:space="preserve"> 12 April </w:t>
      </w:r>
      <w:r>
        <w:t xml:space="preserve">2017. Option (c) was not supported; discussion continues on options (a) and (b). </w:t>
      </w:r>
    </w:p>
    <w:p w:rsidR="006560F1" w:rsidRPr="006F5D53" w:rsidRDefault="006560F1" w:rsidP="006560F1">
      <w:pPr>
        <w:pStyle w:val="SingleTxtG"/>
      </w:pPr>
      <w:r>
        <w:t>7.</w:t>
      </w:r>
      <w:r>
        <w:tab/>
        <w:t xml:space="preserve">Good progress is being made by the correspondence group in identifying and evaluating the available </w:t>
      </w:r>
      <w:r w:rsidRPr="002226E0">
        <w:rPr>
          <w:i/>
        </w:rPr>
        <w:t>in vitro</w:t>
      </w:r>
      <w:r>
        <w:t xml:space="preserve"> and </w:t>
      </w:r>
      <w:r w:rsidRPr="002226E0">
        <w:rPr>
          <w:i/>
        </w:rPr>
        <w:t>in chemico</w:t>
      </w:r>
      <w:r>
        <w:t xml:space="preserve"> methods and the available guidance on </w:t>
      </w:r>
      <w:r w:rsidRPr="002226E0">
        <w:rPr>
          <w:i/>
        </w:rPr>
        <w:t>in silico</w:t>
      </w:r>
      <w:r>
        <w:t xml:space="preserve"> and other grouping approaches for skin corrosion/irritation, and in determining w</w:t>
      </w:r>
      <w:r w:rsidRPr="00022411">
        <w:t>here substances and mixtures may be classified using the results of non-animal methods</w:t>
      </w:r>
      <w:r>
        <w:t xml:space="preserve">. The outcome of this work for skin corrosion/irritation will provide a good model for future work to adapt the text of other GHS health hazard classes to </w:t>
      </w:r>
      <w:r w:rsidRPr="00022411">
        <w:t>facilitate hazard classification using non-animal methods</w:t>
      </w:r>
      <w:r>
        <w:t>.</w:t>
      </w:r>
    </w:p>
    <w:p w:rsidR="006560F1" w:rsidRPr="00A10B38" w:rsidRDefault="006560F1" w:rsidP="006560F1">
      <w:pPr>
        <w:pStyle w:val="HChG"/>
        <w:ind w:left="1138" w:right="1138" w:hanging="1138"/>
      </w:pPr>
      <w:r w:rsidRPr="00A10B38">
        <w:tab/>
      </w:r>
      <w:r w:rsidRPr="00A10B38">
        <w:tab/>
      </w:r>
      <w:r>
        <w:t xml:space="preserve">11 July </w:t>
      </w:r>
      <w:r w:rsidRPr="00A10B38">
        <w:t>201</w:t>
      </w:r>
      <w:r>
        <w:t>7</w:t>
      </w:r>
      <w:r w:rsidRPr="00A10B38">
        <w:t xml:space="preserve"> meeting </w:t>
      </w:r>
    </w:p>
    <w:p w:rsidR="006560F1" w:rsidRDefault="006560F1" w:rsidP="006560F1">
      <w:pPr>
        <w:pStyle w:val="SingleTxtG"/>
      </w:pPr>
      <w:r>
        <w:t>8.</w:t>
      </w:r>
      <w:r>
        <w:tab/>
        <w:t>T</w:t>
      </w:r>
      <w:r w:rsidRPr="00134529">
        <w:t xml:space="preserve">he </w:t>
      </w:r>
      <w:r>
        <w:t>correspondence</w:t>
      </w:r>
      <w:r w:rsidRPr="00134529">
        <w:t xml:space="preserve"> group will continue </w:t>
      </w:r>
      <w:r>
        <w:t xml:space="preserve">its </w:t>
      </w:r>
      <w:r w:rsidRPr="00134529">
        <w:t>discussions</w:t>
      </w:r>
      <w:r>
        <w:t xml:space="preserve"> on the use of non-animal testing methods in GHS</w:t>
      </w:r>
      <w:r w:rsidRPr="002226E0">
        <w:t xml:space="preserve"> </w:t>
      </w:r>
      <w:r>
        <w:t>at a face-to-face meeting on</w:t>
      </w:r>
      <w:r w:rsidRPr="00134529">
        <w:t xml:space="preserve"> </w:t>
      </w:r>
      <w:r>
        <w:t>11 July</w:t>
      </w:r>
      <w:r w:rsidRPr="00134529">
        <w:t xml:space="preserve">. </w:t>
      </w:r>
      <w:r>
        <w:t>Experts from the Netherlands and the United Kingdom will present new text proposals for Chapter 3.2 integrating the comments from correspondence group members. The Sub-Committee will receive feedback on progress. As always, Sub-C</w:t>
      </w:r>
      <w:r w:rsidRPr="00134529">
        <w:t xml:space="preserve">ommittee members are invited to participate in the meeting, which will be held in Room S4 (Moroccan room), on the 3rd floor of the Palais </w:t>
      </w:r>
      <w:r>
        <w:t xml:space="preserve">des Nations </w:t>
      </w:r>
      <w:r w:rsidRPr="00134529">
        <w:t xml:space="preserve">from </w:t>
      </w:r>
      <w:r>
        <w:t>12:45-14:15</w:t>
      </w:r>
      <w:r w:rsidRPr="00134529">
        <w:t>.</w:t>
      </w:r>
    </w:p>
    <w:p w:rsidR="006560F1" w:rsidRDefault="006560F1" w:rsidP="006560F1">
      <w:pPr>
        <w:pStyle w:val="SingleTxtG"/>
        <w:jc w:val="center"/>
      </w:pPr>
      <w:r>
        <w:t>________________</w:t>
      </w:r>
    </w:p>
    <w:sectPr w:rsidR="006560F1" w:rsidSect="009900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1D6FC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124A0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1D6FCB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6A7757" w:rsidP="00366CA7">
    <w:pPr>
      <w:pStyle w:val="Header"/>
    </w:pPr>
    <w:r w:rsidRPr="00CC65B7">
      <w:t>UN/SCEGHS/</w:t>
    </w:r>
    <w:r w:rsidR="00B07933">
      <w:t>33</w:t>
    </w:r>
    <w:r w:rsidRPr="00CC65B7">
      <w:t>/INF.</w:t>
    </w:r>
    <w:r w:rsidR="00B07933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6A7757" w:rsidP="0099001C">
    <w:pPr>
      <w:pStyle w:val="Header"/>
      <w:jc w:val="right"/>
    </w:pPr>
    <w:r>
      <w:t>UN/SCEGHS/</w:t>
    </w:r>
    <w:r w:rsidR="00CC65B7">
      <w:t>32</w:t>
    </w:r>
    <w:r>
      <w:t>/INF.</w:t>
    </w:r>
    <w:r w:rsidR="00CC65B7"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51A288A"/>
    <w:multiLevelType w:val="hybridMultilevel"/>
    <w:tmpl w:val="C8F268C0"/>
    <w:lvl w:ilvl="0" w:tplc="E5629630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3B3D"/>
    <w:rsid w:val="00050F6B"/>
    <w:rsid w:val="00072C8C"/>
    <w:rsid w:val="00081647"/>
    <w:rsid w:val="000931C0"/>
    <w:rsid w:val="000B175B"/>
    <w:rsid w:val="000B3A0F"/>
    <w:rsid w:val="000C6544"/>
    <w:rsid w:val="000D10AA"/>
    <w:rsid w:val="000E0415"/>
    <w:rsid w:val="000E3373"/>
    <w:rsid w:val="001220B8"/>
    <w:rsid w:val="00156F3C"/>
    <w:rsid w:val="00162BF7"/>
    <w:rsid w:val="00190AEA"/>
    <w:rsid w:val="001B06A5"/>
    <w:rsid w:val="001B4B04"/>
    <w:rsid w:val="001C6663"/>
    <w:rsid w:val="001C7895"/>
    <w:rsid w:val="001D26DF"/>
    <w:rsid w:val="001D6FCB"/>
    <w:rsid w:val="001E47FD"/>
    <w:rsid w:val="00211E0B"/>
    <w:rsid w:val="002405A7"/>
    <w:rsid w:val="0025322D"/>
    <w:rsid w:val="00257E45"/>
    <w:rsid w:val="00262488"/>
    <w:rsid w:val="002D59D3"/>
    <w:rsid w:val="003107FA"/>
    <w:rsid w:val="003127A2"/>
    <w:rsid w:val="003229D8"/>
    <w:rsid w:val="0032550E"/>
    <w:rsid w:val="0033745A"/>
    <w:rsid w:val="003642AF"/>
    <w:rsid w:val="00366CA7"/>
    <w:rsid w:val="0039277A"/>
    <w:rsid w:val="003972E0"/>
    <w:rsid w:val="003B3A99"/>
    <w:rsid w:val="003C2CC4"/>
    <w:rsid w:val="003C3936"/>
    <w:rsid w:val="003D4B23"/>
    <w:rsid w:val="003F1ED3"/>
    <w:rsid w:val="00421612"/>
    <w:rsid w:val="004325CB"/>
    <w:rsid w:val="00446DE4"/>
    <w:rsid w:val="00460DD9"/>
    <w:rsid w:val="00467F71"/>
    <w:rsid w:val="004A41CA"/>
    <w:rsid w:val="004E7ED6"/>
    <w:rsid w:val="00503228"/>
    <w:rsid w:val="00505384"/>
    <w:rsid w:val="00532EF8"/>
    <w:rsid w:val="005420F2"/>
    <w:rsid w:val="005B2C89"/>
    <w:rsid w:val="005B3DB3"/>
    <w:rsid w:val="005E22FE"/>
    <w:rsid w:val="00611FC4"/>
    <w:rsid w:val="006176FB"/>
    <w:rsid w:val="00627ED0"/>
    <w:rsid w:val="00640B26"/>
    <w:rsid w:val="006560F1"/>
    <w:rsid w:val="00665595"/>
    <w:rsid w:val="00691F20"/>
    <w:rsid w:val="00693543"/>
    <w:rsid w:val="006A7392"/>
    <w:rsid w:val="006A7757"/>
    <w:rsid w:val="006E564B"/>
    <w:rsid w:val="0071349F"/>
    <w:rsid w:val="00720DEB"/>
    <w:rsid w:val="0072632A"/>
    <w:rsid w:val="00733AAE"/>
    <w:rsid w:val="00781A60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63CBA"/>
    <w:rsid w:val="009650E6"/>
    <w:rsid w:val="00965932"/>
    <w:rsid w:val="00974A8D"/>
    <w:rsid w:val="0099001C"/>
    <w:rsid w:val="00991261"/>
    <w:rsid w:val="009F3A17"/>
    <w:rsid w:val="009F3D53"/>
    <w:rsid w:val="00A1427D"/>
    <w:rsid w:val="00A426FB"/>
    <w:rsid w:val="00A55FB2"/>
    <w:rsid w:val="00A72F22"/>
    <w:rsid w:val="00A748A6"/>
    <w:rsid w:val="00A80459"/>
    <w:rsid w:val="00A805EB"/>
    <w:rsid w:val="00A8760B"/>
    <w:rsid w:val="00A879A4"/>
    <w:rsid w:val="00AA496B"/>
    <w:rsid w:val="00AE71F3"/>
    <w:rsid w:val="00B07933"/>
    <w:rsid w:val="00B30179"/>
    <w:rsid w:val="00B30E8F"/>
    <w:rsid w:val="00B33EC0"/>
    <w:rsid w:val="00B81E12"/>
    <w:rsid w:val="00B97D28"/>
    <w:rsid w:val="00BC74E9"/>
    <w:rsid w:val="00BD2146"/>
    <w:rsid w:val="00BE4F74"/>
    <w:rsid w:val="00BE618E"/>
    <w:rsid w:val="00C17699"/>
    <w:rsid w:val="00C1778D"/>
    <w:rsid w:val="00C41A28"/>
    <w:rsid w:val="00C463DD"/>
    <w:rsid w:val="00C6210B"/>
    <w:rsid w:val="00C745C3"/>
    <w:rsid w:val="00C945EB"/>
    <w:rsid w:val="00CC65B7"/>
    <w:rsid w:val="00CE4A8F"/>
    <w:rsid w:val="00D055EB"/>
    <w:rsid w:val="00D2031B"/>
    <w:rsid w:val="00D25FE2"/>
    <w:rsid w:val="00D317BB"/>
    <w:rsid w:val="00D35D8F"/>
    <w:rsid w:val="00D43252"/>
    <w:rsid w:val="00D63881"/>
    <w:rsid w:val="00D7387D"/>
    <w:rsid w:val="00D978C6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D1541"/>
    <w:rsid w:val="00ED71D9"/>
    <w:rsid w:val="00ED7A2A"/>
    <w:rsid w:val="00EF1D7F"/>
    <w:rsid w:val="00EF358F"/>
    <w:rsid w:val="00F124A0"/>
    <w:rsid w:val="00F53EDA"/>
    <w:rsid w:val="00F73015"/>
    <w:rsid w:val="00F7753D"/>
    <w:rsid w:val="00F85F34"/>
    <w:rsid w:val="00FA06F7"/>
    <w:rsid w:val="00FB171A"/>
    <w:rsid w:val="00FC09B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FFBB27"/>
  <w15:docId w15:val="{C98F3037-D55C-4297-8D34-A6FD565A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0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8572-DE69-4306-BD5C-E1706BFB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16</cp:revision>
  <cp:lastPrinted>2017-06-12T08:31:00Z</cp:lastPrinted>
  <dcterms:created xsi:type="dcterms:W3CDTF">2015-06-23T07:37:00Z</dcterms:created>
  <dcterms:modified xsi:type="dcterms:W3CDTF">2017-06-12T08:43:00Z</dcterms:modified>
</cp:coreProperties>
</file>