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6500BA" w:rsidTr="009F0F06">
        <w:trPr>
          <w:trHeight w:val="851"/>
        </w:trPr>
        <w:tc>
          <w:tcPr>
            <w:tcW w:w="1259" w:type="dxa"/>
            <w:tcBorders>
              <w:top w:val="nil"/>
              <w:left w:val="nil"/>
              <w:bottom w:val="single" w:sz="4" w:space="0" w:color="auto"/>
              <w:right w:val="nil"/>
            </w:tcBorders>
          </w:tcPr>
          <w:p w:rsidR="00446DE4" w:rsidRPr="006500BA" w:rsidRDefault="00446DE4" w:rsidP="00F54674">
            <w:pPr>
              <w:spacing w:after="80" w:line="340" w:lineRule="exact"/>
            </w:pPr>
          </w:p>
        </w:tc>
        <w:tc>
          <w:tcPr>
            <w:tcW w:w="2236" w:type="dxa"/>
            <w:tcBorders>
              <w:top w:val="nil"/>
              <w:left w:val="nil"/>
              <w:bottom w:val="single" w:sz="4" w:space="0" w:color="auto"/>
              <w:right w:val="nil"/>
            </w:tcBorders>
            <w:vAlign w:val="bottom"/>
          </w:tcPr>
          <w:p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rsidR="004C378E" w:rsidRPr="006500BA" w:rsidRDefault="004C378E" w:rsidP="00437FA2">
            <w:pPr>
              <w:jc w:val="right"/>
            </w:pPr>
            <w:r w:rsidRPr="004C378E">
              <w:rPr>
                <w:sz w:val="40"/>
              </w:rPr>
              <w:t>ST</w:t>
            </w:r>
            <w:r>
              <w:t>/SG/AC.10/C.3/2018/2−</w:t>
            </w:r>
            <w:r w:rsidRPr="004C378E">
              <w:rPr>
                <w:sz w:val="40"/>
              </w:rPr>
              <w:t>ST</w:t>
            </w:r>
            <w:r>
              <w:t>/SG/AC.10/C.4/2018/</w:t>
            </w:r>
            <w:r w:rsidR="00437FA2">
              <w:t>2</w:t>
            </w:r>
          </w:p>
        </w:tc>
      </w:tr>
      <w:tr w:rsidR="003107FA" w:rsidRPr="006500BA" w:rsidTr="009F0F06">
        <w:trPr>
          <w:trHeight w:val="2835"/>
        </w:trPr>
        <w:tc>
          <w:tcPr>
            <w:tcW w:w="1259" w:type="dxa"/>
            <w:tcBorders>
              <w:top w:val="single" w:sz="4" w:space="0" w:color="auto"/>
              <w:left w:val="nil"/>
              <w:bottom w:val="single" w:sz="12" w:space="0" w:color="auto"/>
              <w:right w:val="nil"/>
            </w:tcBorders>
          </w:tcPr>
          <w:p w:rsidR="003107FA" w:rsidRPr="006500BA" w:rsidRDefault="009D1AAE" w:rsidP="002B1CDA">
            <w:pPr>
              <w:spacing w:before="120"/>
              <w:jc w:val="center"/>
            </w:pPr>
            <w:r>
              <w:rPr>
                <w:noProof/>
                <w:lang w:val="en-US"/>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6500BA" w:rsidRDefault="00D96CC5" w:rsidP="001633FB">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rsidR="003107FA" w:rsidRDefault="004C378E" w:rsidP="004C378E">
            <w:pPr>
              <w:spacing w:before="240" w:line="240" w:lineRule="exact"/>
            </w:pPr>
            <w:r>
              <w:t>Distr.: General</w:t>
            </w:r>
          </w:p>
          <w:p w:rsidR="004C378E" w:rsidRDefault="00C61455" w:rsidP="004C378E">
            <w:pPr>
              <w:spacing w:line="240" w:lineRule="exact"/>
            </w:pPr>
            <w:r>
              <w:t>14</w:t>
            </w:r>
            <w:bookmarkStart w:id="0" w:name="_GoBack"/>
            <w:bookmarkEnd w:id="0"/>
            <w:r w:rsidR="004C378E" w:rsidRPr="00A2151C">
              <w:t xml:space="preserve"> February 2018</w:t>
            </w:r>
          </w:p>
          <w:p w:rsidR="004C378E" w:rsidRDefault="004C378E" w:rsidP="004C378E">
            <w:pPr>
              <w:spacing w:line="240" w:lineRule="exact"/>
            </w:pPr>
          </w:p>
          <w:p w:rsidR="004C378E" w:rsidRPr="006500BA" w:rsidRDefault="004C378E" w:rsidP="004C378E">
            <w:pPr>
              <w:spacing w:line="240" w:lineRule="exact"/>
            </w:pPr>
            <w:r>
              <w:t>Original: English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93"/>
        <w:gridCol w:w="5046"/>
      </w:tblGrid>
      <w:tr w:rsidR="00D46231" w:rsidTr="00A8523D">
        <w:tc>
          <w:tcPr>
            <w:tcW w:w="4644" w:type="dxa"/>
          </w:tcPr>
          <w:p w:rsidR="00D46231" w:rsidRDefault="00D46231" w:rsidP="000504CE">
            <w:pPr>
              <w:spacing w:before="120"/>
              <w:rPr>
                <w:b/>
              </w:rPr>
            </w:pPr>
            <w:r w:rsidRPr="006500BA">
              <w:rPr>
                <w:b/>
              </w:rPr>
              <w:t xml:space="preserve">Sub-Committee of Experts on the </w:t>
            </w:r>
            <w:r>
              <w:rPr>
                <w:b/>
              </w:rPr>
              <w:t xml:space="preserve">Transport </w:t>
            </w:r>
            <w:r>
              <w:rPr>
                <w:b/>
              </w:rPr>
              <w:br/>
              <w:t>of Dangerous Goods</w:t>
            </w:r>
            <w:r w:rsidRPr="00CA0680">
              <w:rPr>
                <w:b/>
              </w:rPr>
              <w:t xml:space="preserve"> </w:t>
            </w:r>
          </w:p>
        </w:tc>
        <w:tc>
          <w:tcPr>
            <w:tcW w:w="5103" w:type="dxa"/>
          </w:tcPr>
          <w:p w:rsidR="00D46231" w:rsidRDefault="00D46231" w:rsidP="00E1679E">
            <w:pPr>
              <w:spacing w:before="120"/>
              <w:rPr>
                <w:b/>
              </w:rPr>
            </w:pPr>
            <w:r w:rsidRPr="006500BA">
              <w:rPr>
                <w:b/>
              </w:rPr>
              <w:t>Sub-Committee of Experts on the Globally Harmonized</w:t>
            </w:r>
            <w:r>
              <w:rPr>
                <w:b/>
              </w:rPr>
              <w:t xml:space="preserve"> </w:t>
            </w:r>
            <w:r w:rsidRPr="006500BA">
              <w:rPr>
                <w:b/>
              </w:rPr>
              <w:t>System of Classification and</w:t>
            </w:r>
            <w:r w:rsidR="00E1679E">
              <w:rPr>
                <w:b/>
              </w:rPr>
              <w:t xml:space="preserve"> </w:t>
            </w:r>
            <w:r w:rsidRPr="006500BA">
              <w:rPr>
                <w:b/>
              </w:rPr>
              <w:t>Labelling of Chemicals</w:t>
            </w:r>
            <w:r>
              <w:rPr>
                <w:b/>
              </w:rPr>
              <w:t xml:space="preserve"> </w:t>
            </w:r>
          </w:p>
        </w:tc>
      </w:tr>
      <w:tr w:rsidR="00D46231" w:rsidTr="00A8523D">
        <w:tc>
          <w:tcPr>
            <w:tcW w:w="4644" w:type="dxa"/>
          </w:tcPr>
          <w:p w:rsidR="00D46231" w:rsidRPr="00CA0680" w:rsidRDefault="00D46231" w:rsidP="000504CE">
            <w:pPr>
              <w:rPr>
                <w:b/>
              </w:rPr>
            </w:pPr>
          </w:p>
        </w:tc>
        <w:tc>
          <w:tcPr>
            <w:tcW w:w="5103" w:type="dxa"/>
          </w:tcPr>
          <w:p w:rsidR="00D46231" w:rsidRDefault="00D46231" w:rsidP="000504CE">
            <w:pPr>
              <w:rPr>
                <w:b/>
              </w:rPr>
            </w:pPr>
          </w:p>
        </w:tc>
      </w:tr>
      <w:tr w:rsidR="00D46231" w:rsidTr="00A8523D">
        <w:tc>
          <w:tcPr>
            <w:tcW w:w="4644" w:type="dxa"/>
          </w:tcPr>
          <w:p w:rsidR="00437FA2" w:rsidRDefault="00437FA2" w:rsidP="000504CE">
            <w:r>
              <w:rPr>
                <w:b/>
              </w:rPr>
              <w:t>Fifty-third</w:t>
            </w:r>
            <w:r w:rsidRPr="00CA0680">
              <w:rPr>
                <w:b/>
              </w:rPr>
              <w:t xml:space="preserve"> session</w:t>
            </w:r>
            <w:r>
              <w:t xml:space="preserve"> </w:t>
            </w:r>
          </w:p>
          <w:p w:rsidR="00437FA2" w:rsidRDefault="00437FA2" w:rsidP="00437FA2">
            <w:pPr>
              <w:ind w:right="57"/>
            </w:pPr>
            <w:r>
              <w:t>Geneva, 25 June-4 July 2018</w:t>
            </w:r>
          </w:p>
          <w:p w:rsidR="00437FA2" w:rsidRDefault="00437FA2" w:rsidP="00437FA2">
            <w:pPr>
              <w:ind w:right="57"/>
            </w:pPr>
            <w:r w:rsidRPr="008904B8">
              <w:t xml:space="preserve">Item </w:t>
            </w:r>
            <w:r w:rsidR="00E31974">
              <w:t>5</w:t>
            </w:r>
            <w:r w:rsidRPr="008904B8">
              <w:t xml:space="preserve"> </w:t>
            </w:r>
            <w:r w:rsidR="00D46A70">
              <w:t xml:space="preserve">(b) </w:t>
            </w:r>
            <w:r w:rsidRPr="006500BA">
              <w:t>of the provisional agenda</w:t>
            </w:r>
          </w:p>
          <w:p w:rsidR="00D46231" w:rsidRPr="00324E23" w:rsidRDefault="00E31974" w:rsidP="00E31974">
            <w:pPr>
              <w:rPr>
                <w:b/>
              </w:rPr>
            </w:pPr>
            <w:r>
              <w:rPr>
                <w:b/>
              </w:rPr>
              <w:t>Transport of gases</w:t>
            </w:r>
            <w:r w:rsidR="00324E23" w:rsidRPr="00324E23">
              <w:rPr>
                <w:b/>
              </w:rPr>
              <w:t>:</w:t>
            </w:r>
            <w:r w:rsidR="00324E23">
              <w:rPr>
                <w:b/>
              </w:rPr>
              <w:t xml:space="preserve"> </w:t>
            </w:r>
            <w:r>
              <w:rPr>
                <w:b/>
              </w:rPr>
              <w:t>miscellaneous</w:t>
            </w:r>
          </w:p>
        </w:tc>
        <w:tc>
          <w:tcPr>
            <w:tcW w:w="5103" w:type="dxa"/>
          </w:tcPr>
          <w:p w:rsidR="00437FA2" w:rsidRDefault="00437FA2" w:rsidP="000504CE">
            <w:r w:rsidRPr="009F7667">
              <w:rPr>
                <w:b/>
              </w:rPr>
              <w:t>Thirty-</w:t>
            </w:r>
            <w:r>
              <w:rPr>
                <w:b/>
              </w:rPr>
              <w:t>fifth</w:t>
            </w:r>
            <w:r w:rsidRPr="009F7667">
              <w:rPr>
                <w:b/>
              </w:rPr>
              <w:t xml:space="preserve"> session</w:t>
            </w:r>
          </w:p>
          <w:p w:rsidR="00437FA2" w:rsidRDefault="00437FA2" w:rsidP="00437FA2">
            <w:r>
              <w:t>Geneva, 4-6 July 2018</w:t>
            </w:r>
          </w:p>
          <w:p w:rsidR="00D46231" w:rsidRDefault="00D46231" w:rsidP="00324E23">
            <w:r w:rsidRPr="006500BA">
              <w:t xml:space="preserve">Item </w:t>
            </w:r>
            <w:r w:rsidR="00324E23">
              <w:t>2</w:t>
            </w:r>
            <w:r w:rsidRPr="006500BA">
              <w:t xml:space="preserve"> of the provisional agenda</w:t>
            </w:r>
            <w:r>
              <w:t xml:space="preserve"> </w:t>
            </w:r>
          </w:p>
          <w:p w:rsidR="00324E23" w:rsidRPr="00324E23" w:rsidRDefault="00324E23" w:rsidP="00324E23">
            <w:pPr>
              <w:rPr>
                <w:b/>
              </w:rPr>
            </w:pPr>
            <w:r w:rsidRPr="00324E23">
              <w:rPr>
                <w:b/>
              </w:rPr>
              <w:t>Joint work with the Sub-Committee of Experts on the Transport of Dangerous Goods (TDG Sub-Committee)</w:t>
            </w:r>
          </w:p>
        </w:tc>
      </w:tr>
    </w:tbl>
    <w:p w:rsidR="00437FA2" w:rsidRDefault="00437FA2" w:rsidP="00437FA2">
      <w:pPr>
        <w:pStyle w:val="HChG"/>
      </w:pPr>
      <w:r>
        <w:tab/>
      </w:r>
      <w:r>
        <w:tab/>
      </w:r>
      <w:r w:rsidR="00A30167">
        <w:t xml:space="preserve">Update of reference to ISO 10156 in the Model Regulations and in the </w:t>
      </w:r>
      <w:r w:rsidR="00A30167" w:rsidRPr="00283442">
        <w:rPr>
          <w:lang w:val="en-US"/>
        </w:rPr>
        <w:t>Globally Harmonized</w:t>
      </w:r>
      <w:r w:rsidR="00A30167">
        <w:rPr>
          <w:lang w:val="en-US"/>
        </w:rPr>
        <w:t xml:space="preserve"> </w:t>
      </w:r>
      <w:r w:rsidR="00A30167" w:rsidRPr="00283442">
        <w:rPr>
          <w:lang w:val="en-US"/>
        </w:rPr>
        <w:t>System of Classification and Labelling of Chemicals</w:t>
      </w:r>
      <w:r w:rsidR="00A30167">
        <w:rPr>
          <w:lang w:val="en-US"/>
        </w:rPr>
        <w:t xml:space="preserve"> (GHS)</w:t>
      </w:r>
    </w:p>
    <w:p w:rsidR="00437FA2" w:rsidRPr="002015A7" w:rsidRDefault="00437FA2" w:rsidP="00437FA2">
      <w:pPr>
        <w:pStyle w:val="H1G"/>
      </w:pPr>
      <w:r>
        <w:tab/>
      </w:r>
      <w:r>
        <w:tab/>
        <w:t>Transmitted by the European Industrial Gases Association (EIGA)</w:t>
      </w:r>
      <w:r w:rsidR="00324E23" w:rsidRPr="00324E23">
        <w:rPr>
          <w:rStyle w:val="FootnoteReference"/>
          <w:sz w:val="24"/>
        </w:rPr>
        <w:footnoteReference w:customMarkFollows="1" w:id="2"/>
        <w:sym w:font="Symbol" w:char="F02A"/>
      </w:r>
    </w:p>
    <w:p w:rsidR="00437FA2" w:rsidRDefault="00437FA2" w:rsidP="00437FA2">
      <w:pPr>
        <w:pStyle w:val="HChG"/>
      </w:pPr>
      <w:r>
        <w:tab/>
      </w:r>
      <w:r>
        <w:tab/>
        <w:t>Introduction</w:t>
      </w:r>
    </w:p>
    <w:p w:rsidR="00437FA2" w:rsidRDefault="00437FA2" w:rsidP="00437FA2">
      <w:pPr>
        <w:pStyle w:val="SingleTxtG"/>
      </w:pPr>
      <w:r>
        <w:t>1.</w:t>
      </w:r>
      <w:r>
        <w:tab/>
        <w:t xml:space="preserve">The standard ISO 1056:2010 </w:t>
      </w:r>
      <w:r w:rsidRPr="00752460">
        <w:rPr>
          <w:lang w:val="en-IE" w:eastAsia="en-GB"/>
        </w:rPr>
        <w:t xml:space="preserve">"Gas cylinders - Gases and gas mixtures </w:t>
      </w:r>
      <w:r>
        <w:rPr>
          <w:lang w:val="en-IE" w:eastAsia="en-GB"/>
        </w:rPr>
        <w:t>-</w:t>
      </w:r>
      <w:r w:rsidRPr="00752460">
        <w:rPr>
          <w:lang w:val="en-IE" w:eastAsia="en-GB"/>
        </w:rPr>
        <w:t xml:space="preserve"> Determination of fire potential and</w:t>
      </w:r>
      <w:r>
        <w:rPr>
          <w:lang w:val="en-IE" w:eastAsia="en-GB"/>
        </w:rPr>
        <w:t xml:space="preserve"> </w:t>
      </w:r>
      <w:r w:rsidRPr="00752460">
        <w:rPr>
          <w:lang w:val="en-IE" w:eastAsia="en-GB"/>
        </w:rPr>
        <w:t>oxidizing ability for the selection of cylinder valve outlets"</w:t>
      </w:r>
      <w:r>
        <w:rPr>
          <w:lang w:val="en-IE" w:eastAsia="en-GB"/>
        </w:rPr>
        <w:t xml:space="preserve"> </w:t>
      </w:r>
      <w:r>
        <w:t xml:space="preserve">is a reference document in Chapter 2.2 </w:t>
      </w:r>
      <w:r w:rsidRPr="00437FA2">
        <w:t>(Class 2: Gases)</w:t>
      </w:r>
      <w:r>
        <w:rPr>
          <w:i/>
        </w:rPr>
        <w:t xml:space="preserve"> </w:t>
      </w:r>
      <w:r>
        <w:t xml:space="preserve">of the Model Regulations and in chapters 2.2 </w:t>
      </w:r>
      <w:r w:rsidRPr="00437FA2">
        <w:t>(Flammable gases)</w:t>
      </w:r>
      <w:r>
        <w:t xml:space="preserve"> and 2.4 </w:t>
      </w:r>
      <w:r w:rsidRPr="00437FA2">
        <w:t>(</w:t>
      </w:r>
      <w:r w:rsidR="00324E23">
        <w:t>Oxidising g</w:t>
      </w:r>
      <w:r w:rsidRPr="00437FA2">
        <w:t>ases)</w:t>
      </w:r>
      <w:r>
        <w:t xml:space="preserve"> of the GHS.</w:t>
      </w:r>
      <w:r w:rsidRPr="00187298">
        <w:t xml:space="preserve">  </w:t>
      </w:r>
    </w:p>
    <w:p w:rsidR="00437FA2" w:rsidRPr="002C78D2" w:rsidRDefault="00437FA2" w:rsidP="00437FA2">
      <w:pPr>
        <w:pStyle w:val="SingleTxtG"/>
      </w:pPr>
      <w:r>
        <w:t>2.</w:t>
      </w:r>
      <w:r>
        <w:tab/>
        <w:t xml:space="preserve">As part of the 5-yearly periodic </w:t>
      </w:r>
      <w:r w:rsidRPr="009E1C64">
        <w:t>review</w:t>
      </w:r>
      <w:r>
        <w:t xml:space="preserve"> of all standards, ISO 1056:2010 has been reviewed and a new revision ISO 10156:2017 was published in September 2017. </w:t>
      </w:r>
    </w:p>
    <w:p w:rsidR="00437FA2" w:rsidRDefault="00437FA2" w:rsidP="00437FA2">
      <w:pPr>
        <w:pStyle w:val="SingleTxtG"/>
      </w:pPr>
      <w:r>
        <w:t>3.</w:t>
      </w:r>
      <w:r>
        <w:tab/>
        <w:t xml:space="preserve">Apart from some editorial changes to suit the ISO </w:t>
      </w:r>
      <w:r w:rsidRPr="009E1C64">
        <w:t>publication</w:t>
      </w:r>
      <w:r>
        <w:t xml:space="preserve"> rules, there is no change compared to the 2010 version </w:t>
      </w:r>
      <w:proofErr w:type="gramStart"/>
      <w:r>
        <w:t>with regard to</w:t>
      </w:r>
      <w:proofErr w:type="gramEnd"/>
      <w:r>
        <w:t xml:space="preserve"> the test method to determine the low flammability limits (Li) of flammable gases and vapours including mixtures and the calculation method to determine if gas mixtures containing flammable gases and vapours should be considered as non-flammable. The tables with Li and </w:t>
      </w:r>
      <w:proofErr w:type="spellStart"/>
      <w:r>
        <w:t>Tci</w:t>
      </w:r>
      <w:proofErr w:type="spellEnd"/>
      <w:r>
        <w:t xml:space="preserve"> values are unchanged from the 2010 version and the calculation examples in 2.2.5 and 2.4.4.2 of the GHS remain valid.</w:t>
      </w:r>
    </w:p>
    <w:p w:rsidR="00437FA2" w:rsidRDefault="002D782F" w:rsidP="00437FA2">
      <w:pPr>
        <w:pStyle w:val="SingleTxtG"/>
      </w:pPr>
      <w:r>
        <w:lastRenderedPageBreak/>
        <w:t>4</w:t>
      </w:r>
      <w:r w:rsidR="00437FA2">
        <w:t>.</w:t>
      </w:r>
      <w:r w:rsidR="00437FA2">
        <w:tab/>
      </w:r>
      <w:r w:rsidR="00437FA2" w:rsidRPr="009E1C64">
        <w:t>On</w:t>
      </w:r>
      <w:r w:rsidR="00437FA2">
        <w:t xml:space="preserve"> the other hand, the standard has been supplemented with:</w:t>
      </w:r>
    </w:p>
    <w:p w:rsidR="00437FA2" w:rsidRDefault="00437FA2" w:rsidP="00437FA2">
      <w:pPr>
        <w:pStyle w:val="Bullet1G"/>
        <w:numPr>
          <w:ilvl w:val="0"/>
          <w:numId w:val="0"/>
        </w:numPr>
        <w:ind w:left="2127" w:hanging="426"/>
      </w:pPr>
      <w:r>
        <w:t>(a)</w:t>
      </w:r>
      <w:r>
        <w:tab/>
        <w:t xml:space="preserve">a test method the determine the flammability limits of gases and gas mixtures in air; </w:t>
      </w:r>
    </w:p>
    <w:p w:rsidR="00437FA2" w:rsidRDefault="00437FA2" w:rsidP="00437FA2">
      <w:pPr>
        <w:pStyle w:val="Bullet1G"/>
        <w:numPr>
          <w:ilvl w:val="0"/>
          <w:numId w:val="0"/>
        </w:numPr>
        <w:ind w:left="2127" w:hanging="426"/>
      </w:pPr>
      <w:r>
        <w:t>(b)</w:t>
      </w:r>
      <w:r>
        <w:tab/>
        <w:t>a calculation method to determine the lower flammability limit of a gas mixture. This additional calculation method is needed to distinguish a flammable gas, Category 1A from a flammable gas, Category 1B, in accordance with the new GHS criteria.</w:t>
      </w:r>
    </w:p>
    <w:p w:rsidR="00437FA2" w:rsidRPr="009A0DF0" w:rsidRDefault="00437FA2" w:rsidP="00437FA2">
      <w:pPr>
        <w:pStyle w:val="HChG"/>
        <w:ind w:left="0" w:firstLine="0"/>
      </w:pPr>
      <w:r>
        <w:tab/>
      </w:r>
      <w:r>
        <w:tab/>
        <w:t>Proposals</w:t>
      </w:r>
    </w:p>
    <w:p w:rsidR="00437FA2" w:rsidRPr="00437FA2" w:rsidRDefault="002D782F" w:rsidP="00437FA2">
      <w:pPr>
        <w:pStyle w:val="SingleTxtG"/>
        <w:ind w:left="1152" w:right="1138"/>
      </w:pPr>
      <w:r>
        <w:t>5</w:t>
      </w:r>
      <w:r w:rsidR="00437FA2">
        <w:t>.</w:t>
      </w:r>
      <w:r w:rsidR="00437FA2">
        <w:tab/>
        <w:t xml:space="preserve">In the Model Regulations, </w:t>
      </w:r>
      <w:r w:rsidR="00437FA2" w:rsidRPr="00437FA2">
        <w:t>Chapter 2.2</w:t>
      </w:r>
      <w:r w:rsidR="00437FA2">
        <w:t>, paragraphs 2.2.3 (a) and 2.2.3 (d)</w:t>
      </w:r>
      <w:r w:rsidR="00437FA2" w:rsidRPr="00437FA2">
        <w:t>:</w:t>
      </w:r>
    </w:p>
    <w:p w:rsidR="00437FA2" w:rsidRPr="00437FA2" w:rsidRDefault="00437FA2" w:rsidP="00437FA2">
      <w:pPr>
        <w:pStyle w:val="SingleTxtG"/>
        <w:ind w:left="1701"/>
      </w:pPr>
      <w:r>
        <w:t>R</w:t>
      </w:r>
      <w:r w:rsidRPr="00437FA2">
        <w:t xml:space="preserve">eplace </w:t>
      </w:r>
      <w:r>
        <w:t>“</w:t>
      </w:r>
      <w:r w:rsidRPr="00437FA2">
        <w:t>ISO</w:t>
      </w:r>
      <w:r>
        <w:t xml:space="preserve"> 10156:2010” with “ISO 10156:2017”</w:t>
      </w:r>
    </w:p>
    <w:p w:rsidR="00437FA2" w:rsidRDefault="002D782F" w:rsidP="00437FA2">
      <w:pPr>
        <w:pStyle w:val="SingleTxtG"/>
        <w:ind w:left="1152" w:right="1138"/>
      </w:pPr>
      <w:r>
        <w:t>6</w:t>
      </w:r>
      <w:r w:rsidR="00437FA2">
        <w:t>.</w:t>
      </w:r>
      <w:r w:rsidR="00437FA2">
        <w:tab/>
      </w:r>
      <w:r w:rsidR="00437FA2" w:rsidRPr="00437FA2">
        <w:t xml:space="preserve">In </w:t>
      </w:r>
      <w:r w:rsidR="00437FA2">
        <w:t>the GHS, C</w:t>
      </w:r>
      <w:r w:rsidR="00437FA2" w:rsidRPr="00437FA2">
        <w:t>hapter</w:t>
      </w:r>
      <w:r w:rsidR="00437FA2">
        <w:t xml:space="preserve"> 2.2, paragraphs 2.2.4.2.1, 2.2.4.2.4 and 2.2.5, </w:t>
      </w:r>
      <w:r w:rsidR="00437FA2" w:rsidRPr="00437FA2">
        <w:t xml:space="preserve">and </w:t>
      </w:r>
      <w:r w:rsidR="00437FA2">
        <w:t>in Chapter 2.4, paragraphs 2.4.4.1 and 2.4.4.2:</w:t>
      </w:r>
    </w:p>
    <w:p w:rsidR="00437FA2" w:rsidRDefault="00437FA2" w:rsidP="00437FA2">
      <w:pPr>
        <w:pStyle w:val="SingleTxtG"/>
        <w:ind w:left="1152" w:right="1138" w:firstLine="549"/>
      </w:pPr>
      <w:r>
        <w:t>Replace “ISO 10156:2010” with “ISO 10156:2017”.</w:t>
      </w:r>
    </w:p>
    <w:p w:rsidR="004C378E" w:rsidRDefault="00437FA2" w:rsidP="00437FA2">
      <w:pPr>
        <w:pStyle w:val="SingleTxtG"/>
        <w:spacing w:before="240" w:after="0"/>
        <w:jc w:val="center"/>
      </w:pPr>
      <w:r>
        <w:rPr>
          <w:u w:val="single"/>
        </w:rPr>
        <w:tab/>
      </w:r>
      <w:r>
        <w:rPr>
          <w:u w:val="single"/>
        </w:rPr>
        <w:tab/>
      </w:r>
      <w:r>
        <w:rPr>
          <w:u w:val="single"/>
        </w:rPr>
        <w:tab/>
      </w:r>
    </w:p>
    <w:p w:rsidR="009F0F06" w:rsidRPr="004C378E" w:rsidRDefault="009F0F06" w:rsidP="004C378E">
      <w:pPr>
        <w:suppressAutoHyphens w:val="0"/>
        <w:spacing w:line="240" w:lineRule="auto"/>
      </w:pPr>
    </w:p>
    <w:sectPr w:rsidR="009F0F06" w:rsidRPr="004C378E" w:rsidSect="00437FA2">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78E" w:rsidRDefault="004C378E"/>
  </w:endnote>
  <w:endnote w:type="continuationSeparator" w:id="0">
    <w:p w:rsidR="004C378E" w:rsidRDefault="004C378E"/>
  </w:endnote>
  <w:endnote w:type="continuationNotice" w:id="1">
    <w:p w:rsidR="004C378E" w:rsidRDefault="004C3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8E" w:rsidRPr="004C378E" w:rsidRDefault="004C378E" w:rsidP="004C378E">
    <w:pPr>
      <w:pStyle w:val="Footer"/>
      <w:tabs>
        <w:tab w:val="right" w:pos="9638"/>
      </w:tabs>
      <w:rPr>
        <w:sz w:val="18"/>
      </w:rPr>
    </w:pPr>
    <w:r w:rsidRPr="004C378E">
      <w:rPr>
        <w:b/>
        <w:sz w:val="18"/>
      </w:rPr>
      <w:fldChar w:fldCharType="begin"/>
    </w:r>
    <w:r w:rsidRPr="004C378E">
      <w:rPr>
        <w:b/>
        <w:sz w:val="18"/>
      </w:rPr>
      <w:instrText xml:space="preserve"> PAGE  \* MERGEFORMAT </w:instrText>
    </w:r>
    <w:r w:rsidRPr="004C378E">
      <w:rPr>
        <w:b/>
        <w:sz w:val="18"/>
      </w:rPr>
      <w:fldChar w:fldCharType="separate"/>
    </w:r>
    <w:r w:rsidR="00C61455">
      <w:rPr>
        <w:b/>
        <w:noProof/>
        <w:sz w:val="18"/>
      </w:rPr>
      <w:t>2</w:t>
    </w:r>
    <w:r w:rsidRPr="004C378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8E" w:rsidRPr="004C378E" w:rsidRDefault="004C378E" w:rsidP="004C378E">
    <w:pPr>
      <w:pStyle w:val="Footer"/>
      <w:tabs>
        <w:tab w:val="right" w:pos="9638"/>
      </w:tabs>
      <w:rPr>
        <w:b/>
        <w:sz w:val="18"/>
      </w:rPr>
    </w:pPr>
    <w:r>
      <w:tab/>
    </w:r>
    <w:r w:rsidRPr="004C378E">
      <w:rPr>
        <w:b/>
        <w:sz w:val="18"/>
      </w:rPr>
      <w:fldChar w:fldCharType="begin"/>
    </w:r>
    <w:r w:rsidRPr="004C378E">
      <w:rPr>
        <w:b/>
        <w:sz w:val="18"/>
      </w:rPr>
      <w:instrText xml:space="preserve"> PAGE  \* MERGEFORMAT </w:instrText>
    </w:r>
    <w:r w:rsidRPr="004C378E">
      <w:rPr>
        <w:b/>
        <w:sz w:val="18"/>
      </w:rPr>
      <w:fldChar w:fldCharType="separate"/>
    </w:r>
    <w:r w:rsidR="00437FA2">
      <w:rPr>
        <w:b/>
        <w:noProof/>
        <w:sz w:val="18"/>
      </w:rPr>
      <w:t>3</w:t>
    </w:r>
    <w:r w:rsidRPr="004C378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78E" w:rsidRPr="000B175B" w:rsidRDefault="004C378E" w:rsidP="000B175B">
      <w:pPr>
        <w:tabs>
          <w:tab w:val="right" w:pos="2155"/>
        </w:tabs>
        <w:spacing w:after="80"/>
        <w:ind w:left="680"/>
        <w:rPr>
          <w:u w:val="single"/>
        </w:rPr>
      </w:pPr>
      <w:r>
        <w:rPr>
          <w:u w:val="single"/>
        </w:rPr>
        <w:tab/>
      </w:r>
    </w:p>
  </w:footnote>
  <w:footnote w:type="continuationSeparator" w:id="0">
    <w:p w:rsidR="004C378E" w:rsidRPr="00FC68B7" w:rsidRDefault="004C378E" w:rsidP="00FC68B7">
      <w:pPr>
        <w:tabs>
          <w:tab w:val="left" w:pos="2155"/>
        </w:tabs>
        <w:spacing w:after="80"/>
        <w:ind w:left="680"/>
        <w:rPr>
          <w:u w:val="single"/>
        </w:rPr>
      </w:pPr>
      <w:r>
        <w:rPr>
          <w:u w:val="single"/>
        </w:rPr>
        <w:tab/>
      </w:r>
    </w:p>
  </w:footnote>
  <w:footnote w:type="continuationNotice" w:id="1">
    <w:p w:rsidR="004C378E" w:rsidRDefault="004C378E"/>
  </w:footnote>
  <w:footnote w:id="2">
    <w:p w:rsidR="00324E23" w:rsidRPr="009E1C64" w:rsidRDefault="00324E23" w:rsidP="00437FA2">
      <w:pPr>
        <w:pStyle w:val="FootnoteText"/>
        <w:tabs>
          <w:tab w:val="left" w:pos="1418"/>
        </w:tabs>
        <w:ind w:firstLine="0"/>
        <w:rPr>
          <w:lang w:val="fr-CH"/>
        </w:rPr>
      </w:pPr>
      <w:r w:rsidRPr="00324E23">
        <w:rPr>
          <w:rStyle w:val="FootnoteReference"/>
        </w:rPr>
        <w:sym w:font="Symbol" w:char="F02A"/>
      </w:r>
      <w:r>
        <w:t xml:space="preserve"> </w:t>
      </w:r>
      <w:r>
        <w:tab/>
        <w:t xml:space="preserve">In accordance with the programme of work of the Sub-Committee for 2017–2018 approved by the Committee at its eighth session (see ST/SG/AC.10/C.3/100, paragraph 98 and ST/SG/AC.10/44, paragraph 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8E" w:rsidRPr="004C378E" w:rsidRDefault="004C378E">
    <w:pPr>
      <w:pStyle w:val="Header"/>
    </w:pPr>
    <w:r>
      <w:t>ST/SG/AC.10/C.3/2018/2</w:t>
    </w:r>
    <w:r>
      <w:br/>
      <w:t>ST/SG/AC.10/C.4/2018/</w:t>
    </w:r>
    <w:r w:rsidR="00437FA2">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8E" w:rsidRPr="004C378E" w:rsidRDefault="004C378E" w:rsidP="004C378E">
    <w:pPr>
      <w:pStyle w:val="Header"/>
      <w:jc w:val="right"/>
    </w:pPr>
    <w:r>
      <w:t>ST/SG/AC.10/C.3/2018/2</w:t>
    </w:r>
    <w:r>
      <w:br/>
      <w:t>ST/SG/AC.10/C.4/2018/1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8E"/>
    <w:rsid w:val="000504CE"/>
    <w:rsid w:val="00050F6B"/>
    <w:rsid w:val="00061BD2"/>
    <w:rsid w:val="00072C8C"/>
    <w:rsid w:val="00091419"/>
    <w:rsid w:val="000931C0"/>
    <w:rsid w:val="000B175B"/>
    <w:rsid w:val="000B3A0F"/>
    <w:rsid w:val="000E0415"/>
    <w:rsid w:val="00117787"/>
    <w:rsid w:val="00131D42"/>
    <w:rsid w:val="001633FB"/>
    <w:rsid w:val="00167786"/>
    <w:rsid w:val="001B4B04"/>
    <w:rsid w:val="001C6663"/>
    <w:rsid w:val="001C7895"/>
    <w:rsid w:val="001D26DF"/>
    <w:rsid w:val="001D2FDC"/>
    <w:rsid w:val="00211E0B"/>
    <w:rsid w:val="002309A7"/>
    <w:rsid w:val="00237785"/>
    <w:rsid w:val="00241466"/>
    <w:rsid w:val="002725CA"/>
    <w:rsid w:val="00280EB7"/>
    <w:rsid w:val="002B1CDA"/>
    <w:rsid w:val="002D782F"/>
    <w:rsid w:val="003107FA"/>
    <w:rsid w:val="003229D8"/>
    <w:rsid w:val="00324E23"/>
    <w:rsid w:val="0039277A"/>
    <w:rsid w:val="00395F7B"/>
    <w:rsid w:val="003972E0"/>
    <w:rsid w:val="003C2CC4"/>
    <w:rsid w:val="003D4B23"/>
    <w:rsid w:val="004325CB"/>
    <w:rsid w:val="00437F3F"/>
    <w:rsid w:val="00437FA2"/>
    <w:rsid w:val="00446DE4"/>
    <w:rsid w:val="00454036"/>
    <w:rsid w:val="004B2C9D"/>
    <w:rsid w:val="004C378E"/>
    <w:rsid w:val="00527910"/>
    <w:rsid w:val="005420F2"/>
    <w:rsid w:val="00590144"/>
    <w:rsid w:val="005B3DB3"/>
    <w:rsid w:val="00611FC4"/>
    <w:rsid w:val="006176FB"/>
    <w:rsid w:val="0063419C"/>
    <w:rsid w:val="00640B26"/>
    <w:rsid w:val="006500BA"/>
    <w:rsid w:val="006A7392"/>
    <w:rsid w:val="006C0D34"/>
    <w:rsid w:val="006E564B"/>
    <w:rsid w:val="0072632A"/>
    <w:rsid w:val="00790791"/>
    <w:rsid w:val="007B1A7E"/>
    <w:rsid w:val="007B6BA5"/>
    <w:rsid w:val="007C3390"/>
    <w:rsid w:val="007C4F4B"/>
    <w:rsid w:val="007F6611"/>
    <w:rsid w:val="008175E9"/>
    <w:rsid w:val="008242D7"/>
    <w:rsid w:val="00843958"/>
    <w:rsid w:val="00871FD5"/>
    <w:rsid w:val="008979B1"/>
    <w:rsid w:val="008A6B25"/>
    <w:rsid w:val="008A6C4F"/>
    <w:rsid w:val="008E0E46"/>
    <w:rsid w:val="00945A5D"/>
    <w:rsid w:val="00963CBA"/>
    <w:rsid w:val="0099124E"/>
    <w:rsid w:val="00991261"/>
    <w:rsid w:val="009D1AAE"/>
    <w:rsid w:val="009F0F06"/>
    <w:rsid w:val="009F7E66"/>
    <w:rsid w:val="00A1427D"/>
    <w:rsid w:val="00A2151C"/>
    <w:rsid w:val="00A30167"/>
    <w:rsid w:val="00A72F22"/>
    <w:rsid w:val="00A748A6"/>
    <w:rsid w:val="00A75EC9"/>
    <w:rsid w:val="00A8523D"/>
    <w:rsid w:val="00A879A4"/>
    <w:rsid w:val="00B30179"/>
    <w:rsid w:val="00B3317B"/>
    <w:rsid w:val="00B81E12"/>
    <w:rsid w:val="00B93068"/>
    <w:rsid w:val="00BC74E9"/>
    <w:rsid w:val="00BE618E"/>
    <w:rsid w:val="00C463DD"/>
    <w:rsid w:val="00C61455"/>
    <w:rsid w:val="00C62F76"/>
    <w:rsid w:val="00C745C3"/>
    <w:rsid w:val="00CD3225"/>
    <w:rsid w:val="00CE46BA"/>
    <w:rsid w:val="00CE4A8F"/>
    <w:rsid w:val="00D2031B"/>
    <w:rsid w:val="00D25FE2"/>
    <w:rsid w:val="00D43252"/>
    <w:rsid w:val="00D46231"/>
    <w:rsid w:val="00D46A70"/>
    <w:rsid w:val="00D753D8"/>
    <w:rsid w:val="00D96CC5"/>
    <w:rsid w:val="00D978C6"/>
    <w:rsid w:val="00DA67AD"/>
    <w:rsid w:val="00E130AB"/>
    <w:rsid w:val="00E1679E"/>
    <w:rsid w:val="00E31974"/>
    <w:rsid w:val="00E5644E"/>
    <w:rsid w:val="00E7260F"/>
    <w:rsid w:val="00E81230"/>
    <w:rsid w:val="00E8535A"/>
    <w:rsid w:val="00E96630"/>
    <w:rsid w:val="00EA772F"/>
    <w:rsid w:val="00EB6832"/>
    <w:rsid w:val="00EC271A"/>
    <w:rsid w:val="00ED7A2A"/>
    <w:rsid w:val="00EF1D7F"/>
    <w:rsid w:val="00F40E75"/>
    <w:rsid w:val="00F54674"/>
    <w:rsid w:val="00FC68B7"/>
    <w:rsid w:val="00FD6B2B"/>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E5C872"/>
  <w15:docId w15:val="{D681AB16-B329-450B-91BE-D9DA68DB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A8523D"/>
    <w:pPr>
      <w:spacing w:after="120"/>
      <w:ind w:left="1134" w:right="1134"/>
      <w:jc w:val="both"/>
    </w:pPr>
  </w:style>
  <w:style w:type="character" w:styleId="PageNumber">
    <w:name w:val="page number"/>
    <w:aliases w:val="7_G"/>
    <w:basedOn w:val="DefaultParagraphFon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523D"/>
    <w:rPr>
      <w:rFonts w:ascii="Times New Roman" w:hAnsi="Times New Roman"/>
      <w:sz w:val="18"/>
      <w:vertAlign w:val="superscript"/>
    </w:rPr>
  </w:style>
  <w:style w:type="character" w:styleId="FootnoteReference">
    <w:name w:val="footnote reference"/>
    <w:aliases w:val="4_G"/>
    <w:basedOn w:val="DefaultParagraphFon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character" w:customStyle="1" w:styleId="SingleTxtGCar">
    <w:name w:val="_ Single Txt_G Car"/>
    <w:link w:val="SingleTxtG"/>
    <w:rsid w:val="00437FA2"/>
    <w:rPr>
      <w:lang w:eastAsia="en-US"/>
    </w:rPr>
  </w:style>
  <w:style w:type="character" w:customStyle="1" w:styleId="FootnoteTextChar">
    <w:name w:val="Footnote Text Char"/>
    <w:aliases w:val="5_G Char"/>
    <w:link w:val="FootnoteText"/>
    <w:rsid w:val="00437FA2"/>
    <w:rPr>
      <w:sz w:val="18"/>
      <w:lang w:eastAsia="en-US"/>
    </w:rPr>
  </w:style>
  <w:style w:type="character" w:customStyle="1" w:styleId="HChGChar">
    <w:name w:val="_ H _Ch_G Char"/>
    <w:link w:val="HChG"/>
    <w:rsid w:val="00437FA2"/>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B359E-70C2-4F4B-8309-8832A80E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2</TotalTime>
  <Pages>2</Pages>
  <Words>403</Words>
  <Characters>2303</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5</cp:revision>
  <cp:lastPrinted>2018-02-14T11:01:00Z</cp:lastPrinted>
  <dcterms:created xsi:type="dcterms:W3CDTF">2018-02-14T11:02:00Z</dcterms:created>
  <dcterms:modified xsi:type="dcterms:W3CDTF">2018-02-14T11:08:00Z</dcterms:modified>
</cp:coreProperties>
</file>