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D2AD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D2AD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D2AD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D2AD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66561">
              <w:fldChar w:fldCharType="begin"/>
            </w:r>
            <w:r w:rsidR="00566561">
              <w:instrText xml:space="preserve"> FILLIN  "Введите символ после ЕCE/"  \* MERGEFORMAT </w:instrText>
            </w:r>
            <w:r w:rsidR="00566561">
              <w:fldChar w:fldCharType="separate"/>
            </w:r>
            <w:r w:rsidR="00D051BB">
              <w:t>TRANS/WP.5/60</w:t>
            </w:r>
            <w:r w:rsidR="0056656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9D2AD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D2AD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D2AD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D2AD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6656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8F364E" w:rsidP="009D2ADD">
            <w:fldSimple w:instr=" FILLIN  &quot;Введите дату документа&quot; \* MERGEFORMAT ">
              <w:r w:rsidR="00D051BB">
                <w:t>22 November 2016</w:t>
              </w:r>
            </w:fldSimple>
          </w:p>
          <w:p w:rsidR="00A658DB" w:rsidRPr="00245892" w:rsidRDefault="00A658DB" w:rsidP="009D2ADD">
            <w:r w:rsidRPr="00245892">
              <w:t>Russian</w:t>
            </w:r>
          </w:p>
          <w:p w:rsidR="00A658DB" w:rsidRPr="00245892" w:rsidRDefault="00A658DB" w:rsidP="009D2AD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6656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9D2AD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2ADD" w:rsidRPr="009D2ADD" w:rsidRDefault="009D2ADD" w:rsidP="009D2ADD">
      <w:pPr>
        <w:pStyle w:val="SingleTxtGR"/>
        <w:spacing w:before="120"/>
        <w:ind w:left="0"/>
        <w:jc w:val="left"/>
        <w:rPr>
          <w:sz w:val="28"/>
        </w:rPr>
      </w:pPr>
      <w:r w:rsidRPr="009D2ADD">
        <w:rPr>
          <w:sz w:val="28"/>
        </w:rPr>
        <w:t>Комитет по внутреннему транспорту</w:t>
      </w:r>
    </w:p>
    <w:p w:rsidR="009D2ADD" w:rsidRPr="009D2ADD" w:rsidRDefault="009D2ADD" w:rsidP="009D2ADD">
      <w:pPr>
        <w:pStyle w:val="SingleTxtGR"/>
        <w:ind w:left="0"/>
        <w:jc w:val="left"/>
        <w:rPr>
          <w:b/>
          <w:bCs/>
          <w:sz w:val="24"/>
        </w:rPr>
      </w:pPr>
      <w:r w:rsidRPr="009D2ADD">
        <w:rPr>
          <w:b/>
          <w:sz w:val="24"/>
        </w:rPr>
        <w:t xml:space="preserve">Рабочая группа по тенденциям </w:t>
      </w:r>
      <w:r w:rsidRPr="009D2ADD">
        <w:rPr>
          <w:rFonts w:hint="eastAsia"/>
          <w:b/>
          <w:sz w:val="24"/>
        </w:rPr>
        <w:br/>
      </w:r>
      <w:r w:rsidRPr="009D2ADD">
        <w:rPr>
          <w:b/>
          <w:sz w:val="24"/>
        </w:rPr>
        <w:t>и экономике транспорта</w:t>
      </w:r>
    </w:p>
    <w:p w:rsidR="009D2ADD" w:rsidRPr="009D2ADD" w:rsidRDefault="009D2ADD" w:rsidP="009D2ADD">
      <w:pPr>
        <w:pStyle w:val="SingleTxtGR"/>
        <w:ind w:left="0"/>
        <w:jc w:val="left"/>
      </w:pPr>
      <w:r w:rsidRPr="009D2ADD">
        <w:rPr>
          <w:b/>
        </w:rPr>
        <w:t>Двадцать девятая сессия</w:t>
      </w:r>
      <w:r w:rsidRPr="009D2ADD">
        <w:rPr>
          <w:b/>
        </w:rPr>
        <w:br/>
      </w:r>
      <w:r w:rsidRPr="009D2ADD">
        <w:t>Женева, 5−7 сентября 2016 года</w:t>
      </w:r>
    </w:p>
    <w:p w:rsidR="009D2ADD" w:rsidRPr="009D2ADD" w:rsidRDefault="009D2ADD" w:rsidP="009D2ADD">
      <w:pPr>
        <w:pStyle w:val="HChGR"/>
      </w:pPr>
      <w:r w:rsidRPr="009D2ADD">
        <w:tab/>
      </w:r>
      <w:r w:rsidRPr="009D2ADD">
        <w:tab/>
        <w:t>Доклад Рабочей группы по тенденциям и экономике транспорта о работе ее двадцать девятой сессии</w:t>
      </w:r>
    </w:p>
    <w:p w:rsidR="009D2ADD" w:rsidRDefault="009D2ADD" w:rsidP="009D2ADD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t>Содержание</w:t>
      </w:r>
    </w:p>
    <w:p w:rsidR="009D2ADD" w:rsidRDefault="009D2ADD" w:rsidP="009D2AD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9D2ADD" w:rsidRPr="0077531E" w:rsidRDefault="009D2ADD" w:rsidP="009D2AD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  <w:t>I.</w:t>
      </w:r>
      <w:r w:rsidRPr="009D2ADD">
        <w:tab/>
        <w:t>Участники</w:t>
      </w:r>
      <w:r w:rsidRPr="009D2ADD">
        <w:tab/>
      </w:r>
      <w:r w:rsidRPr="009D2ADD">
        <w:tab/>
        <w:t>1–5</w:t>
      </w:r>
      <w:r w:rsidRPr="009D2ADD">
        <w:tab/>
      </w:r>
      <w:r w:rsidR="0077531E" w:rsidRPr="0077531E">
        <w:t>4</w:t>
      </w:r>
    </w:p>
    <w:p w:rsidR="009D2ADD" w:rsidRPr="0077531E" w:rsidRDefault="009D2ADD" w:rsidP="009D2AD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  <w:t>II.</w:t>
      </w:r>
      <w:r w:rsidRPr="009D2ADD">
        <w:tab/>
        <w:t>Утверждение повестки дня (пункт 1 повестки дня)</w:t>
      </w:r>
      <w:r w:rsidRPr="009D2ADD">
        <w:tab/>
      </w:r>
      <w:r w:rsidRPr="008176E7">
        <w:tab/>
      </w:r>
      <w:r w:rsidR="008176E7">
        <w:t>6</w:t>
      </w:r>
      <w:r w:rsidR="0077531E" w:rsidRPr="0077531E">
        <w:tab/>
        <w:t>4</w:t>
      </w:r>
    </w:p>
    <w:p w:rsidR="009D2ADD" w:rsidRPr="0077531E" w:rsidRDefault="009D2ADD" w:rsidP="009D2AD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Pr="009D2ADD">
        <w:rPr>
          <w:lang w:val="en-GB"/>
        </w:rPr>
        <w:t>III</w:t>
      </w:r>
      <w:r w:rsidRPr="009D2ADD">
        <w:t>.</w:t>
      </w:r>
      <w:r w:rsidRPr="009D2ADD">
        <w:tab/>
        <w:t xml:space="preserve">Рабочее совещание на тему: </w:t>
      </w:r>
      <w:r w:rsidR="00CC6BAB">
        <w:t>«</w:t>
      </w:r>
      <w:r w:rsidRPr="009D2ADD">
        <w:t xml:space="preserve">Транспортные исследования </w:t>
      </w:r>
      <w:r w:rsidR="008176E7" w:rsidRPr="008176E7">
        <w:br/>
      </w:r>
      <w:r w:rsidR="008176E7" w:rsidRPr="008176E7">
        <w:tab/>
      </w:r>
      <w:r w:rsidR="008176E7" w:rsidRPr="008176E7">
        <w:tab/>
      </w:r>
      <w:r w:rsidRPr="009D2ADD">
        <w:t>и инновации</w:t>
      </w:r>
      <w:r w:rsidR="00CC6BAB">
        <w:t>»</w:t>
      </w:r>
      <w:r w:rsidRPr="009D2ADD">
        <w:t xml:space="preserve"> (пункт 2 повестки дня)</w:t>
      </w:r>
      <w:r w:rsidR="008176E7" w:rsidRPr="008176E7">
        <w:tab/>
      </w:r>
      <w:r w:rsidR="008176E7" w:rsidRPr="008176E7">
        <w:tab/>
      </w:r>
      <w:r w:rsidR="008176E7">
        <w:t>7</w:t>
      </w:r>
      <w:r w:rsidR="008176E7" w:rsidRPr="00033EF3">
        <w:t>–1</w:t>
      </w:r>
      <w:r w:rsidR="008176E7">
        <w:t>1</w:t>
      </w:r>
      <w:r w:rsidR="0077531E" w:rsidRPr="0077531E">
        <w:tab/>
        <w:t>4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="009D2ADD" w:rsidRPr="008176E7">
        <w:t>IV.</w:t>
      </w:r>
      <w:r w:rsidR="009D2ADD" w:rsidRPr="008176E7">
        <w:tab/>
        <w:t xml:space="preserve">Рабочее совещание на тему: </w:t>
      </w:r>
      <w:r w:rsidR="00CC6BAB">
        <w:t>«</w:t>
      </w:r>
      <w:r w:rsidR="009D2ADD" w:rsidRPr="008176E7">
        <w:t>Транспортная</w:t>
      </w:r>
      <w:r w:rsidR="009D2ADD" w:rsidRPr="009D2ADD">
        <w:t xml:space="preserve"> инфраструктура </w:t>
      </w:r>
      <w:r w:rsidRPr="008176E7">
        <w:br/>
      </w:r>
      <w:r w:rsidRPr="008176E7">
        <w:tab/>
      </w:r>
      <w:r w:rsidRPr="008176E7">
        <w:tab/>
      </w:r>
      <w:r w:rsidR="009D2ADD" w:rsidRPr="009D2ADD">
        <w:t>первостепенной важности и кибербезопасность</w:t>
      </w:r>
      <w:r w:rsidR="00CC6BAB">
        <w:t>»</w:t>
      </w:r>
      <w:r w:rsidR="009D2ADD" w:rsidRPr="009D2ADD">
        <w:t xml:space="preserve"> </w:t>
      </w:r>
      <w:r w:rsidRPr="008176E7">
        <w:br/>
      </w:r>
      <w:r w:rsidRPr="008176E7">
        <w:tab/>
      </w:r>
      <w:r w:rsidRPr="008176E7">
        <w:tab/>
      </w:r>
      <w:r w:rsidR="009D2ADD" w:rsidRPr="009D2ADD">
        <w:t>(пункт 3 повестки дня)</w:t>
      </w:r>
      <w:r w:rsidRPr="008176E7">
        <w:tab/>
      </w:r>
      <w:r w:rsidRPr="008176E7">
        <w:tab/>
      </w:r>
      <w:r>
        <w:t>12–16</w:t>
      </w:r>
      <w:r w:rsidR="0077531E" w:rsidRPr="0077531E">
        <w:tab/>
        <w:t>7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="009D2ADD" w:rsidRPr="008176E7">
        <w:t>V</w:t>
      </w:r>
      <w:r w:rsidR="009D2ADD" w:rsidRPr="009D2ADD">
        <w:t>.</w:t>
      </w:r>
      <w:r w:rsidR="009D2ADD" w:rsidRPr="009D2ADD">
        <w:tab/>
        <w:t xml:space="preserve">Связи между портами и внутренними районами </w:t>
      </w:r>
      <w:r w:rsidRPr="008176E7">
        <w:br/>
      </w:r>
      <w:r w:rsidRPr="008176E7">
        <w:tab/>
      </w:r>
      <w:r w:rsidRPr="008176E7">
        <w:tab/>
      </w:r>
      <w:r w:rsidR="009D2ADD" w:rsidRPr="009D2ADD">
        <w:t>(пункт 4 повестки дня)</w:t>
      </w:r>
      <w:r w:rsidRPr="008176E7">
        <w:tab/>
      </w:r>
      <w:r w:rsidRPr="008176E7">
        <w:tab/>
      </w:r>
      <w:r>
        <w:t>17–20</w:t>
      </w:r>
      <w:r w:rsidR="0077531E" w:rsidRPr="0077531E">
        <w:tab/>
        <w:t>8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="009D2ADD" w:rsidRPr="008176E7">
        <w:t>VI</w:t>
      </w:r>
      <w:r w:rsidR="009D2ADD" w:rsidRPr="009D2ADD">
        <w:t>.</w:t>
      </w:r>
      <w:r w:rsidR="009D2ADD" w:rsidRPr="009D2ADD">
        <w:tab/>
        <w:t xml:space="preserve">Отслеживание изменений в общеевропейских транспортных сетях </w:t>
      </w:r>
      <w:r w:rsidRPr="008176E7">
        <w:br/>
      </w:r>
      <w:r w:rsidRPr="008176E7">
        <w:tab/>
      </w:r>
      <w:r w:rsidRPr="008176E7">
        <w:tab/>
      </w:r>
      <w:r w:rsidR="009D2ADD" w:rsidRPr="009D2ADD">
        <w:t>(пункт 5 повестки дня)</w:t>
      </w:r>
      <w:r w:rsidRPr="008176E7">
        <w:tab/>
      </w:r>
      <w:r w:rsidRPr="008176E7">
        <w:tab/>
      </w:r>
      <w:r>
        <w:t>21–26</w:t>
      </w:r>
      <w:r w:rsidR="0077531E" w:rsidRPr="0077531E">
        <w:tab/>
        <w:t>9</w:t>
      </w:r>
    </w:p>
    <w:p w:rsidR="009D2ADD" w:rsidRPr="0077531E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="008176E7" w:rsidRPr="008176E7">
        <w:tab/>
      </w:r>
      <w:r w:rsidRPr="008176E7">
        <w:t>A</w:t>
      </w:r>
      <w:r w:rsidRPr="009D2ADD">
        <w:t>.</w:t>
      </w:r>
      <w:r w:rsidRPr="009D2ADD">
        <w:tab/>
        <w:t xml:space="preserve">Краткое сообщение Европейской комиссии о ходе формирования </w:t>
      </w:r>
      <w:r w:rsidR="008176E7" w:rsidRPr="008176E7">
        <w:br/>
      </w:r>
      <w:r w:rsidR="008176E7" w:rsidRPr="008176E7">
        <w:tab/>
      </w:r>
      <w:r w:rsidR="008176E7" w:rsidRPr="008176E7">
        <w:tab/>
      </w:r>
      <w:r w:rsidR="008176E7" w:rsidRPr="008176E7">
        <w:tab/>
      </w:r>
      <w:r w:rsidRPr="009D2ADD">
        <w:t>Трансъевропейской транспортной сети</w:t>
      </w:r>
      <w:r w:rsidR="008176E7" w:rsidRPr="008176E7">
        <w:tab/>
      </w:r>
      <w:r w:rsidR="008176E7" w:rsidRPr="008176E7">
        <w:tab/>
        <w:t>21</w:t>
      </w:r>
      <w:r w:rsidR="0077531E" w:rsidRPr="0077531E">
        <w:tab/>
        <w:t>9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Pr="008176E7">
        <w:tab/>
      </w:r>
      <w:r w:rsidR="009D2ADD" w:rsidRPr="008176E7">
        <w:t>B</w:t>
      </w:r>
      <w:r w:rsidR="009D2ADD" w:rsidRPr="009D2ADD">
        <w:t>.</w:t>
      </w:r>
      <w:r w:rsidR="009D2ADD" w:rsidRPr="009D2ADD">
        <w:tab/>
        <w:t xml:space="preserve">Проекты Трансъевропейской автомагистрали </w:t>
      </w:r>
      <w:r w:rsidRPr="008176E7">
        <w:br/>
      </w:r>
      <w:r w:rsidRPr="008176E7">
        <w:tab/>
      </w:r>
      <w:r w:rsidRPr="008176E7">
        <w:tab/>
      </w:r>
      <w:r w:rsidRPr="008176E7">
        <w:tab/>
      </w:r>
      <w:r w:rsidR="009D2ADD" w:rsidRPr="009D2ADD">
        <w:t>и Трансъевропейской железнодорожной магистрали</w:t>
      </w:r>
      <w:r w:rsidRPr="008176E7">
        <w:tab/>
      </w:r>
      <w:r w:rsidRPr="008176E7">
        <w:tab/>
      </w:r>
      <w:r>
        <w:t>22–26</w:t>
      </w:r>
      <w:r w:rsidR="0077531E" w:rsidRPr="0077531E">
        <w:tab/>
        <w:t>9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="009D2ADD" w:rsidRPr="008176E7">
        <w:t>VII</w:t>
      </w:r>
      <w:r w:rsidR="009D2ADD" w:rsidRPr="009D2ADD">
        <w:t>.</w:t>
      </w:r>
      <w:r w:rsidR="009D2ADD" w:rsidRPr="009D2ADD">
        <w:tab/>
        <w:t>Транспорт в Средиземноморском регионе (пункт 6 повестки дня)</w:t>
      </w:r>
      <w:r w:rsidRPr="008176E7">
        <w:tab/>
      </w:r>
      <w:r w:rsidRPr="008176E7">
        <w:tab/>
      </w:r>
      <w:r>
        <w:t>27–32</w:t>
      </w:r>
      <w:r w:rsidR="0077531E" w:rsidRPr="0077531E">
        <w:tab/>
        <w:t>11</w:t>
      </w:r>
    </w:p>
    <w:p w:rsidR="009D2ADD" w:rsidRPr="0077531E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="008176E7" w:rsidRPr="008176E7">
        <w:tab/>
      </w:r>
      <w:r w:rsidRPr="008176E7">
        <w:t>A</w:t>
      </w:r>
      <w:r w:rsidRPr="009D2ADD">
        <w:t>.</w:t>
      </w:r>
      <w:r w:rsidRPr="009D2ADD">
        <w:tab/>
        <w:t xml:space="preserve">Доклад Центра транспортных исследований </w:t>
      </w:r>
      <w:r w:rsidR="008176E7" w:rsidRPr="008176E7">
        <w:br/>
      </w:r>
      <w:r w:rsidR="008176E7" w:rsidRPr="008176E7">
        <w:tab/>
      </w:r>
      <w:r w:rsidR="008176E7" w:rsidRPr="008176E7">
        <w:tab/>
      </w:r>
      <w:r w:rsidR="008176E7" w:rsidRPr="008176E7">
        <w:tab/>
      </w:r>
      <w:r w:rsidRPr="009D2ADD">
        <w:t>для Средиземноморья</w:t>
      </w:r>
      <w:r w:rsidR="008176E7" w:rsidRPr="008176E7">
        <w:tab/>
      </w:r>
      <w:r w:rsidR="008176E7" w:rsidRPr="008176E7">
        <w:tab/>
      </w:r>
      <w:r w:rsidR="008176E7">
        <w:t>27–30</w:t>
      </w:r>
      <w:r w:rsidR="0077531E" w:rsidRPr="0077531E">
        <w:tab/>
        <w:t>11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lastRenderedPageBreak/>
        <w:tab/>
      </w:r>
      <w:r w:rsidRPr="008176E7">
        <w:tab/>
      </w:r>
      <w:r w:rsidR="009D2ADD" w:rsidRPr="008176E7">
        <w:t>B</w:t>
      </w:r>
      <w:r w:rsidR="009D2ADD" w:rsidRPr="009D2ADD">
        <w:t>.</w:t>
      </w:r>
      <w:r w:rsidR="009D2ADD" w:rsidRPr="009D2ADD">
        <w:tab/>
        <w:t>Евро-средиземноморская транспортная сеть</w:t>
      </w:r>
      <w:r w:rsidRPr="008176E7">
        <w:tab/>
      </w:r>
      <w:r w:rsidRPr="008176E7">
        <w:tab/>
        <w:t>31</w:t>
      </w:r>
      <w:r w:rsidR="0077531E" w:rsidRPr="0077531E">
        <w:tab/>
        <w:t>11</w:t>
      </w:r>
    </w:p>
    <w:p w:rsidR="009D2ADD" w:rsidRPr="0077531E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="008176E7" w:rsidRPr="008176E7">
        <w:tab/>
      </w:r>
      <w:r w:rsidRPr="008176E7">
        <w:t>C</w:t>
      </w:r>
      <w:r w:rsidRPr="009D2ADD">
        <w:t>.</w:t>
      </w:r>
      <w:r w:rsidRPr="009D2ADD">
        <w:tab/>
        <w:t>Доклад Союза для Средиземноморья</w:t>
      </w:r>
      <w:r w:rsidR="008176E7" w:rsidRPr="008176E7">
        <w:tab/>
      </w:r>
      <w:r w:rsidR="008176E7" w:rsidRPr="008176E7">
        <w:tab/>
        <w:t>32</w:t>
      </w:r>
      <w:r w:rsidR="0077531E" w:rsidRPr="0077531E">
        <w:tab/>
        <w:t>11</w:t>
      </w:r>
    </w:p>
    <w:p w:rsidR="009D2ADD" w:rsidRPr="0077531E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Pr="008176E7">
        <w:t>VIII</w:t>
      </w:r>
      <w:r w:rsidRPr="009D2ADD">
        <w:t>.</w:t>
      </w:r>
      <w:r w:rsidRPr="009D2ADD">
        <w:tab/>
        <w:t>Евро-азиатские транспортные связи (пункт 7 повестки дня)</w:t>
      </w:r>
      <w:r w:rsidR="008176E7" w:rsidRPr="008176E7">
        <w:tab/>
      </w:r>
      <w:r w:rsidR="008176E7" w:rsidRPr="008176E7">
        <w:tab/>
      </w:r>
      <w:r w:rsidR="008176E7">
        <w:t>33–39</w:t>
      </w:r>
      <w:r w:rsidR="0077531E" w:rsidRPr="0077531E">
        <w:tab/>
        <w:t>12</w:t>
      </w:r>
    </w:p>
    <w:p w:rsidR="009D2ADD" w:rsidRPr="0077531E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="008176E7" w:rsidRPr="008176E7">
        <w:tab/>
      </w:r>
      <w:r w:rsidRPr="008176E7">
        <w:t>A</w:t>
      </w:r>
      <w:r w:rsidRPr="009D2ADD">
        <w:t>.</w:t>
      </w:r>
      <w:r w:rsidRPr="009D2ADD">
        <w:tab/>
        <w:t>Ход работы по евро-азиатским транспортным связям (ЕАТС)</w:t>
      </w:r>
      <w:r w:rsidR="008176E7" w:rsidRPr="008176E7">
        <w:tab/>
      </w:r>
      <w:r w:rsidR="008176E7" w:rsidRPr="008176E7">
        <w:tab/>
      </w:r>
      <w:r w:rsidR="008176E7">
        <w:t>33–35</w:t>
      </w:r>
      <w:r w:rsidR="0077531E" w:rsidRPr="0077531E">
        <w:tab/>
        <w:t>12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Pr="008176E7">
        <w:tab/>
      </w:r>
      <w:r w:rsidR="009D2ADD" w:rsidRPr="008176E7">
        <w:t>B</w:t>
      </w:r>
      <w:r w:rsidR="009D2ADD" w:rsidRPr="009D2ADD">
        <w:t>.</w:t>
      </w:r>
      <w:r w:rsidR="009D2ADD" w:rsidRPr="009D2ADD">
        <w:tab/>
        <w:t xml:space="preserve">Автотранспортные и железнодорожные коридоры в Европе </w:t>
      </w:r>
      <w:r w:rsidRPr="008176E7">
        <w:br/>
      </w:r>
      <w:r w:rsidRPr="008176E7">
        <w:tab/>
      </w:r>
      <w:r w:rsidRPr="008176E7">
        <w:tab/>
      </w:r>
      <w:r w:rsidRPr="008176E7">
        <w:tab/>
      </w:r>
      <w:r w:rsidR="009D2ADD" w:rsidRPr="009D2ADD">
        <w:t>и Азии</w:t>
      </w:r>
      <w:r w:rsidRPr="008176E7">
        <w:tab/>
      </w:r>
      <w:r w:rsidRPr="008176E7">
        <w:tab/>
      </w:r>
      <w:r>
        <w:t>36–38</w:t>
      </w:r>
      <w:r w:rsidR="0077531E" w:rsidRPr="0077531E">
        <w:tab/>
        <w:t>12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Pr="008176E7">
        <w:tab/>
      </w:r>
      <w:r w:rsidR="009D2ADD" w:rsidRPr="008176E7">
        <w:t>C</w:t>
      </w:r>
      <w:r w:rsidR="009D2ADD" w:rsidRPr="009D2ADD">
        <w:t>.</w:t>
      </w:r>
      <w:r w:rsidR="009D2ADD" w:rsidRPr="009D2ADD">
        <w:tab/>
        <w:t>Другие евро-азиатские транспортные инициативы</w:t>
      </w:r>
      <w:r w:rsidRPr="008176E7">
        <w:tab/>
      </w:r>
      <w:r w:rsidRPr="008176E7">
        <w:tab/>
        <w:t>39</w:t>
      </w:r>
      <w:r w:rsidR="0077531E" w:rsidRPr="0077531E">
        <w:tab/>
        <w:t>13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="009D2ADD" w:rsidRPr="008176E7">
        <w:t>IX</w:t>
      </w:r>
      <w:r w:rsidR="009D2ADD" w:rsidRPr="009D2ADD">
        <w:t>.</w:t>
      </w:r>
      <w:r w:rsidR="009D2ADD" w:rsidRPr="009D2ADD">
        <w:tab/>
        <w:t xml:space="preserve">Группа экспертов по сопоставительному анализу затрат </w:t>
      </w:r>
      <w:r w:rsidR="00396614">
        <w:br/>
      </w:r>
      <w:r w:rsidR="00396614">
        <w:tab/>
      </w:r>
      <w:r w:rsidR="00396614">
        <w:tab/>
      </w:r>
      <w:r w:rsidR="009D2ADD" w:rsidRPr="009D2ADD">
        <w:t>на строительство транспортной инфраструктуры</w:t>
      </w:r>
      <w:r w:rsidR="009D2ADD" w:rsidRPr="009D2ADD" w:rsidDel="007B54E1">
        <w:t xml:space="preserve"> </w:t>
      </w:r>
      <w:r w:rsidRPr="008176E7">
        <w:br/>
      </w:r>
      <w:r w:rsidRPr="008176E7">
        <w:tab/>
      </w:r>
      <w:r w:rsidRPr="008176E7">
        <w:tab/>
      </w:r>
      <w:r w:rsidR="009D2ADD" w:rsidRPr="009D2ADD">
        <w:t>(пункт 8 повестки дня)</w:t>
      </w:r>
      <w:r w:rsidRPr="008176E7">
        <w:tab/>
      </w:r>
      <w:r w:rsidRPr="008176E7">
        <w:tab/>
      </w:r>
      <w:r>
        <w:t>40–43</w:t>
      </w:r>
      <w:r w:rsidR="0077531E" w:rsidRPr="0077531E">
        <w:tab/>
        <w:t>13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="009D2ADD" w:rsidRPr="008176E7">
        <w:t>X</w:t>
      </w:r>
      <w:r w:rsidR="009D2ADD" w:rsidRPr="009D2ADD">
        <w:t>.</w:t>
      </w:r>
      <w:r w:rsidR="009D2ADD" w:rsidRPr="009D2ADD">
        <w:tab/>
      </w:r>
      <w:r w:rsidR="009D2ADD" w:rsidRPr="008176E7">
        <w:t xml:space="preserve">Городская мобильность и общественный транспорт: общеевропейский </w:t>
      </w:r>
      <w:r w:rsidRPr="008176E7">
        <w:br/>
      </w:r>
      <w:r w:rsidRPr="008176E7">
        <w:tab/>
      </w:r>
      <w:r w:rsidRPr="008176E7">
        <w:tab/>
      </w:r>
      <w:r w:rsidR="009D2ADD" w:rsidRPr="008176E7">
        <w:t>генеральный план для велосипедного движения</w:t>
      </w:r>
      <w:r w:rsidR="009D2ADD" w:rsidRPr="009D2ADD">
        <w:t xml:space="preserve"> </w:t>
      </w:r>
      <w:r w:rsidRPr="008176E7">
        <w:br/>
      </w:r>
      <w:r w:rsidRPr="008176E7">
        <w:tab/>
      </w:r>
      <w:r w:rsidRPr="008176E7">
        <w:tab/>
      </w:r>
      <w:r w:rsidR="009D2ADD" w:rsidRPr="009D2ADD">
        <w:t>(пункт 9 повестки дня)</w:t>
      </w:r>
      <w:r w:rsidRPr="008176E7">
        <w:tab/>
      </w:r>
      <w:r w:rsidRPr="008176E7">
        <w:tab/>
      </w:r>
      <w:r>
        <w:t>44–48</w:t>
      </w:r>
      <w:r w:rsidR="0077531E" w:rsidRPr="0077531E">
        <w:tab/>
        <w:t>13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="009D2ADD" w:rsidRPr="008176E7">
        <w:t>XI</w:t>
      </w:r>
      <w:r w:rsidR="009D2ADD" w:rsidRPr="009D2ADD">
        <w:t>.</w:t>
      </w:r>
      <w:r w:rsidR="009D2ADD" w:rsidRPr="009D2ADD">
        <w:tab/>
        <w:t>Изменение климата и транспорт (пункт 10 повестки дня)</w:t>
      </w:r>
      <w:r w:rsidRPr="008176E7">
        <w:tab/>
      </w:r>
      <w:r w:rsidRPr="008176E7">
        <w:tab/>
      </w:r>
      <w:r>
        <w:t>49–55</w:t>
      </w:r>
      <w:r w:rsidR="0077531E" w:rsidRPr="0077531E">
        <w:tab/>
        <w:t>15</w:t>
      </w:r>
    </w:p>
    <w:p w:rsidR="009D2ADD" w:rsidRPr="0077531E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="008176E7" w:rsidRPr="008176E7">
        <w:tab/>
      </w:r>
      <w:r w:rsidRPr="008176E7">
        <w:t>A</w:t>
      </w:r>
      <w:r w:rsidRPr="009D2ADD">
        <w:t>.</w:t>
      </w:r>
      <w:r w:rsidRPr="009D2ADD">
        <w:tab/>
        <w:t xml:space="preserve">Группа экспертов по последствиям изменения климата </w:t>
      </w:r>
      <w:r w:rsidR="008176E7" w:rsidRPr="008176E7">
        <w:br/>
      </w:r>
      <w:r w:rsidR="008176E7" w:rsidRPr="008176E7">
        <w:tab/>
      </w:r>
      <w:r w:rsidR="008176E7" w:rsidRPr="008176E7">
        <w:tab/>
      </w:r>
      <w:r w:rsidR="008176E7" w:rsidRPr="008176E7">
        <w:tab/>
      </w:r>
      <w:r w:rsidRPr="009D2ADD">
        <w:t xml:space="preserve">для международных транспортных сетей и узлов и адаптации </w:t>
      </w:r>
      <w:r w:rsidR="008176E7" w:rsidRPr="008176E7">
        <w:br/>
      </w:r>
      <w:r w:rsidR="008176E7" w:rsidRPr="008176E7">
        <w:tab/>
      </w:r>
      <w:r w:rsidR="008176E7" w:rsidRPr="008176E7">
        <w:tab/>
      </w:r>
      <w:r w:rsidR="008176E7" w:rsidRPr="008176E7">
        <w:tab/>
      </w:r>
      <w:r w:rsidRPr="009D2ADD">
        <w:t>к ним</w:t>
      </w:r>
      <w:r w:rsidR="008176E7" w:rsidRPr="008176E7">
        <w:tab/>
      </w:r>
      <w:r w:rsidR="008176E7" w:rsidRPr="008176E7">
        <w:tab/>
      </w:r>
      <w:r w:rsidR="008176E7">
        <w:t>49–50</w:t>
      </w:r>
      <w:r w:rsidR="0077531E" w:rsidRPr="0077531E">
        <w:tab/>
        <w:t>15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Pr="008176E7">
        <w:tab/>
      </w:r>
      <w:r w:rsidR="009D2ADD" w:rsidRPr="008176E7">
        <w:t>B</w:t>
      </w:r>
      <w:r w:rsidR="009D2ADD" w:rsidRPr="009D2ADD">
        <w:t>.</w:t>
      </w:r>
      <w:r w:rsidR="009D2ADD" w:rsidRPr="009D2ADD">
        <w:tab/>
        <w:t xml:space="preserve">Смягчение последствий изменения климата: инструмент </w:t>
      </w:r>
      <w:r w:rsidR="009D2ADD" w:rsidRPr="008176E7">
        <w:t>ForFITS</w:t>
      </w:r>
      <w:r w:rsidR="009D2ADD" w:rsidRPr="009D2ADD">
        <w:t xml:space="preserve"> </w:t>
      </w:r>
      <w:r w:rsidRPr="008176E7">
        <w:br/>
      </w:r>
      <w:r w:rsidRPr="008176E7">
        <w:tab/>
      </w:r>
      <w:r w:rsidRPr="008176E7">
        <w:tab/>
      </w:r>
      <w:r w:rsidRPr="008176E7">
        <w:tab/>
      </w:r>
      <w:r w:rsidR="009D2ADD" w:rsidRPr="009D2ADD">
        <w:t>ЕЭК ООН</w:t>
      </w:r>
      <w:r w:rsidRPr="008176E7">
        <w:tab/>
      </w:r>
      <w:r w:rsidRPr="008176E7">
        <w:tab/>
      </w:r>
      <w:r>
        <w:t>51–53</w:t>
      </w:r>
      <w:r w:rsidR="0077531E" w:rsidRPr="0077531E">
        <w:tab/>
        <w:t>15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8176E7">
        <w:tab/>
      </w:r>
      <w:r w:rsidRPr="008176E7">
        <w:tab/>
      </w:r>
      <w:r w:rsidR="009D2ADD" w:rsidRPr="008176E7">
        <w:t>C</w:t>
      </w:r>
      <w:r w:rsidR="009D2ADD" w:rsidRPr="009D2ADD">
        <w:t>.</w:t>
      </w:r>
      <w:r w:rsidR="009D2ADD" w:rsidRPr="009D2ADD">
        <w:tab/>
        <w:t>Выбросы дизельными двигателями</w:t>
      </w:r>
      <w:r w:rsidRPr="00CC6BAB">
        <w:tab/>
      </w:r>
      <w:r w:rsidR="00CC6BAB" w:rsidRPr="00CC6BAB">
        <w:tab/>
      </w:r>
      <w:r w:rsidR="00CC6BAB">
        <w:t>54–55</w:t>
      </w:r>
      <w:r w:rsidR="0077531E" w:rsidRPr="0077531E">
        <w:tab/>
        <w:t>16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CC6BAB">
        <w:tab/>
      </w:r>
      <w:r w:rsidR="009D2ADD" w:rsidRPr="008176E7">
        <w:t>XII</w:t>
      </w:r>
      <w:r w:rsidR="009D2ADD" w:rsidRPr="009D2ADD">
        <w:t>.</w:t>
      </w:r>
      <w:r w:rsidR="009D2ADD" w:rsidRPr="009D2ADD">
        <w:tab/>
        <w:t xml:space="preserve">Обзор ситуации на транспорте, тенденций и экономики транспорта </w:t>
      </w:r>
      <w:r w:rsidRPr="008176E7">
        <w:br/>
      </w:r>
      <w:r w:rsidRPr="008176E7">
        <w:tab/>
      </w:r>
      <w:r w:rsidRPr="008176E7">
        <w:tab/>
      </w:r>
      <w:r w:rsidR="009D2ADD" w:rsidRPr="009D2ADD">
        <w:t>в регионе ЕЭК (пункт 11 повестки дня)</w:t>
      </w:r>
      <w:r w:rsidRPr="00CC6BAB">
        <w:tab/>
      </w:r>
      <w:r w:rsidR="00CC6BAB" w:rsidRPr="00CC6BAB">
        <w:tab/>
      </w:r>
      <w:r w:rsidR="00CC6BAB">
        <w:t>56–70</w:t>
      </w:r>
      <w:r w:rsidR="0077531E" w:rsidRPr="0077531E">
        <w:tab/>
        <w:t>16</w:t>
      </w:r>
    </w:p>
    <w:p w:rsidR="009D2ADD" w:rsidRPr="0077531E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="008176E7" w:rsidRPr="00CC6BAB">
        <w:tab/>
      </w:r>
      <w:r w:rsidRPr="008176E7">
        <w:t>A</w:t>
      </w:r>
      <w:r w:rsidRPr="009D2ADD">
        <w:t>.</w:t>
      </w:r>
      <w:r w:rsidRPr="009D2ADD">
        <w:tab/>
      </w:r>
      <w:r w:rsidRPr="008176E7">
        <w:t>T</w:t>
      </w:r>
      <w:r w:rsidRPr="009D2ADD">
        <w:t xml:space="preserve">енденции и экономика транспорта в 2016–2017 годах: </w:t>
      </w:r>
      <w:r w:rsidR="008176E7" w:rsidRPr="008176E7">
        <w:br/>
      </w:r>
      <w:r w:rsidR="008176E7" w:rsidRPr="008176E7">
        <w:tab/>
      </w:r>
      <w:r w:rsidR="008176E7" w:rsidRPr="008176E7">
        <w:tab/>
      </w:r>
      <w:r w:rsidR="008176E7" w:rsidRPr="008176E7">
        <w:tab/>
      </w:r>
      <w:r w:rsidRPr="009D2ADD">
        <w:t xml:space="preserve">достижение целей в области устойчивого развития на основе </w:t>
      </w:r>
      <w:r w:rsidR="008176E7" w:rsidRPr="008176E7">
        <w:br/>
      </w:r>
      <w:r w:rsidR="008176E7" w:rsidRPr="008176E7">
        <w:tab/>
      </w:r>
      <w:r w:rsidR="008176E7" w:rsidRPr="008176E7">
        <w:tab/>
      </w:r>
      <w:r w:rsidR="008176E7" w:rsidRPr="008176E7">
        <w:tab/>
      </w:r>
      <w:r w:rsidRPr="009D2ADD">
        <w:t>развития устойчивого транспорта</w:t>
      </w:r>
      <w:r w:rsidR="008176E7" w:rsidRPr="00CC6BAB">
        <w:tab/>
      </w:r>
      <w:r w:rsidR="00CC6BAB" w:rsidRPr="00CC6BAB">
        <w:tab/>
      </w:r>
      <w:r w:rsidR="00CC6BAB">
        <w:t>56–57</w:t>
      </w:r>
      <w:r w:rsidR="0077531E" w:rsidRPr="0077531E">
        <w:tab/>
        <w:t>16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CC6BAB">
        <w:tab/>
      </w:r>
      <w:r w:rsidRPr="00CC6BAB">
        <w:tab/>
      </w:r>
      <w:r w:rsidR="009D2ADD" w:rsidRPr="008176E7">
        <w:t>B</w:t>
      </w:r>
      <w:r w:rsidR="009D2ADD" w:rsidRPr="009D2ADD">
        <w:t>.</w:t>
      </w:r>
      <w:r w:rsidR="009D2ADD" w:rsidRPr="009D2ADD">
        <w:tab/>
      </w:r>
      <w:r w:rsidR="009D2ADD" w:rsidRPr="008176E7">
        <w:t>T</w:t>
      </w:r>
      <w:r w:rsidR="009D2ADD" w:rsidRPr="009D2ADD">
        <w:t xml:space="preserve">енденции и экономика транспорта в 2014–2015 годах: </w:t>
      </w:r>
      <w:r w:rsidRPr="008176E7">
        <w:br/>
      </w:r>
      <w:r w:rsidRPr="008176E7">
        <w:tab/>
      </w:r>
      <w:r w:rsidRPr="008176E7">
        <w:tab/>
      </w:r>
      <w:r w:rsidRPr="008176E7">
        <w:tab/>
      </w:r>
      <w:r w:rsidR="009D2ADD" w:rsidRPr="009D2ADD">
        <w:t>финансирование транспортной инфраструктуры</w:t>
      </w:r>
      <w:r w:rsidRPr="00CC6BAB">
        <w:tab/>
      </w:r>
      <w:r w:rsidR="00CC6BAB" w:rsidRPr="00CC6BAB">
        <w:tab/>
        <w:t>58</w:t>
      </w:r>
      <w:r w:rsidR="0077531E" w:rsidRPr="0077531E">
        <w:tab/>
        <w:t>16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CC6BAB">
        <w:tab/>
      </w:r>
      <w:r w:rsidR="009D2ADD" w:rsidRPr="009D2ADD">
        <w:tab/>
      </w:r>
      <w:r w:rsidR="009D2ADD" w:rsidRPr="008176E7">
        <w:t>C</w:t>
      </w:r>
      <w:r w:rsidR="009D2ADD" w:rsidRPr="009D2ADD">
        <w:t>.</w:t>
      </w:r>
      <w:r w:rsidR="009D2ADD" w:rsidRPr="009D2ADD">
        <w:tab/>
      </w:r>
      <w:r w:rsidR="009D2ADD" w:rsidRPr="008176E7">
        <w:t>T</w:t>
      </w:r>
      <w:r w:rsidR="009D2ADD" w:rsidRPr="009D2ADD">
        <w:t xml:space="preserve">енденции и экономика транспорта в 2012−2013 годах: </w:t>
      </w:r>
      <w:r w:rsidRPr="008176E7">
        <w:br/>
      </w:r>
      <w:r w:rsidRPr="008176E7">
        <w:tab/>
      </w:r>
      <w:r w:rsidRPr="008176E7">
        <w:tab/>
      </w:r>
      <w:r w:rsidRPr="008176E7">
        <w:tab/>
      </w:r>
      <w:r w:rsidR="009D2ADD" w:rsidRPr="009D2ADD">
        <w:t>устойчивая городская мобильность и общественный транспорт</w:t>
      </w:r>
      <w:r w:rsidRPr="00CC6BAB">
        <w:tab/>
      </w:r>
      <w:r w:rsidR="00CC6BAB" w:rsidRPr="00CC6BAB">
        <w:tab/>
        <w:t>59</w:t>
      </w:r>
      <w:r w:rsidR="0077531E" w:rsidRPr="0077531E">
        <w:tab/>
        <w:t>16</w:t>
      </w:r>
    </w:p>
    <w:p w:rsidR="009D2ADD" w:rsidRPr="0077531E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Pr="009D2ADD">
        <w:tab/>
      </w:r>
      <w:r w:rsidRPr="008176E7">
        <w:t>D</w:t>
      </w:r>
      <w:r w:rsidRPr="009D2ADD">
        <w:t>.</w:t>
      </w:r>
      <w:r w:rsidRPr="009D2ADD">
        <w:tab/>
      </w:r>
      <w:r w:rsidRPr="008176E7">
        <w:t>T</w:t>
      </w:r>
      <w:r w:rsidRPr="009D2ADD">
        <w:t>ранспортные тенденции и вызовы в автомобильном секторе</w:t>
      </w:r>
      <w:r w:rsidR="008176E7" w:rsidRPr="00CC6BAB">
        <w:tab/>
      </w:r>
      <w:r w:rsidR="00CC6BAB" w:rsidRPr="00CC6BAB">
        <w:tab/>
      </w:r>
      <w:r w:rsidR="00CC6BAB">
        <w:t>60–63</w:t>
      </w:r>
      <w:r w:rsidR="0077531E" w:rsidRPr="0077531E">
        <w:tab/>
        <w:t>17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CC6BAB">
        <w:tab/>
      </w:r>
      <w:r w:rsidRPr="00CC6BAB">
        <w:tab/>
      </w:r>
      <w:r w:rsidR="009D2ADD" w:rsidRPr="008176E7">
        <w:t>E</w:t>
      </w:r>
      <w:r w:rsidR="009D2ADD" w:rsidRPr="009D2ADD">
        <w:t>.</w:t>
      </w:r>
      <w:r w:rsidR="009D2ADD" w:rsidRPr="009D2ADD">
        <w:tab/>
      </w:r>
      <w:r w:rsidR="009D2ADD" w:rsidRPr="008176E7">
        <w:t>T</w:t>
      </w:r>
      <w:r w:rsidR="009D2ADD" w:rsidRPr="009D2ADD">
        <w:t>ранспортные тенденции и вызовы в железнодорожном секторе</w:t>
      </w:r>
      <w:r w:rsidRPr="00CC6BAB">
        <w:tab/>
      </w:r>
      <w:r w:rsidR="00CC6BAB" w:rsidRPr="00CC6BAB">
        <w:tab/>
      </w:r>
      <w:r w:rsidR="00CC6BAB">
        <w:t>64–66</w:t>
      </w:r>
      <w:r w:rsidR="0077531E" w:rsidRPr="0077531E">
        <w:tab/>
        <w:t>17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CC6BAB">
        <w:tab/>
      </w:r>
      <w:r w:rsidRPr="00CC6BAB">
        <w:tab/>
      </w:r>
      <w:r w:rsidR="009D2ADD" w:rsidRPr="008176E7">
        <w:t>F</w:t>
      </w:r>
      <w:r w:rsidR="009D2ADD" w:rsidRPr="009D2ADD">
        <w:t>.</w:t>
      </w:r>
      <w:r w:rsidR="009D2ADD" w:rsidRPr="009D2ADD">
        <w:tab/>
      </w:r>
      <w:r w:rsidR="009D2ADD" w:rsidRPr="008176E7">
        <w:t>T</w:t>
      </w:r>
      <w:r w:rsidR="009D2ADD" w:rsidRPr="009D2ADD">
        <w:t xml:space="preserve">ранспортные тенденции и вызовы в секторе внутренних </w:t>
      </w:r>
      <w:r w:rsidRPr="008176E7">
        <w:br/>
      </w:r>
      <w:r w:rsidRPr="008176E7">
        <w:tab/>
      </w:r>
      <w:r w:rsidRPr="008176E7">
        <w:tab/>
      </w:r>
      <w:r w:rsidRPr="008176E7">
        <w:tab/>
      </w:r>
      <w:r w:rsidR="009D2ADD" w:rsidRPr="009D2ADD">
        <w:t>водных путей</w:t>
      </w:r>
      <w:r w:rsidRPr="00CC6BAB">
        <w:tab/>
      </w:r>
      <w:r w:rsidR="00CC6BAB" w:rsidRPr="00CC6BAB">
        <w:tab/>
      </w:r>
      <w:r w:rsidR="00CC6BAB">
        <w:t>67–68</w:t>
      </w:r>
      <w:r w:rsidR="0077531E" w:rsidRPr="0077531E">
        <w:tab/>
        <w:t>18</w:t>
      </w:r>
    </w:p>
    <w:p w:rsidR="009D2ADD" w:rsidRPr="0077531E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CC6BAB">
        <w:tab/>
      </w:r>
      <w:r w:rsidRPr="00CC6BAB">
        <w:tab/>
      </w:r>
      <w:r w:rsidR="009D2ADD" w:rsidRPr="008176E7">
        <w:t>G</w:t>
      </w:r>
      <w:r w:rsidR="009D2ADD" w:rsidRPr="009D2ADD">
        <w:t>.</w:t>
      </w:r>
      <w:r w:rsidR="009D2ADD" w:rsidRPr="009D2ADD">
        <w:tab/>
        <w:t>Анализ статистики транспорта ЕЭК ООН</w:t>
      </w:r>
      <w:r w:rsidRPr="00CC6BAB">
        <w:tab/>
      </w:r>
      <w:r w:rsidR="00CC6BAB" w:rsidRPr="00CC6BAB">
        <w:tab/>
      </w:r>
      <w:r w:rsidR="00CC6BAB">
        <w:t>69–70</w:t>
      </w:r>
      <w:r w:rsidR="0077531E" w:rsidRPr="0077531E">
        <w:tab/>
        <w:t>18</w:t>
      </w:r>
    </w:p>
    <w:p w:rsidR="009D2ADD" w:rsidRPr="001E3CAA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Pr="008176E7">
        <w:t>XIII</w:t>
      </w:r>
      <w:r w:rsidRPr="009D2ADD">
        <w:t>.</w:t>
      </w:r>
      <w:r w:rsidRPr="009D2ADD">
        <w:tab/>
      </w:r>
      <w:r w:rsidRPr="008176E7">
        <w:t>T</w:t>
      </w:r>
      <w:r w:rsidRPr="009D2ADD">
        <w:t xml:space="preserve">ехническая помощь странам с переходной экономикой </w:t>
      </w:r>
      <w:r w:rsidR="008176E7" w:rsidRPr="008176E7">
        <w:br/>
      </w:r>
      <w:r w:rsidR="008176E7" w:rsidRPr="008176E7">
        <w:tab/>
      </w:r>
      <w:r w:rsidR="008176E7" w:rsidRPr="008176E7">
        <w:tab/>
      </w:r>
      <w:r w:rsidRPr="009D2ADD">
        <w:t>(пункт 12 повестки дня)</w:t>
      </w:r>
      <w:r w:rsidR="008176E7" w:rsidRPr="00CC6BAB">
        <w:tab/>
      </w:r>
      <w:r w:rsidR="00CC6BAB" w:rsidRPr="00CC6BAB">
        <w:tab/>
      </w:r>
      <w:r w:rsidR="00CC6BAB">
        <w:t>71–73</w:t>
      </w:r>
      <w:r w:rsidR="001E3CAA" w:rsidRPr="001E3CAA">
        <w:tab/>
        <w:t>18</w:t>
      </w:r>
    </w:p>
    <w:p w:rsidR="009D2ADD" w:rsidRPr="001E3CAA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CC6BAB">
        <w:tab/>
      </w:r>
      <w:r w:rsidR="009D2ADD" w:rsidRPr="008176E7">
        <w:t>XIV</w:t>
      </w:r>
      <w:r w:rsidR="009D2ADD" w:rsidRPr="009D2ADD">
        <w:t>.</w:t>
      </w:r>
      <w:r w:rsidR="009D2ADD" w:rsidRPr="009D2ADD">
        <w:tab/>
        <w:t xml:space="preserve">Деятельность органов Европейской экономической комиссии </w:t>
      </w:r>
      <w:r w:rsidRPr="008176E7">
        <w:br/>
      </w:r>
      <w:r w:rsidRPr="008176E7">
        <w:tab/>
      </w:r>
      <w:r w:rsidRPr="008176E7">
        <w:tab/>
      </w:r>
      <w:r w:rsidR="009D2ADD" w:rsidRPr="009D2ADD">
        <w:t xml:space="preserve">Организации Объединенных Наций, представляющая интерес </w:t>
      </w:r>
      <w:r w:rsidRPr="008176E7">
        <w:br/>
      </w:r>
      <w:r w:rsidRPr="008176E7">
        <w:tab/>
      </w:r>
      <w:r w:rsidRPr="008176E7">
        <w:tab/>
      </w:r>
      <w:r w:rsidR="009D2ADD" w:rsidRPr="009D2ADD">
        <w:t xml:space="preserve">для Рабочей группы, а также стратегический документ КВТ </w:t>
      </w:r>
      <w:r w:rsidRPr="008176E7">
        <w:br/>
      </w:r>
      <w:r w:rsidRPr="008176E7">
        <w:tab/>
      </w:r>
      <w:r w:rsidRPr="008176E7">
        <w:tab/>
      </w:r>
      <w:r w:rsidR="009D2ADD" w:rsidRPr="009D2ADD">
        <w:t>и резолюция министров (пункт 13 повестки дня)</w:t>
      </w:r>
      <w:r w:rsidRPr="00CC6BAB">
        <w:tab/>
      </w:r>
      <w:r w:rsidR="00CC6BAB" w:rsidRPr="00CC6BAB">
        <w:tab/>
      </w:r>
      <w:r w:rsidR="00CC6BAB">
        <w:t>74–76</w:t>
      </w:r>
      <w:r w:rsidR="001E3CAA" w:rsidRPr="001E3CAA">
        <w:tab/>
        <w:t>19</w:t>
      </w:r>
    </w:p>
    <w:p w:rsidR="009D2ADD" w:rsidRPr="001E3CAA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CC6BAB">
        <w:tab/>
      </w:r>
      <w:r w:rsidR="009D2ADD" w:rsidRPr="008176E7">
        <w:t>XV</w:t>
      </w:r>
      <w:r w:rsidR="009D2ADD" w:rsidRPr="009D2ADD">
        <w:t>.</w:t>
      </w:r>
      <w:r w:rsidR="009D2ADD" w:rsidRPr="009D2ADD">
        <w:tab/>
        <w:t xml:space="preserve">Выборы должностных лиц для сессий Рабочей группы </w:t>
      </w:r>
      <w:r w:rsidRPr="008176E7">
        <w:br/>
      </w:r>
      <w:r w:rsidRPr="008176E7">
        <w:tab/>
      </w:r>
      <w:r w:rsidRPr="008176E7">
        <w:tab/>
      </w:r>
      <w:r w:rsidR="009D2ADD" w:rsidRPr="009D2ADD">
        <w:t>в 2017 и 2018 годах (пункт 14 повестки дня)</w:t>
      </w:r>
      <w:r w:rsidRPr="00CC6BAB">
        <w:tab/>
      </w:r>
      <w:r w:rsidR="00CC6BAB" w:rsidRPr="00CC6BAB">
        <w:tab/>
        <w:t>77</w:t>
      </w:r>
      <w:r w:rsidR="001E3CAA" w:rsidRPr="001E3CAA">
        <w:tab/>
        <w:t>19</w:t>
      </w:r>
    </w:p>
    <w:p w:rsidR="009D2ADD" w:rsidRPr="001E3CAA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lastRenderedPageBreak/>
        <w:tab/>
      </w:r>
      <w:r w:rsidRPr="008176E7">
        <w:t>XVI</w:t>
      </w:r>
      <w:r w:rsidRPr="009D2ADD">
        <w:t>.</w:t>
      </w:r>
      <w:r w:rsidRPr="009D2ADD">
        <w:tab/>
        <w:t>Прочие вопросы (пункт 15 повестки дня)</w:t>
      </w:r>
      <w:r w:rsidR="008176E7" w:rsidRPr="00CC6BAB">
        <w:tab/>
      </w:r>
      <w:r w:rsidR="00CC6BAB" w:rsidRPr="00CC6BAB">
        <w:tab/>
        <w:t>78</w:t>
      </w:r>
      <w:r w:rsidR="001E3CAA" w:rsidRPr="001E3CAA">
        <w:tab/>
        <w:t>20</w:t>
      </w:r>
    </w:p>
    <w:p w:rsidR="009D2ADD" w:rsidRPr="001E3CAA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2ADD">
        <w:tab/>
      </w:r>
      <w:r w:rsidRPr="008176E7">
        <w:t>XVII</w:t>
      </w:r>
      <w:r w:rsidRPr="009D2ADD">
        <w:t>.</w:t>
      </w:r>
      <w:r w:rsidRPr="009D2ADD">
        <w:tab/>
        <w:t>Сроки проведения следующей сессии (пункт 16 повестки дня)</w:t>
      </w:r>
      <w:r w:rsidR="008176E7" w:rsidRPr="00CC6BAB">
        <w:tab/>
      </w:r>
      <w:r w:rsidR="00CC6BAB" w:rsidRPr="00CC6BAB">
        <w:tab/>
        <w:t>79</w:t>
      </w:r>
      <w:r w:rsidR="001E3CAA" w:rsidRPr="001E3CAA">
        <w:tab/>
        <w:t>20</w:t>
      </w:r>
    </w:p>
    <w:p w:rsidR="009D2ADD" w:rsidRPr="001E3CAA" w:rsidRDefault="008176E7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CC6BAB">
        <w:tab/>
      </w:r>
      <w:r w:rsidR="009D2ADD" w:rsidRPr="008176E7">
        <w:t>XVIII</w:t>
      </w:r>
      <w:r w:rsidR="009D2ADD" w:rsidRPr="009D2ADD">
        <w:t>.</w:t>
      </w:r>
      <w:r w:rsidR="009D2ADD" w:rsidRPr="009D2ADD">
        <w:tab/>
        <w:t>Утверждение основных решений (пункт 17 повестки дня)</w:t>
      </w:r>
      <w:r w:rsidRPr="00CC6BAB">
        <w:tab/>
      </w:r>
      <w:r w:rsidR="00CC6BAB" w:rsidRPr="00CC6BAB">
        <w:tab/>
        <w:t>80</w:t>
      </w:r>
      <w:r w:rsidR="001E3CAA" w:rsidRPr="001E3CAA">
        <w:tab/>
        <w:t>20</w:t>
      </w:r>
    </w:p>
    <w:p w:rsidR="009D2ADD" w:rsidRPr="008176E7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</w:p>
    <w:p w:rsidR="009D2ADD" w:rsidRPr="008176E7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</w:p>
    <w:p w:rsidR="009D2ADD" w:rsidRPr="008176E7" w:rsidRDefault="009D2ADD" w:rsidP="008176E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</w:p>
    <w:p w:rsidR="009D2ADD" w:rsidRPr="009D2ADD" w:rsidRDefault="009D2ADD" w:rsidP="009D2ADD">
      <w:pPr>
        <w:pStyle w:val="SingleTxtGR"/>
        <w:tabs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ind w:left="0" w:right="0"/>
        <w:rPr>
          <w:b/>
        </w:rPr>
      </w:pPr>
    </w:p>
    <w:p w:rsidR="009D2ADD" w:rsidRPr="009D2ADD" w:rsidRDefault="009D2ADD" w:rsidP="009D2ADD">
      <w:pPr>
        <w:pStyle w:val="SingleTxtGR"/>
        <w:tabs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ind w:left="0" w:right="0"/>
        <w:rPr>
          <w:b/>
        </w:rPr>
      </w:pPr>
    </w:p>
    <w:p w:rsidR="009D2ADD" w:rsidRPr="009D2ADD" w:rsidRDefault="009D2ADD" w:rsidP="009D2ADD">
      <w:pPr>
        <w:pStyle w:val="SingleTxtGR"/>
        <w:tabs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ind w:left="0" w:right="0"/>
        <w:rPr>
          <w:b/>
        </w:rPr>
      </w:pPr>
    </w:p>
    <w:p w:rsidR="009D2ADD" w:rsidRPr="009D2ADD" w:rsidRDefault="009D2ADD" w:rsidP="009D2ADD">
      <w:pPr>
        <w:pStyle w:val="SingleTxtGR"/>
        <w:tabs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ind w:left="0" w:right="0"/>
        <w:rPr>
          <w:b/>
        </w:rPr>
      </w:pPr>
    </w:p>
    <w:p w:rsidR="009D2ADD" w:rsidRPr="009D2ADD" w:rsidRDefault="009D2ADD" w:rsidP="009D2AD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</w:p>
    <w:p w:rsidR="00CC6BAB" w:rsidRDefault="00CC6BAB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9D2ADD" w:rsidRPr="009D2ADD" w:rsidRDefault="009D2ADD" w:rsidP="00CC6BAB">
      <w:pPr>
        <w:pStyle w:val="HChGR"/>
      </w:pPr>
      <w:r w:rsidRPr="009D2ADD">
        <w:lastRenderedPageBreak/>
        <w:tab/>
      </w:r>
      <w:r w:rsidRPr="009D2ADD">
        <w:rPr>
          <w:lang w:val="en-GB"/>
        </w:rPr>
        <w:t>I</w:t>
      </w:r>
      <w:r w:rsidRPr="009D2ADD">
        <w:t>.</w:t>
      </w:r>
      <w:r w:rsidRPr="009D2ADD">
        <w:tab/>
        <w:t>Участники</w:t>
      </w:r>
    </w:p>
    <w:p w:rsidR="009D2ADD" w:rsidRPr="009D2ADD" w:rsidRDefault="009D2ADD" w:rsidP="009D2ADD">
      <w:pPr>
        <w:pStyle w:val="SingleTxtGR"/>
      </w:pPr>
      <w:r w:rsidRPr="009D2ADD">
        <w:t>1.</w:t>
      </w:r>
      <w:r w:rsidRPr="009D2ADD">
        <w:tab/>
        <w:t>Рабочая группа по тенденциям и экономике транспорта провела свою двадцать девятую сессию 5</w:t>
      </w:r>
      <w:r w:rsidR="00CC6BAB">
        <w:rPr>
          <w:lang w:val="en-US"/>
        </w:rPr>
        <w:t>–</w:t>
      </w:r>
      <w:r w:rsidRPr="009D2ADD">
        <w:t>7 сентября 2016 года. Совещание проходило под председательством г-жи Алевтины Кирилловой (Российская Федерация), кот</w:t>
      </w:r>
      <w:r w:rsidRPr="009D2ADD">
        <w:t>о</w:t>
      </w:r>
      <w:r w:rsidRPr="009D2ADD">
        <w:t>рая заменила заместителя Председателя г-на Сергея Егоршева. В его работе приняли участие представители следующих государств − членов Европейской экономической комиссии Организации Объединенных Наций (ЕЭК ООН): А</w:t>
      </w:r>
      <w:r w:rsidRPr="009D2ADD">
        <w:t>в</w:t>
      </w:r>
      <w:r w:rsidRPr="009D2ADD">
        <w:t>стрии, Беларуси, Германии, Греции, Италии, Литвы, Польши, Российской Ф</w:t>
      </w:r>
      <w:r w:rsidRPr="009D2ADD">
        <w:t>е</w:t>
      </w:r>
      <w:r w:rsidRPr="009D2ADD">
        <w:t>дерации, Румынии, Финляндии, Швейцарии и Швеции.</w:t>
      </w:r>
    </w:p>
    <w:p w:rsidR="009D2ADD" w:rsidRPr="009D2ADD" w:rsidRDefault="009D2ADD" w:rsidP="009D2ADD">
      <w:pPr>
        <w:pStyle w:val="SingleTxtGR"/>
      </w:pPr>
      <w:r w:rsidRPr="009D2ADD">
        <w:t>2.</w:t>
      </w:r>
      <w:r w:rsidRPr="009D2ADD">
        <w:tab/>
        <w:t>Были представлены следующие организации и специализированные учреждения Организации Объединенных Наци</w:t>
      </w:r>
      <w:r w:rsidR="001E3CAA">
        <w:t>й</w:t>
      </w:r>
      <w:r w:rsidRPr="009D2ADD">
        <w:t xml:space="preserve">: Центральное управление </w:t>
      </w:r>
      <w:r w:rsidR="001E3CAA">
        <w:br/>
      </w:r>
      <w:r w:rsidRPr="009D2ADD">
        <w:t>проектов Трансъевропейской автомагистрали (ТЕА) и Трансъевропейской ж</w:t>
      </w:r>
      <w:r w:rsidRPr="009D2ADD">
        <w:t>е</w:t>
      </w:r>
      <w:r w:rsidRPr="009D2ADD">
        <w:t xml:space="preserve">лезнодорожной магистрали (ТЕЖ) ЕЭК ООН. </w:t>
      </w:r>
    </w:p>
    <w:p w:rsidR="009D2ADD" w:rsidRPr="009D2ADD" w:rsidRDefault="009D2ADD" w:rsidP="009D2ADD">
      <w:pPr>
        <w:pStyle w:val="SingleTxtGR"/>
      </w:pPr>
      <w:r w:rsidRPr="009D2ADD">
        <w:t>3.</w:t>
      </w:r>
      <w:r w:rsidRPr="009D2ADD">
        <w:tab/>
        <w:t>Были представлены следующие межправительственные организации: Центр транспортных исследований для Западного Средиземноморья (СЕТМО) и Евразийская экономическая комиссия (ЕАЭК).</w:t>
      </w:r>
    </w:p>
    <w:p w:rsidR="009D2ADD" w:rsidRPr="009D2ADD" w:rsidRDefault="009D2ADD" w:rsidP="009D2ADD">
      <w:pPr>
        <w:pStyle w:val="SingleTxtGR"/>
      </w:pPr>
      <w:r w:rsidRPr="009D2ADD">
        <w:t>4.</w:t>
      </w:r>
      <w:r w:rsidRPr="009D2ADD">
        <w:tab/>
        <w:t>Были представлены следующие неправительственные организации: Ме</w:t>
      </w:r>
      <w:r w:rsidRPr="009D2ADD">
        <w:t>ж</w:t>
      </w:r>
      <w:r w:rsidRPr="009D2ADD">
        <w:t xml:space="preserve">дународный союз автомобильного транспорта (МСАТ), Международный союз железных дорог (МСЖД) и </w:t>
      </w:r>
      <w:bookmarkStart w:id="3" w:name="OLE_LINK11"/>
      <w:bookmarkStart w:id="4" w:name="OLE_LINK12"/>
      <w:r w:rsidRPr="009D2ADD">
        <w:t>Региональный экологический центр</w:t>
      </w:r>
      <w:bookmarkEnd w:id="3"/>
      <w:bookmarkEnd w:id="4"/>
      <w:r w:rsidRPr="009D2ADD">
        <w:t xml:space="preserve"> для Централ</w:t>
      </w:r>
      <w:r w:rsidRPr="009D2ADD">
        <w:t>ь</w:t>
      </w:r>
      <w:r w:rsidRPr="009D2ADD">
        <w:t>ной и Восточной Европы.</w:t>
      </w:r>
    </w:p>
    <w:p w:rsidR="009D2ADD" w:rsidRPr="009D2ADD" w:rsidRDefault="009D2ADD" w:rsidP="009D2ADD">
      <w:pPr>
        <w:pStyle w:val="SingleTxtGR"/>
      </w:pPr>
      <w:r w:rsidRPr="009D2ADD">
        <w:t>5.</w:t>
      </w:r>
      <w:r w:rsidRPr="009D2ADD">
        <w:tab/>
        <w:t>По приглашению секретариата на совещании присутствовали представ</w:t>
      </w:r>
      <w:r w:rsidRPr="009D2ADD">
        <w:t>и</w:t>
      </w:r>
      <w:r w:rsidRPr="009D2ADD">
        <w:t>тели следующих структур: Ассоциации Атлантического договора, ООО Асп</w:t>
      </w:r>
      <w:r w:rsidRPr="009D2ADD">
        <w:t>и</w:t>
      </w:r>
      <w:r w:rsidRPr="009D2ADD">
        <w:t xml:space="preserve">сек, </w:t>
      </w:r>
      <w:r w:rsidR="00CC6BAB">
        <w:t>«</w:t>
      </w:r>
      <w:r w:rsidRPr="009D2ADD">
        <w:t>КМС Камерон Маккенна ЛЛП</w:t>
      </w:r>
      <w:r w:rsidR="00CC6BAB">
        <w:t>»</w:t>
      </w:r>
      <w:r w:rsidRPr="009D2ADD">
        <w:t xml:space="preserve">, </w:t>
      </w:r>
      <w:bookmarkStart w:id="5" w:name="OLE_LINK15"/>
      <w:bookmarkStart w:id="6" w:name="OLE_LINK16"/>
      <w:r w:rsidRPr="009D2ADD">
        <w:t>Фракийского университета им. Демокр</w:t>
      </w:r>
      <w:r w:rsidRPr="009D2ADD">
        <w:t>и</w:t>
      </w:r>
      <w:r w:rsidRPr="009D2ADD">
        <w:t>та</w:t>
      </w:r>
      <w:bookmarkEnd w:id="5"/>
      <w:bookmarkEnd w:id="6"/>
      <w:r w:rsidRPr="009D2ADD">
        <w:t xml:space="preserve">, </w:t>
      </w:r>
      <w:bookmarkStart w:id="7" w:name="OLE_LINK13"/>
      <w:bookmarkStart w:id="8" w:name="OLE_LINK14"/>
      <w:r w:rsidRPr="009D2ADD">
        <w:t>Института международных транспортных коммуникаций Московского гос</w:t>
      </w:r>
      <w:r w:rsidRPr="009D2ADD">
        <w:t>у</w:t>
      </w:r>
      <w:r w:rsidRPr="009D2ADD">
        <w:t>дарственного университета путей сообщения</w:t>
      </w:r>
      <w:bookmarkEnd w:id="7"/>
      <w:bookmarkEnd w:id="8"/>
      <w:r w:rsidRPr="009D2ADD">
        <w:t>, Европейского института исслед</w:t>
      </w:r>
      <w:r w:rsidRPr="009D2ADD">
        <w:t>о</w:t>
      </w:r>
      <w:r w:rsidRPr="009D2ADD">
        <w:t>ваний в сфере услуг, Института универса</w:t>
      </w:r>
      <w:r w:rsidR="001E3CAA">
        <w:t xml:space="preserve">льной метеорологии (УБИМЕТ), АО </w:t>
      </w:r>
      <w:r w:rsidR="00CC6BAB">
        <w:t>«</w:t>
      </w:r>
      <w:r w:rsidRPr="009D2ADD">
        <w:t>Итальянские государственные железные дороги</w:t>
      </w:r>
      <w:r w:rsidR="00CC6BAB">
        <w:t>»</w:t>
      </w:r>
      <w:r w:rsidRPr="009D2ADD">
        <w:t xml:space="preserve"> – ассоциации КОЛПОФЕР, </w:t>
      </w:r>
      <w:r w:rsidR="00CC6BAB">
        <w:t>«</w:t>
      </w:r>
      <w:r w:rsidRPr="009D2ADD">
        <w:t>Капш ТраффикКом АГ</w:t>
      </w:r>
      <w:r w:rsidR="00CC6BAB">
        <w:t>»</w:t>
      </w:r>
      <w:r w:rsidRPr="009D2ADD">
        <w:t xml:space="preserve">, АО </w:t>
      </w:r>
      <w:r w:rsidR="00CC6BAB">
        <w:t>«</w:t>
      </w:r>
      <w:r w:rsidRPr="009D2ADD">
        <w:t>ПЛАСКЕ</w:t>
      </w:r>
      <w:r w:rsidR="00CC6BAB">
        <w:t>»</w:t>
      </w:r>
      <w:r w:rsidRPr="009D2ADD">
        <w:t xml:space="preserve">, консалтинговой компании </w:t>
      </w:r>
      <w:r w:rsidR="00CC6BAB">
        <w:t>«</w:t>
      </w:r>
      <w:r w:rsidRPr="009D2ADD">
        <w:t>Руппрехт конзульт</w:t>
      </w:r>
      <w:r w:rsidR="00CC6BAB">
        <w:t>»</w:t>
      </w:r>
      <w:r w:rsidR="00396614">
        <w:t xml:space="preserve"> – </w:t>
      </w:r>
      <w:r w:rsidRPr="009D2ADD">
        <w:t xml:space="preserve">ООО </w:t>
      </w:r>
      <w:r w:rsidR="00CC6BAB">
        <w:t>«</w:t>
      </w:r>
      <w:r w:rsidRPr="009D2ADD">
        <w:t>Исследования и прогнозирование</w:t>
      </w:r>
      <w:r w:rsidR="00CC6BAB">
        <w:t>»</w:t>
      </w:r>
      <w:r w:rsidRPr="009D2ADD">
        <w:t xml:space="preserve">, </w:t>
      </w:r>
      <w:r w:rsidR="00CC6BAB">
        <w:t>«</w:t>
      </w:r>
      <w:r w:rsidRPr="009D2ADD">
        <w:t>Сименс АГ</w:t>
      </w:r>
      <w:r w:rsidR="00CC6BAB">
        <w:t>»</w:t>
      </w:r>
      <w:r w:rsidRPr="009D2ADD">
        <w:t xml:space="preserve"> (Германия) и </w:t>
      </w:r>
      <w:bookmarkStart w:id="9" w:name="OLE_LINK9"/>
      <w:bookmarkStart w:id="10" w:name="OLE_LINK10"/>
      <w:bookmarkStart w:id="11" w:name="OLE_LINK17"/>
      <w:r w:rsidRPr="009D2ADD">
        <w:t xml:space="preserve">инновационного центра интеллектуальной мобильности </w:t>
      </w:r>
      <w:r w:rsidR="00CC6BAB">
        <w:t>«</w:t>
      </w:r>
      <w:r w:rsidRPr="009D2ADD">
        <w:t>Трэнспорт системз кэтепалт</w:t>
      </w:r>
      <w:r w:rsidR="00CC6BAB">
        <w:t>»</w:t>
      </w:r>
      <w:bookmarkEnd w:id="9"/>
      <w:bookmarkEnd w:id="10"/>
      <w:bookmarkEnd w:id="11"/>
      <w:r w:rsidRPr="009D2ADD">
        <w:t xml:space="preserve"> (Соединенное Королевство). </w:t>
      </w:r>
    </w:p>
    <w:p w:rsidR="009D2ADD" w:rsidRPr="00CC6BAB" w:rsidRDefault="009D2ADD" w:rsidP="00CC6BAB">
      <w:pPr>
        <w:pStyle w:val="HChGR"/>
      </w:pPr>
      <w:r w:rsidRPr="00CC6BAB">
        <w:tab/>
        <w:t>II.</w:t>
      </w:r>
      <w:r w:rsidRPr="00CC6BAB">
        <w:tab/>
        <w:t>Утверждение повестки дня (пункт 1 повестки дня)</w:t>
      </w:r>
    </w:p>
    <w:p w:rsidR="009D2ADD" w:rsidRPr="009D2ADD" w:rsidRDefault="009D2ADD" w:rsidP="009D2ADD">
      <w:pPr>
        <w:pStyle w:val="SingleTxtGR"/>
        <w:rPr>
          <w:lang w:val="en-GB"/>
        </w:rPr>
      </w:pPr>
      <w:r w:rsidRPr="009D2ADD">
        <w:rPr>
          <w:bCs/>
          <w:i/>
          <w:iCs/>
          <w:lang w:val="en-GB"/>
        </w:rPr>
        <w:t>Документация</w:t>
      </w:r>
      <w:r w:rsidRPr="009D2ADD">
        <w:rPr>
          <w:bCs/>
          <w:lang w:val="en-GB"/>
        </w:rPr>
        <w:t xml:space="preserve">: </w:t>
      </w:r>
      <w:r w:rsidRPr="009D2ADD">
        <w:rPr>
          <w:lang w:val="en-GB"/>
        </w:rPr>
        <w:t>ECE/TRANS/WP.5/59, ECE/TRANS/WP.5/59/Corr.1</w:t>
      </w:r>
    </w:p>
    <w:p w:rsidR="009D2ADD" w:rsidRPr="009D2ADD" w:rsidRDefault="009D2ADD" w:rsidP="009D2ADD">
      <w:pPr>
        <w:pStyle w:val="SingleTxtGR"/>
      </w:pPr>
      <w:r w:rsidRPr="009D2ADD">
        <w:t>6.</w:t>
      </w:r>
      <w:r w:rsidRPr="009D2ADD">
        <w:tab/>
      </w:r>
      <w:r w:rsidRPr="009D2ADD">
        <w:rPr>
          <w:bCs/>
        </w:rPr>
        <w:t>Рабочая группа утвердила повестку дня (</w:t>
      </w:r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</w:t>
      </w:r>
      <w:r w:rsidRPr="009D2ADD">
        <w:rPr>
          <w:lang w:val="en-GB"/>
        </w:rPr>
        <w:t>WP</w:t>
      </w:r>
      <w:r w:rsidRPr="009D2ADD">
        <w:t xml:space="preserve">.5/59 и </w:t>
      </w:r>
      <w:r w:rsidRPr="009D2ADD">
        <w:rPr>
          <w:lang w:val="en-GB"/>
        </w:rPr>
        <w:t>Corr</w:t>
      </w:r>
      <w:r w:rsidRPr="009D2ADD">
        <w:t>.1)</w:t>
      </w:r>
      <w:r w:rsidRPr="009D2ADD">
        <w:rPr>
          <w:bCs/>
        </w:rPr>
        <w:t>.</w:t>
      </w:r>
    </w:p>
    <w:p w:rsidR="009D2ADD" w:rsidRPr="00CC6BAB" w:rsidRDefault="009D2ADD" w:rsidP="00CC6BAB">
      <w:pPr>
        <w:pStyle w:val="HChGR"/>
      </w:pPr>
      <w:r w:rsidRPr="00CC6BAB">
        <w:tab/>
        <w:t>III.</w:t>
      </w:r>
      <w:r w:rsidRPr="00CC6BAB">
        <w:tab/>
        <w:t xml:space="preserve">Рабочее совещание на тему: </w:t>
      </w:r>
      <w:r w:rsidR="00CC6BAB">
        <w:t>«</w:t>
      </w:r>
      <w:r w:rsidRPr="00CC6BAB">
        <w:t>Транспортные исследования и инновации</w:t>
      </w:r>
      <w:r w:rsidR="00CC6BAB">
        <w:t>»</w:t>
      </w:r>
      <w:r w:rsidRPr="00CC6BAB">
        <w:t xml:space="preserve"> (пункт 2 повестки дня)</w:t>
      </w:r>
    </w:p>
    <w:p w:rsidR="009D2ADD" w:rsidRPr="009D2ADD" w:rsidRDefault="009D2ADD" w:rsidP="009D2ADD">
      <w:pPr>
        <w:pStyle w:val="SingleTxtGR"/>
      </w:pPr>
      <w:r w:rsidRPr="009D2ADD">
        <w:rPr>
          <w:bCs/>
          <w:i/>
          <w:iCs/>
        </w:rPr>
        <w:t>Документация:</w:t>
      </w:r>
      <w:r w:rsidRPr="009D2ADD">
        <w:t xml:space="preserve"> неофициальный документ № 1</w:t>
      </w:r>
    </w:p>
    <w:p w:rsidR="009D2ADD" w:rsidRPr="009D2ADD" w:rsidRDefault="009D2ADD" w:rsidP="009D2ADD">
      <w:pPr>
        <w:pStyle w:val="SingleTxtGR"/>
      </w:pPr>
      <w:r w:rsidRPr="009D2ADD">
        <w:t>7.</w:t>
      </w:r>
      <w:r w:rsidRPr="009D2ADD">
        <w:tab/>
        <w:t>Секретариат приветствовал участников этого рабочего совещания, по</w:t>
      </w:r>
      <w:r w:rsidRPr="009D2ADD">
        <w:t>д</w:t>
      </w:r>
      <w:r w:rsidRPr="009D2ADD">
        <w:t>черкнув важное значение научно-исследовательской деятельности для развития перевозок</w:t>
      </w:r>
      <w:r w:rsidR="005D7351">
        <w:t>,</w:t>
      </w:r>
      <w:r w:rsidRPr="009D2ADD">
        <w:t xml:space="preserve"> и особенно для создания инновационного потенциала. Были </w:t>
      </w:r>
      <w:r w:rsidR="001E3CAA">
        <w:br/>
      </w:r>
      <w:r w:rsidRPr="009D2ADD">
        <w:t xml:space="preserve">представлены результаты реализации различных </w:t>
      </w:r>
      <w:bookmarkStart w:id="12" w:name="OLE_LINK7"/>
      <w:bookmarkStart w:id="13" w:name="OLE_LINK8"/>
      <w:r w:rsidRPr="009D2ADD">
        <w:t>исследовательских проектов на транспорте</w:t>
      </w:r>
      <w:bookmarkEnd w:id="12"/>
      <w:bookmarkEnd w:id="13"/>
      <w:r w:rsidRPr="009D2ADD">
        <w:t>, а также конечные продукты и механизмы, базирующиеся на этих исследовательских проектах. Были проиллюстрированы и обсуждены труд</w:t>
      </w:r>
      <w:r w:rsidR="001E3CAA">
        <w:t>-</w:t>
      </w:r>
      <w:r w:rsidRPr="009D2ADD">
        <w:lastRenderedPageBreak/>
        <w:t>ности, связанные с увязкой результатов транспортных исследований с запрос</w:t>
      </w:r>
      <w:r w:rsidRPr="009D2ADD">
        <w:t>а</w:t>
      </w:r>
      <w:r w:rsidRPr="009D2ADD">
        <w:t xml:space="preserve">ми рынков. </w:t>
      </w:r>
    </w:p>
    <w:p w:rsidR="009D2ADD" w:rsidRPr="009D2ADD" w:rsidRDefault="009D2ADD" w:rsidP="009D2ADD">
      <w:pPr>
        <w:pStyle w:val="SingleTxtGR"/>
      </w:pPr>
      <w:r w:rsidRPr="009D2ADD">
        <w:t>8.</w:t>
      </w:r>
      <w:r w:rsidRPr="009D2ADD">
        <w:tab/>
        <w:t>Участники: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a</w:t>
      </w:r>
      <w:r w:rsidR="009D2ADD" w:rsidRPr="009D2ADD">
        <w:t>)</w:t>
      </w:r>
      <w:r w:rsidR="009D2ADD" w:rsidRPr="009D2ADD">
        <w:tab/>
        <w:t>приняли к сведению результаты реализации исследовательских проектов на транспорте, инноваций и технологических достижений в регионе ЕЭК:</w:t>
      </w:r>
    </w:p>
    <w:p w:rsidR="009D2ADD" w:rsidRPr="009D2ADD" w:rsidRDefault="009D2ADD" w:rsidP="00CC6BAB">
      <w:pPr>
        <w:pStyle w:val="Bullet1GR"/>
      </w:pPr>
      <w:r w:rsidRPr="009D2ADD">
        <w:t xml:space="preserve">Беларусский научно-исследовательский институт транспорта </w:t>
      </w:r>
      <w:r w:rsidR="00CC6BAB">
        <w:t>«</w:t>
      </w:r>
      <w:r w:rsidRPr="009D2ADD">
        <w:t>ТРАНСТЕХНИКА</w:t>
      </w:r>
      <w:r w:rsidR="00CC6BAB">
        <w:t>»</w:t>
      </w:r>
      <w:r w:rsidRPr="009D2ADD">
        <w:t xml:space="preserve"> представил модель повышения эффективности па</w:t>
      </w:r>
      <w:r w:rsidRPr="009D2ADD">
        <w:t>с</w:t>
      </w:r>
      <w:r w:rsidRPr="009D2ADD">
        <w:t>сажирских перевозок;</w:t>
      </w:r>
    </w:p>
    <w:p w:rsidR="009D2ADD" w:rsidRPr="009D2ADD" w:rsidRDefault="009D2ADD" w:rsidP="00CC6BAB">
      <w:pPr>
        <w:pStyle w:val="Bullet1GR"/>
      </w:pPr>
      <w:r w:rsidRPr="009D2ADD">
        <w:t xml:space="preserve">инновационный центр интеллектуальной мобильности </w:t>
      </w:r>
      <w:r w:rsidR="00CC6BAB">
        <w:t>«</w:t>
      </w:r>
      <w:r w:rsidRPr="009D2ADD">
        <w:t xml:space="preserve">Трэнспорт </w:t>
      </w:r>
      <w:r w:rsidR="001E3CAA">
        <w:br/>
      </w:r>
      <w:r w:rsidRPr="009D2ADD">
        <w:t>системз кэтепалт</w:t>
      </w:r>
      <w:r w:rsidR="00CC6BAB">
        <w:t>»</w:t>
      </w:r>
      <w:r w:rsidRPr="009D2ADD">
        <w:t xml:space="preserve"> продемонстрировал используемые им способы созд</w:t>
      </w:r>
      <w:r w:rsidRPr="009D2ADD">
        <w:t>а</w:t>
      </w:r>
      <w:r w:rsidRPr="009D2ADD">
        <w:t>ния условий, позволяющих обеспечивать мировое лидерство Соедине</w:t>
      </w:r>
      <w:r w:rsidRPr="009D2ADD">
        <w:t>н</w:t>
      </w:r>
      <w:r w:rsidRPr="009D2ADD">
        <w:t>ного Королевства в сфере транспортных инноваций;</w:t>
      </w:r>
    </w:p>
    <w:p w:rsidR="009D2ADD" w:rsidRPr="009D2ADD" w:rsidRDefault="009D2ADD" w:rsidP="00CC6BAB">
      <w:pPr>
        <w:pStyle w:val="Bullet1GR"/>
      </w:pPr>
      <w:r w:rsidRPr="009D2ADD">
        <w:t>Греческий институт транспорта сосредоточил внимание на существу</w:t>
      </w:r>
      <w:r w:rsidRPr="009D2ADD">
        <w:t>ю</w:t>
      </w:r>
      <w:r w:rsidRPr="009D2ADD">
        <w:t>щих вызовах, связанных с реализацией результатов транспортных иссл</w:t>
      </w:r>
      <w:r w:rsidRPr="009D2ADD">
        <w:t>е</w:t>
      </w:r>
      <w:r w:rsidRPr="009D2ADD">
        <w:t>дований;</w:t>
      </w:r>
    </w:p>
    <w:p w:rsidR="009D2ADD" w:rsidRPr="009D2ADD" w:rsidRDefault="009D2ADD" w:rsidP="00CC6BAB">
      <w:pPr>
        <w:pStyle w:val="Bullet1GR"/>
      </w:pPr>
      <w:r w:rsidRPr="009D2ADD">
        <w:t xml:space="preserve">в рамках системы электронной автомагистрали компании </w:t>
      </w:r>
      <w:r w:rsidR="00CC6BAB">
        <w:t>«</w:t>
      </w:r>
      <w:r w:rsidRPr="009D2ADD">
        <w:t>Сименс</w:t>
      </w:r>
      <w:r w:rsidR="00CC6BAB">
        <w:t>»</w:t>
      </w:r>
      <w:r w:rsidRPr="009D2ADD">
        <w:t xml:space="preserve"> были представлены перевозки на электрифицированных транспортных </w:t>
      </w:r>
      <w:r w:rsidR="001E3CAA">
        <w:br/>
      </w:r>
      <w:r w:rsidRPr="009D2ADD">
        <w:t>средствах большой грузоподъемности и новые типы грузовиков, спосо</w:t>
      </w:r>
      <w:r w:rsidRPr="009D2ADD">
        <w:t>б</w:t>
      </w:r>
      <w:r w:rsidRPr="009D2ADD">
        <w:t>ных передвигаться с использованием электроэнергии;</w:t>
      </w:r>
    </w:p>
    <w:p w:rsidR="009D2ADD" w:rsidRPr="009D2ADD" w:rsidRDefault="009D2ADD" w:rsidP="00CC6BAB">
      <w:pPr>
        <w:pStyle w:val="Bullet1GR"/>
      </w:pPr>
      <w:r w:rsidRPr="009D2ADD">
        <w:t>УБИМЕТ представил материалы с упором на анализ погодных условий и проиллюстрировал различные случаи использования высокоточных м</w:t>
      </w:r>
      <w:r w:rsidRPr="009D2ADD">
        <w:t>е</w:t>
      </w:r>
      <w:r w:rsidRPr="009D2ADD">
        <w:t>теорологических данных;</w:t>
      </w:r>
    </w:p>
    <w:p w:rsidR="009D2ADD" w:rsidRPr="009D2ADD" w:rsidRDefault="009D2ADD" w:rsidP="00CC6BAB">
      <w:pPr>
        <w:pStyle w:val="Bullet1GR"/>
      </w:pPr>
      <w:r w:rsidRPr="009D2ADD">
        <w:t>Региональный экологический центр представил методику быстрой оце</w:t>
      </w:r>
      <w:r w:rsidRPr="009D2ADD">
        <w:t>н</w:t>
      </w:r>
      <w:r w:rsidRPr="009D2ADD">
        <w:t>ки воздействия климата на транспортные коридоры, включая отрезок Мадрид</w:t>
      </w:r>
      <w:r w:rsidR="00396614">
        <w:t>–</w:t>
      </w:r>
      <w:r w:rsidRPr="009D2ADD">
        <w:t>Лиссабон, а также инициативу устойчивого пригородного тран</w:t>
      </w:r>
      <w:r w:rsidRPr="009D2ADD">
        <w:t>с</w:t>
      </w:r>
      <w:r w:rsidRPr="009D2ADD">
        <w:t>портного сообщения и механизм мониторинга перевозок;</w:t>
      </w:r>
    </w:p>
    <w:p w:rsidR="009D2ADD" w:rsidRPr="009D2ADD" w:rsidRDefault="009D2ADD" w:rsidP="00CC6BAB">
      <w:pPr>
        <w:pStyle w:val="Bullet1GR"/>
      </w:pPr>
      <w:r w:rsidRPr="009D2ADD">
        <w:t>Университет Хельсинки представил проводящееся междисциплинарное исследование в контексте правовых положений об устойчивых перево</w:t>
      </w:r>
      <w:r w:rsidRPr="009D2ADD">
        <w:t>з</w:t>
      </w:r>
      <w:r w:rsidRPr="009D2ADD">
        <w:t>ках и материально-технического обеспечения;</w:t>
      </w:r>
    </w:p>
    <w:p w:rsidR="009D2ADD" w:rsidRPr="009D2ADD" w:rsidRDefault="009D2ADD" w:rsidP="00CC6BAB">
      <w:pPr>
        <w:pStyle w:val="Bullet1GR"/>
      </w:pPr>
      <w:r w:rsidRPr="009D2ADD">
        <w:t>Московский государственный университет путей сообщения проил</w:t>
      </w:r>
      <w:r w:rsidR="001E3CAA">
        <w:t>-</w:t>
      </w:r>
      <w:r w:rsidRPr="009D2ADD">
        <w:t>люстрировал новые подходы к организации доставки железнодорожных грузов в международном сообщении;</w:t>
      </w:r>
    </w:p>
    <w:p w:rsidR="009D2ADD" w:rsidRPr="009D2ADD" w:rsidRDefault="009D2ADD" w:rsidP="00CC6BAB">
      <w:pPr>
        <w:pStyle w:val="Bullet1GR"/>
      </w:pPr>
      <w:r w:rsidRPr="009D2ADD">
        <w:t>Фракийский университет им. Демокрита представил материалы с упором на новую методику и механизм оценки воздействия транспорта на экон</w:t>
      </w:r>
      <w:r w:rsidRPr="009D2ADD">
        <w:t>о</w:t>
      </w:r>
      <w:r w:rsidRPr="009D2ADD">
        <w:t>мику;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b</w:t>
      </w:r>
      <w:r w:rsidR="009D2ADD" w:rsidRPr="009D2ADD">
        <w:t>)</w:t>
      </w:r>
      <w:r w:rsidR="009D2ADD" w:rsidRPr="009D2ADD">
        <w:tab/>
        <w:t xml:space="preserve">согласились с тем, что для получения социальной пользы от </w:t>
      </w:r>
      <w:r w:rsidR="001E3CAA">
        <w:br/>
      </w:r>
      <w:r w:rsidR="009D2ADD" w:rsidRPr="009D2ADD">
        <w:t>имеющихся знаний следует обеспечить последовательность и непрерывность поддержки и стимулирования инноваций;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c</w:t>
      </w:r>
      <w:r w:rsidR="009D2ADD" w:rsidRPr="009D2ADD">
        <w:t>)</w:t>
      </w:r>
      <w:r w:rsidR="009D2ADD" w:rsidRPr="009D2ADD">
        <w:tab/>
        <w:t>отметили, что если цель исследовательской деятельности состоит в получении знаний за счет денежных средств, то цель инноваций заключается в получении денежных средств за счет знаний;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d</w:t>
      </w:r>
      <w:r w:rsidR="009D2ADD" w:rsidRPr="009D2ADD">
        <w:t>)</w:t>
      </w:r>
      <w:r w:rsidR="009D2ADD" w:rsidRPr="009D2ADD">
        <w:tab/>
        <w:t>согласились с необходимостью трансформирования результатов транспортных исследований в конкретные инновации:</w:t>
      </w:r>
    </w:p>
    <w:p w:rsidR="009D2ADD" w:rsidRPr="009D2ADD" w:rsidRDefault="009D2ADD" w:rsidP="00CC6BAB">
      <w:pPr>
        <w:pStyle w:val="Bullet1GR"/>
      </w:pPr>
      <w:r w:rsidRPr="009D2ADD">
        <w:t>правительствам следует сформировать политическую волю и создать о</w:t>
      </w:r>
      <w:r w:rsidRPr="009D2ADD">
        <w:t>с</w:t>
      </w:r>
      <w:r w:rsidRPr="009D2ADD">
        <w:t>нову для транспортных исследований;</w:t>
      </w:r>
    </w:p>
    <w:p w:rsidR="009D2ADD" w:rsidRPr="009D2ADD" w:rsidRDefault="009D2ADD" w:rsidP="00CC6BAB">
      <w:pPr>
        <w:pStyle w:val="Bullet1GR"/>
      </w:pPr>
      <w:r w:rsidRPr="009D2ADD">
        <w:lastRenderedPageBreak/>
        <w:t>промышленным кругам следует направить исследовательскую деятел</w:t>
      </w:r>
      <w:r w:rsidRPr="009D2ADD">
        <w:t>ь</w:t>
      </w:r>
      <w:r w:rsidRPr="009D2ADD">
        <w:t>ность в русло тех сфер, которые способны удовлетворить запросы рынка;</w:t>
      </w:r>
    </w:p>
    <w:p w:rsidR="009D2ADD" w:rsidRPr="009D2ADD" w:rsidRDefault="009D2ADD" w:rsidP="00CC6BAB">
      <w:pPr>
        <w:pStyle w:val="Bullet1GR"/>
      </w:pPr>
      <w:r w:rsidRPr="009D2ADD">
        <w:t>исследовательскому сообществу следует обеспечить знания, технологии и другие результаты исследовательской деятельности либо услуги, которые соответствуют общественным потребностям, в контексте согласования усилий и сотрудничества отраслевых бизнес-единиц и рынка;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e</w:t>
      </w:r>
      <w:r w:rsidR="009D2ADD" w:rsidRPr="009D2ADD">
        <w:t>)</w:t>
      </w:r>
      <w:r w:rsidR="009D2ADD" w:rsidRPr="009D2ADD">
        <w:tab/>
        <w:t>отметили, что основными причинами неспособности трансформ</w:t>
      </w:r>
      <w:r w:rsidR="009D2ADD" w:rsidRPr="009D2ADD">
        <w:t>и</w:t>
      </w:r>
      <w:r w:rsidR="009D2ADD" w:rsidRPr="009D2ADD">
        <w:t>ровать результаты исследований в инновации и рыночные продукты и услуги служат:</w:t>
      </w:r>
    </w:p>
    <w:p w:rsidR="009D2ADD" w:rsidRPr="009D2ADD" w:rsidRDefault="009D2ADD" w:rsidP="00CC6BAB">
      <w:pPr>
        <w:pStyle w:val="Bullet1GR"/>
      </w:pPr>
      <w:r w:rsidRPr="009D2ADD">
        <w:t>недостаточное финансирование на цели исследований</w:t>
      </w:r>
      <w:r w:rsidR="00C54F65">
        <w:t>;</w:t>
      </w:r>
    </w:p>
    <w:p w:rsidR="009D2ADD" w:rsidRPr="009D2ADD" w:rsidRDefault="009D2ADD" w:rsidP="00CC6BAB">
      <w:pPr>
        <w:pStyle w:val="Bullet1GR"/>
      </w:pPr>
      <w:r w:rsidRPr="009D2ADD">
        <w:t>отсутствие условий для реализации</w:t>
      </w:r>
      <w:r w:rsidR="00C54F65">
        <w:t>;</w:t>
      </w:r>
    </w:p>
    <w:p w:rsidR="009D2ADD" w:rsidRPr="009D2ADD" w:rsidRDefault="009D2ADD" w:rsidP="00CC6BAB">
      <w:pPr>
        <w:pStyle w:val="Bullet1GR"/>
      </w:pPr>
      <w:r w:rsidRPr="009D2ADD">
        <w:t>отсутствие в целом апробированных и признанных управленческих структур для процесса реализации</w:t>
      </w:r>
      <w:r w:rsidR="00C54F65">
        <w:t>;</w:t>
      </w:r>
    </w:p>
    <w:p w:rsidR="009D2ADD" w:rsidRPr="009D2ADD" w:rsidRDefault="009D2ADD" w:rsidP="00CC6BAB">
      <w:pPr>
        <w:pStyle w:val="Bullet1GR"/>
      </w:pPr>
      <w:r w:rsidRPr="009D2ADD">
        <w:t>отсутствие контроля и систематического сбора данных для анализа и оценки процесса реализации;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f</w:t>
      </w:r>
      <w:r w:rsidR="009D2ADD" w:rsidRPr="009D2ADD">
        <w:t>)</w:t>
      </w:r>
      <w:r w:rsidR="009D2ADD" w:rsidRPr="009D2ADD">
        <w:tab/>
        <w:t xml:space="preserve">отметили, что для успешного трансформирования результатов </w:t>
      </w:r>
      <w:r w:rsidR="00C54F65">
        <w:br/>
      </w:r>
      <w:r w:rsidR="009D2ADD" w:rsidRPr="009D2ADD">
        <w:t>исследований в конкретные инновации крайне необходимо существование так</w:t>
      </w:r>
      <w:r w:rsidR="009D2ADD" w:rsidRPr="009D2ADD">
        <w:t>о</w:t>
      </w:r>
      <w:r w:rsidR="009D2ADD" w:rsidRPr="009D2ADD">
        <w:t xml:space="preserve">го связующего звена между рынком и исследовательской деятельностью, как инновационный центр интеллектуальной мобильности </w:t>
      </w:r>
      <w:r>
        <w:t>«</w:t>
      </w:r>
      <w:r w:rsidR="009D2ADD" w:rsidRPr="009D2ADD">
        <w:t>Трэнспорт системз кэтепалт</w:t>
      </w:r>
      <w:r>
        <w:t>»</w:t>
      </w:r>
      <w:r w:rsidR="009D2ADD" w:rsidRPr="009D2ADD">
        <w:t>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g</w:t>
      </w:r>
      <w:r w:rsidR="009D2ADD" w:rsidRPr="009D2ADD">
        <w:t>)</w:t>
      </w:r>
      <w:r w:rsidR="009D2ADD" w:rsidRPr="009D2ADD">
        <w:tab/>
        <w:t>отметили, что для консолидации имеющихся знаний, полученных результатов и проектных концепций необходимо создать транспортный научно-внедренческий центр, а также активизировать сотрудничество между тран</w:t>
      </w:r>
      <w:r w:rsidR="009D2ADD" w:rsidRPr="009D2ADD">
        <w:t>с</w:t>
      </w:r>
      <w:r w:rsidR="009D2ADD" w:rsidRPr="009D2ADD">
        <w:t xml:space="preserve">портными научно-исследовательскими учреждениями и усилить эффект </w:t>
      </w:r>
      <w:r w:rsidR="00C54F65">
        <w:br/>
      </w:r>
      <w:r w:rsidR="009D2ADD" w:rsidRPr="009D2ADD">
        <w:t>масштаба.</w:t>
      </w:r>
    </w:p>
    <w:p w:rsidR="009D2ADD" w:rsidRPr="009D2ADD" w:rsidRDefault="009D2ADD" w:rsidP="009D2ADD">
      <w:pPr>
        <w:pStyle w:val="SingleTxtGR"/>
      </w:pPr>
      <w:r w:rsidRPr="009D2ADD">
        <w:t>9.</w:t>
      </w:r>
      <w:r w:rsidRPr="009D2ADD">
        <w:tab/>
        <w:t>Рабочее совещание продемонстрировало сложность вопросов существа, связанных с разработкой транспортных научно-исследовательских проектов и увязкой результатов их реализации с потребностями рынка. Рабочая группа в</w:t>
      </w:r>
      <w:r w:rsidRPr="009D2ADD">
        <w:t>ы</w:t>
      </w:r>
      <w:r w:rsidRPr="009D2ADD">
        <w:t>соко оценила доклады, обстоятельно подготовленные выступавшими, сочла их информативными и весьма полезными.</w:t>
      </w:r>
    </w:p>
    <w:p w:rsidR="009D2ADD" w:rsidRPr="009D2ADD" w:rsidRDefault="009D2ADD" w:rsidP="009D2ADD">
      <w:pPr>
        <w:pStyle w:val="SingleTxtGR"/>
      </w:pPr>
      <w:r w:rsidRPr="009D2ADD">
        <w:t>10.</w:t>
      </w:r>
      <w:r w:rsidRPr="009D2ADD">
        <w:tab/>
        <w:t>Кроме того, Рабочая группа поручила секретариату подготовить офи</w:t>
      </w:r>
      <w:r w:rsidR="00C54F65">
        <w:t>-</w:t>
      </w:r>
      <w:r w:rsidRPr="009D2ADD">
        <w:t>циальный документ на основе полученных от экспертов материалов и обсужд</w:t>
      </w:r>
      <w:r w:rsidRPr="009D2ADD">
        <w:t>е</w:t>
      </w:r>
      <w:r w:rsidRPr="009D2ADD">
        <w:t>ний, проводившихся в ходе рабочего совещания по транспортным исследован</w:t>
      </w:r>
      <w:r w:rsidRPr="009D2ADD">
        <w:t>и</w:t>
      </w:r>
      <w:r w:rsidRPr="009D2ADD">
        <w:t>ям и инновациям, для рассмотрения Рабочей группой на ее следующей сессии. В него следует включить предложения относительно возможных будущих мер, которые Рабочей группе необходимо принять по данному вопросу.</w:t>
      </w:r>
    </w:p>
    <w:p w:rsidR="009D2ADD" w:rsidRPr="009D2ADD" w:rsidRDefault="009D2ADD" w:rsidP="009D2ADD">
      <w:pPr>
        <w:pStyle w:val="SingleTxtGR"/>
      </w:pPr>
      <w:r w:rsidRPr="009D2ADD">
        <w:t>11.</w:t>
      </w:r>
      <w:r w:rsidRPr="009D2ADD">
        <w:tab/>
        <w:t>Отчет о проведении этого рабочего совещания, сообщения и все матери</w:t>
      </w:r>
      <w:r w:rsidRPr="009D2ADD">
        <w:t>а</w:t>
      </w:r>
      <w:r w:rsidRPr="009D2ADD">
        <w:t>лы рабочего совещания приведены на веб-сайте ЕЭК ООН по следующему а</w:t>
      </w:r>
      <w:r w:rsidRPr="009D2ADD">
        <w:t>д</w:t>
      </w:r>
      <w:r w:rsidRPr="009D2ADD">
        <w:t xml:space="preserve">ресу </w:t>
      </w:r>
      <w:hyperlink r:id="rId10" w:history="1">
        <w:r w:rsidRPr="002F4718">
          <w:rPr>
            <w:rStyle w:val="Hyperlink"/>
            <w:lang w:val="en-GB"/>
          </w:rPr>
          <w:t>www</w:t>
        </w:r>
        <w:r w:rsidRPr="002F4718">
          <w:rPr>
            <w:rStyle w:val="Hyperlink"/>
          </w:rPr>
          <w:t>.</w:t>
        </w:r>
        <w:r w:rsidRPr="002F4718">
          <w:rPr>
            <w:rStyle w:val="Hyperlink"/>
            <w:lang w:val="en-GB"/>
          </w:rPr>
          <w:t>unece</w:t>
        </w:r>
        <w:r w:rsidRPr="002F4718">
          <w:rPr>
            <w:rStyle w:val="Hyperlink"/>
          </w:rPr>
          <w:t>.</w:t>
        </w:r>
        <w:r w:rsidRPr="002F4718">
          <w:rPr>
            <w:rStyle w:val="Hyperlink"/>
            <w:lang w:val="en-GB"/>
          </w:rPr>
          <w:t>org</w:t>
        </w:r>
        <w:r w:rsidRPr="002F4718">
          <w:rPr>
            <w:rStyle w:val="Hyperlink"/>
          </w:rPr>
          <w:t>/</w:t>
        </w:r>
        <w:r w:rsidRPr="002F4718">
          <w:rPr>
            <w:rStyle w:val="Hyperlink"/>
            <w:lang w:val="en-GB"/>
          </w:rPr>
          <w:t>trans</w:t>
        </w:r>
        <w:r w:rsidRPr="002F4718">
          <w:rPr>
            <w:rStyle w:val="Hyperlink"/>
          </w:rPr>
          <w:t>/</w:t>
        </w:r>
        <w:r w:rsidRPr="002F4718">
          <w:rPr>
            <w:rStyle w:val="Hyperlink"/>
            <w:lang w:val="en-GB"/>
          </w:rPr>
          <w:t>main</w:t>
        </w:r>
        <w:r w:rsidRPr="002F4718">
          <w:rPr>
            <w:rStyle w:val="Hyperlink"/>
          </w:rPr>
          <w:t>/</w:t>
        </w:r>
        <w:r w:rsidRPr="002F4718">
          <w:rPr>
            <w:rStyle w:val="Hyperlink"/>
            <w:lang w:val="en-GB"/>
          </w:rPr>
          <w:t>wp</w:t>
        </w:r>
        <w:r w:rsidRPr="002F4718">
          <w:rPr>
            <w:rStyle w:val="Hyperlink"/>
          </w:rPr>
          <w:t>5/</w:t>
        </w:r>
        <w:r w:rsidRPr="002F4718">
          <w:rPr>
            <w:rStyle w:val="Hyperlink"/>
            <w:lang w:val="en-GB"/>
          </w:rPr>
          <w:t>transport</w:t>
        </w:r>
        <w:r w:rsidRPr="002F4718">
          <w:rPr>
            <w:rStyle w:val="Hyperlink"/>
          </w:rPr>
          <w:t>_</w:t>
        </w:r>
        <w:r w:rsidRPr="002F4718">
          <w:rPr>
            <w:rStyle w:val="Hyperlink"/>
            <w:lang w:val="en-GB"/>
          </w:rPr>
          <w:t>research</w:t>
        </w:r>
        <w:r w:rsidRPr="002F4718">
          <w:rPr>
            <w:rStyle w:val="Hyperlink"/>
          </w:rPr>
          <w:t>_</w:t>
        </w:r>
        <w:r w:rsidRPr="002F4718">
          <w:rPr>
            <w:rStyle w:val="Hyperlink"/>
            <w:lang w:val="en-GB"/>
          </w:rPr>
          <w:t>and</w:t>
        </w:r>
        <w:r w:rsidRPr="002F4718">
          <w:rPr>
            <w:rStyle w:val="Hyperlink"/>
          </w:rPr>
          <w:t>_</w:t>
        </w:r>
        <w:r w:rsidRPr="002F4718">
          <w:rPr>
            <w:rStyle w:val="Hyperlink"/>
            <w:lang w:val="en-GB"/>
          </w:rPr>
          <w:t>innovations</w:t>
        </w:r>
        <w:r w:rsidRPr="002F4718">
          <w:rPr>
            <w:rStyle w:val="Hyperlink"/>
          </w:rPr>
          <w:t>.</w:t>
        </w:r>
        <w:r w:rsidRPr="002F4718">
          <w:rPr>
            <w:rStyle w:val="Hyperlink"/>
            <w:lang w:val="en-GB"/>
          </w:rPr>
          <w:t>html</w:t>
        </w:r>
      </w:hyperlink>
      <w:r w:rsidRPr="009D2ADD">
        <w:t>.</w:t>
      </w:r>
    </w:p>
    <w:p w:rsidR="00CC6BAB" w:rsidRDefault="00CC6BAB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9D2ADD" w:rsidRPr="00CC6BAB" w:rsidRDefault="009D2ADD" w:rsidP="00CC6BAB">
      <w:pPr>
        <w:pStyle w:val="HChGR"/>
      </w:pPr>
      <w:r w:rsidRPr="00CC6BAB">
        <w:lastRenderedPageBreak/>
        <w:tab/>
        <w:t>IV.</w:t>
      </w:r>
      <w:r w:rsidRPr="00CC6BAB">
        <w:tab/>
        <w:t xml:space="preserve">Рабочее совещание на тему: </w:t>
      </w:r>
      <w:r w:rsidR="00CC6BAB">
        <w:t>«</w:t>
      </w:r>
      <w:r w:rsidRPr="00CC6BAB">
        <w:t xml:space="preserve">Транспортная инфраструктура первостепенной важности </w:t>
      </w:r>
      <w:r w:rsidR="00CC6BAB">
        <w:br/>
      </w:r>
      <w:r w:rsidRPr="00CC6BAB">
        <w:t>и кибербезопасность</w:t>
      </w:r>
      <w:r w:rsidR="00CC6BAB">
        <w:t>»</w:t>
      </w:r>
      <w:r w:rsidRPr="00CC6BAB">
        <w:t xml:space="preserve"> (пункт 3 повестки дня)</w:t>
      </w:r>
    </w:p>
    <w:p w:rsidR="009D2ADD" w:rsidRPr="009D2ADD" w:rsidRDefault="009D2ADD" w:rsidP="009D2ADD">
      <w:pPr>
        <w:pStyle w:val="SingleTxtGR"/>
      </w:pPr>
      <w:r w:rsidRPr="009D2ADD">
        <w:rPr>
          <w:bCs/>
          <w:i/>
          <w:iCs/>
        </w:rPr>
        <w:t>Документация</w:t>
      </w:r>
      <w:r w:rsidRPr="009D2ADD">
        <w:rPr>
          <w:bCs/>
        </w:rPr>
        <w:t xml:space="preserve">: </w:t>
      </w:r>
      <w:r w:rsidRPr="009D2ADD">
        <w:t>неофициальный документ № 2</w:t>
      </w:r>
    </w:p>
    <w:p w:rsidR="009D2ADD" w:rsidRPr="009D2ADD" w:rsidRDefault="009D2ADD" w:rsidP="009D2ADD">
      <w:pPr>
        <w:pStyle w:val="SingleTxtGR"/>
      </w:pPr>
      <w:r w:rsidRPr="009D2ADD">
        <w:t>12.</w:t>
      </w:r>
      <w:r w:rsidRPr="009D2ADD">
        <w:tab/>
        <w:t>Это рабочее совещание было организовано на основе мандата Комитета по внутреннему транспорту (КВТ), в соответствии с которым Отделу следует продолжать работу, нацеленную на укрепление безопасности на внутреннем транспорте, в частности путем организации мероприятий по обмену данными и информацией об оптимальной практике. Итоги этого рабочего совещания должны послужить вкладом в работу Форума по безопасности на внутреннем транспорте КВТ.</w:t>
      </w:r>
    </w:p>
    <w:p w:rsidR="009D2ADD" w:rsidRPr="009D2ADD" w:rsidRDefault="009D2ADD" w:rsidP="009D2ADD">
      <w:pPr>
        <w:pStyle w:val="SingleTxtGR"/>
      </w:pPr>
      <w:r w:rsidRPr="009D2ADD">
        <w:t>13.</w:t>
      </w:r>
      <w:r w:rsidRPr="009D2ADD">
        <w:tab/>
        <w:t>Киберпространство и его базовая инфраструктура уязвимы к широкому спектру рисков, обусловленных как физическими причинами, так и киберугр</w:t>
      </w:r>
      <w:r w:rsidRPr="009D2ADD">
        <w:t>о</w:t>
      </w:r>
      <w:r w:rsidRPr="009D2ADD">
        <w:t>зами и опасностями. Обеспечить безопасность киберпространства особенно сложно в силу ряда факторов: способности злонамеренных субъектов ос</w:t>
      </w:r>
      <w:r w:rsidRPr="009D2ADD">
        <w:t>у</w:t>
      </w:r>
      <w:r w:rsidRPr="009D2ADD">
        <w:t>ществлять свою деятельность из любой точки мира, связей между киберпр</w:t>
      </w:r>
      <w:r w:rsidRPr="009D2ADD">
        <w:t>о</w:t>
      </w:r>
      <w:r w:rsidRPr="009D2ADD">
        <w:t>странством и физическими системами, а также трудностей снижения уязвим</w:t>
      </w:r>
      <w:r w:rsidRPr="009D2ADD">
        <w:t>о</w:t>
      </w:r>
      <w:r w:rsidRPr="009D2ADD">
        <w:t>сти комплексных компьютерных сетей и последствий для них. Растущую озаб</w:t>
      </w:r>
      <w:r w:rsidRPr="009D2ADD">
        <w:t>о</w:t>
      </w:r>
      <w:r w:rsidRPr="009D2ADD">
        <w:t>ченность вызывает киберугроза жизненно важной инфраструктуре, которая все чаще подвергается изощренным компьютерным атакам, создающим новые ри</w:t>
      </w:r>
      <w:r w:rsidRPr="009D2ADD">
        <w:t>с</w:t>
      </w:r>
      <w:r w:rsidRPr="009D2ADD">
        <w:t>ки. Поскольку информационные технологии во все большей степени интегр</w:t>
      </w:r>
      <w:r w:rsidRPr="009D2ADD">
        <w:t>и</w:t>
      </w:r>
      <w:r w:rsidRPr="009D2ADD">
        <w:t>руются с физической инфраструктурой, существует повышенный риск крупн</w:t>
      </w:r>
      <w:r w:rsidRPr="009D2ADD">
        <w:t>о</w:t>
      </w:r>
      <w:r w:rsidRPr="009D2ADD">
        <w:t>масштабных инцидентов или событий с тяжелыми последствиями, способных причинить вред или нарушить работу служб, от которых зависят национальные экономики и повседневная жизнь миллионов людей. Представители правител</w:t>
      </w:r>
      <w:r w:rsidRPr="009D2ADD">
        <w:t>ь</w:t>
      </w:r>
      <w:r w:rsidRPr="009D2ADD">
        <w:t>ств и международных организаций (программа рабочего совещания содержится в неофициальном документе № 2), специализирующиеся в вопросах кибербе</w:t>
      </w:r>
      <w:r w:rsidRPr="009D2ADD">
        <w:t>з</w:t>
      </w:r>
      <w:r w:rsidRPr="009D2ADD">
        <w:t>опасности и потенциально опасной транспортной инфраструктуры, обменялись опытом и примерами оптимальной практики в том, что касается способов дал</w:t>
      </w:r>
      <w:r w:rsidRPr="009D2ADD">
        <w:t>ь</w:t>
      </w:r>
      <w:r w:rsidRPr="009D2ADD">
        <w:t>нейшего повышения безопасности потенциально опасной транспортной инфр</w:t>
      </w:r>
      <w:r w:rsidRPr="009D2ADD">
        <w:t>а</w:t>
      </w:r>
      <w:r w:rsidRPr="009D2ADD">
        <w:t>структуры.</w:t>
      </w:r>
    </w:p>
    <w:p w:rsidR="009D2ADD" w:rsidRPr="009D2ADD" w:rsidRDefault="009D2ADD" w:rsidP="009D2ADD">
      <w:pPr>
        <w:pStyle w:val="SingleTxtGR"/>
      </w:pPr>
      <w:r w:rsidRPr="009D2ADD">
        <w:t>14.</w:t>
      </w:r>
      <w:r w:rsidRPr="009D2ADD">
        <w:tab/>
        <w:t>В ходе этого рабочего совещания его участники: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a</w:t>
      </w:r>
      <w:r w:rsidR="009D2ADD" w:rsidRPr="009D2ADD">
        <w:t>)</w:t>
      </w:r>
      <w:r w:rsidR="009D2ADD" w:rsidRPr="009D2ADD">
        <w:tab/>
        <w:t>приняли к сведению, что совершенно необходимо применять наиболее эффективные аппаратные средства, указав при этом, что оптимальные аппаратные средства должны использоваться вместе с оптимальными програ</w:t>
      </w:r>
      <w:r w:rsidR="009D2ADD" w:rsidRPr="009D2ADD">
        <w:t>м</w:t>
      </w:r>
      <w:r w:rsidR="009D2ADD" w:rsidRPr="009D2ADD">
        <w:t>мами, позволяющими предотвратить любое нарушение защиты программно-аппаратных средств;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b</w:t>
      </w:r>
      <w:r w:rsidR="009D2ADD" w:rsidRPr="009D2ADD">
        <w:t>)</w:t>
      </w:r>
      <w:r w:rsidR="009D2ADD" w:rsidRPr="009D2ADD">
        <w:tab/>
        <w:t>отметили и приняли к сведению, что подрядчики обычно поста</w:t>
      </w:r>
      <w:r w:rsidR="009D2ADD" w:rsidRPr="009D2ADD">
        <w:t>в</w:t>
      </w:r>
      <w:r w:rsidR="009D2ADD" w:rsidRPr="009D2ADD">
        <w:t xml:space="preserve">ляют программно-аппаратные средства (программы для камер), требующие поддержания в актуальном состоянии через специализированные веб-страницы, доступ к которым может получить каждый и на которых в программы могут быть внесены изменения, влияющие на эффективность </w:t>
      </w:r>
      <w:bookmarkStart w:id="14" w:name="OLE_LINK18"/>
      <w:bookmarkStart w:id="15" w:name="OLE_LINK19"/>
      <w:r w:rsidR="009D2ADD" w:rsidRPr="009D2ADD">
        <w:t>программно-</w:t>
      </w:r>
      <w:bookmarkStart w:id="16" w:name="OLE_LINK20"/>
      <w:bookmarkStart w:id="17" w:name="OLE_LINK21"/>
      <w:r w:rsidR="009D2ADD" w:rsidRPr="009D2ADD">
        <w:t>аппаратных средств</w:t>
      </w:r>
      <w:bookmarkEnd w:id="14"/>
      <w:bookmarkEnd w:id="15"/>
      <w:bookmarkEnd w:id="16"/>
      <w:bookmarkEnd w:id="17"/>
      <w:r w:rsidR="009D2ADD" w:rsidRPr="009D2ADD">
        <w:t xml:space="preserve">; 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c</w:t>
      </w:r>
      <w:r w:rsidR="009D2ADD" w:rsidRPr="009D2ADD">
        <w:t>)</w:t>
      </w:r>
      <w:r w:rsidR="009D2ADD" w:rsidRPr="009D2ADD">
        <w:tab/>
      </w:r>
      <w:bookmarkStart w:id="18" w:name="OLE_LINK22"/>
      <w:bookmarkStart w:id="19" w:name="OLE_LINK23"/>
      <w:r w:rsidR="009D2ADD" w:rsidRPr="009D2ADD">
        <w:t>приняли к сведению</w:t>
      </w:r>
      <w:bookmarkEnd w:id="18"/>
      <w:bookmarkEnd w:id="19"/>
      <w:r w:rsidR="009D2ADD" w:rsidRPr="009D2ADD">
        <w:t xml:space="preserve"> следующие рекомендации:</w:t>
      </w:r>
    </w:p>
    <w:p w:rsidR="009D2ADD" w:rsidRPr="009D2ADD" w:rsidRDefault="009D2ADD" w:rsidP="00CC6BAB">
      <w:pPr>
        <w:pStyle w:val="Bullet1GR"/>
      </w:pPr>
      <w:r w:rsidRPr="009D2ADD">
        <w:t>безопасность программно-аппаратных средств относится к разряду кр</w:t>
      </w:r>
      <w:r w:rsidRPr="009D2ADD">
        <w:t>и</w:t>
      </w:r>
      <w:r w:rsidRPr="009D2ADD">
        <w:t>тических проблем, между тем как многие эксперты по вопросам безопа</w:t>
      </w:r>
      <w:r w:rsidRPr="009D2ADD">
        <w:t>с</w:t>
      </w:r>
      <w:r w:rsidRPr="009D2ADD">
        <w:t>ности не осознают соответствующих рисков для безопасности;</w:t>
      </w:r>
    </w:p>
    <w:p w:rsidR="009D2ADD" w:rsidRPr="009D2ADD" w:rsidRDefault="009D2ADD" w:rsidP="00CC6BAB">
      <w:pPr>
        <w:pStyle w:val="Bullet1GR"/>
      </w:pPr>
      <w:r w:rsidRPr="009D2ADD">
        <w:lastRenderedPageBreak/>
        <w:t xml:space="preserve">отмечается, что, хотя эксперты приобретают аппаратные средства для общественной инфраструктуры, они стремятся к экономии средств, </w:t>
      </w:r>
      <w:r w:rsidR="00C54F65">
        <w:br/>
      </w:r>
      <w:r w:rsidRPr="009D2ADD">
        <w:t>сокращая объем долгосрочной технической помощи;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d</w:t>
      </w:r>
      <w:r w:rsidR="009D2ADD" w:rsidRPr="009D2ADD">
        <w:t>)</w:t>
      </w:r>
      <w:r w:rsidR="009D2ADD" w:rsidRPr="009D2ADD">
        <w:tab/>
        <w:t>приняли к сведению, что кибератаки могут быть более стремител</w:t>
      </w:r>
      <w:r w:rsidR="009D2ADD" w:rsidRPr="009D2ADD">
        <w:t>ь</w:t>
      </w:r>
      <w:r w:rsidR="009D2ADD" w:rsidRPr="009D2ADD">
        <w:t>ными, чем контрмеры, и поэтому их потенциальные негативные последствия могут быть более серьезными, чем в случае традиционных действий;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e</w:t>
      </w:r>
      <w:r w:rsidR="009D2ADD" w:rsidRPr="009D2ADD">
        <w:t>)</w:t>
      </w:r>
      <w:r w:rsidR="009D2ADD" w:rsidRPr="009D2ADD">
        <w:tab/>
        <w:t xml:space="preserve">отметили, что к числу кибератак относятся: </w:t>
      </w:r>
    </w:p>
    <w:p w:rsidR="009D2ADD" w:rsidRPr="009D2ADD" w:rsidRDefault="009D2ADD" w:rsidP="00CC6BAB">
      <w:pPr>
        <w:pStyle w:val="Bullet1GR"/>
      </w:pPr>
      <w:r w:rsidRPr="009D2ADD">
        <w:t>киберпреступления, совершаемые с целью извлечения выгоды</w:t>
      </w:r>
      <w:r w:rsidR="00C54F65">
        <w:t>;</w:t>
      </w:r>
    </w:p>
    <w:p w:rsidR="009D2ADD" w:rsidRPr="009D2ADD" w:rsidRDefault="009D2ADD" w:rsidP="00CC6BAB">
      <w:pPr>
        <w:pStyle w:val="Bullet1GR"/>
      </w:pPr>
      <w:r w:rsidRPr="009D2ADD">
        <w:t>действия по достижению социально-политических целей</w:t>
      </w:r>
      <w:r w:rsidR="00C54F65">
        <w:t>;</w:t>
      </w:r>
    </w:p>
    <w:p w:rsidR="009D2ADD" w:rsidRPr="009D2ADD" w:rsidRDefault="009D2ADD" w:rsidP="00CC6BAB">
      <w:pPr>
        <w:pStyle w:val="Bullet1GR"/>
      </w:pPr>
      <w:r w:rsidRPr="009D2ADD">
        <w:t>промышленный шпионаж для извлечения преимуществ в конкурентной борьбе</w:t>
      </w:r>
      <w:r w:rsidR="00C54F65">
        <w:t>;</w:t>
      </w:r>
    </w:p>
    <w:p w:rsidR="009D2ADD" w:rsidRPr="009D2ADD" w:rsidRDefault="009D2ADD" w:rsidP="00CC6BAB">
      <w:pPr>
        <w:pStyle w:val="Bullet1GR"/>
      </w:pPr>
      <w:r w:rsidRPr="009D2ADD">
        <w:t>подрывная деятельность в контексте террористических акций</w:t>
      </w:r>
      <w:r w:rsidR="00C54F65">
        <w:t>;</w:t>
      </w:r>
    </w:p>
    <w:p w:rsidR="009D2ADD" w:rsidRPr="009D2ADD" w:rsidRDefault="009D2ADD" w:rsidP="00CC6BAB">
      <w:pPr>
        <w:pStyle w:val="Bullet1GR"/>
      </w:pPr>
      <w:r w:rsidRPr="009D2ADD">
        <w:t>кибервойна в контексте международной стратегии разрушения;</w:t>
      </w:r>
    </w:p>
    <w:p w:rsidR="009D2ADD" w:rsidRPr="009D2ADD" w:rsidRDefault="00CC6BAB" w:rsidP="009D2ADD">
      <w:pPr>
        <w:pStyle w:val="SingleTxtGR"/>
      </w:pPr>
      <w:r>
        <w:tab/>
      </w:r>
      <w:r w:rsidR="009D2ADD" w:rsidRPr="009D2ADD">
        <w:rPr>
          <w:lang w:val="en-GB"/>
        </w:rPr>
        <w:t>f</w:t>
      </w:r>
      <w:r w:rsidR="009D2ADD" w:rsidRPr="009D2ADD">
        <w:t>)</w:t>
      </w:r>
      <w:r w:rsidR="009D2ADD" w:rsidRPr="009D2ADD">
        <w:tab/>
        <w:t>согласились с тем, что эффективность защиты предприятий и национальная безопасность завис</w:t>
      </w:r>
      <w:r w:rsidR="00C54F65">
        <w:t>я</w:t>
      </w:r>
      <w:r w:rsidR="009D2ADD" w:rsidRPr="009D2ADD">
        <w:t>т от сохранности и стойкости информацио</w:t>
      </w:r>
      <w:r w:rsidR="009D2ADD" w:rsidRPr="009D2ADD">
        <w:t>н</w:t>
      </w:r>
      <w:r w:rsidR="009D2ADD" w:rsidRPr="009D2ADD">
        <w:t>ных систем.</w:t>
      </w:r>
    </w:p>
    <w:p w:rsidR="009D2ADD" w:rsidRPr="009D2ADD" w:rsidRDefault="009D2ADD" w:rsidP="009D2ADD">
      <w:pPr>
        <w:pStyle w:val="SingleTxtGR"/>
      </w:pPr>
      <w:r w:rsidRPr="009D2ADD">
        <w:t>15.</w:t>
      </w:r>
      <w:r w:rsidRPr="009D2ADD">
        <w:tab/>
        <w:t>Рабочая группа приняла к сведению сообщения экспертов. Она поблаг</w:t>
      </w:r>
      <w:r w:rsidRPr="009D2ADD">
        <w:t>о</w:t>
      </w:r>
      <w:r w:rsidRPr="009D2ADD">
        <w:t>дарила экспертов за участие и просила секретариат позаботиться о том, чтобы итоговый документ этого рабочего совещания послужил вкладом в работу Ф</w:t>
      </w:r>
      <w:r w:rsidRPr="009D2ADD">
        <w:t>о</w:t>
      </w:r>
      <w:r w:rsidRPr="009D2ADD">
        <w:t>рума по безопасности на внутреннем транспорте КВТ.</w:t>
      </w:r>
    </w:p>
    <w:p w:rsidR="009D2ADD" w:rsidRPr="009D2ADD" w:rsidRDefault="009D2ADD" w:rsidP="009D2ADD">
      <w:pPr>
        <w:pStyle w:val="SingleTxtGR"/>
      </w:pPr>
      <w:r w:rsidRPr="009D2ADD">
        <w:t>16.</w:t>
      </w:r>
      <w:r w:rsidRPr="009D2ADD">
        <w:tab/>
        <w:t xml:space="preserve">Отчет об этом рабочем совещании и все соответствующие материалы представлены на веб-сайте ЕЭК ООН по адресу </w:t>
      </w:r>
      <w:hyperlink r:id="rId11" w:history="1">
        <w:r w:rsidRPr="009D2ADD">
          <w:rPr>
            <w:rStyle w:val="Hyperlink"/>
            <w:lang w:val="en-GB"/>
          </w:rPr>
          <w:t>www</w:t>
        </w:r>
        <w:r w:rsidRPr="009D2ADD">
          <w:rPr>
            <w:rStyle w:val="Hyperlink"/>
          </w:rPr>
          <w:t>.</w:t>
        </w:r>
        <w:r w:rsidRPr="009D2ADD">
          <w:rPr>
            <w:rStyle w:val="Hyperlink"/>
            <w:lang w:val="en-GB"/>
          </w:rPr>
          <w:t>unece</w:t>
        </w:r>
        <w:r w:rsidRPr="009D2ADD">
          <w:rPr>
            <w:rStyle w:val="Hyperlink"/>
          </w:rPr>
          <w:t>.</w:t>
        </w:r>
        <w:r w:rsidRPr="009D2ADD">
          <w:rPr>
            <w:rStyle w:val="Hyperlink"/>
            <w:lang w:val="en-GB"/>
          </w:rPr>
          <w:t>org</w:t>
        </w:r>
        <w:r w:rsidRPr="009D2ADD">
          <w:rPr>
            <w:rStyle w:val="Hyperlink"/>
          </w:rPr>
          <w:t>/</w:t>
        </w:r>
        <w:r w:rsidRPr="009D2ADD">
          <w:rPr>
            <w:rStyle w:val="Hyperlink"/>
            <w:lang w:val="en-GB"/>
          </w:rPr>
          <w:t>trans</w:t>
        </w:r>
        <w:r w:rsidRPr="009D2ADD">
          <w:rPr>
            <w:rStyle w:val="Hyperlink"/>
          </w:rPr>
          <w:t>/</w:t>
        </w:r>
        <w:r w:rsidRPr="009D2ADD">
          <w:rPr>
            <w:rStyle w:val="Hyperlink"/>
            <w:lang w:val="en-GB"/>
          </w:rPr>
          <w:t>main</w:t>
        </w:r>
        <w:r w:rsidRPr="009D2ADD">
          <w:rPr>
            <w:rStyle w:val="Hyperlink"/>
          </w:rPr>
          <w:t>/</w:t>
        </w:r>
        <w:r w:rsidR="00CC6BAB">
          <w:rPr>
            <w:rStyle w:val="Hyperlink"/>
          </w:rPr>
          <w:t xml:space="preserve"> </w:t>
        </w:r>
        <w:r w:rsidRPr="009D2ADD">
          <w:rPr>
            <w:rStyle w:val="Hyperlink"/>
            <w:lang w:val="en-GB"/>
          </w:rPr>
          <w:t>wp</w:t>
        </w:r>
        <w:r w:rsidRPr="009D2ADD">
          <w:rPr>
            <w:rStyle w:val="Hyperlink"/>
          </w:rPr>
          <w:t>5/</w:t>
        </w:r>
        <w:r w:rsidRPr="009D2ADD">
          <w:rPr>
            <w:rStyle w:val="Hyperlink"/>
            <w:lang w:val="en-GB"/>
          </w:rPr>
          <w:t>critical</w:t>
        </w:r>
        <w:r w:rsidRPr="009D2ADD">
          <w:rPr>
            <w:rStyle w:val="Hyperlink"/>
          </w:rPr>
          <w:t>_</w:t>
        </w:r>
        <w:r w:rsidRPr="009D2ADD">
          <w:rPr>
            <w:rStyle w:val="Hyperlink"/>
            <w:lang w:val="en-GB"/>
          </w:rPr>
          <w:t>transport</w:t>
        </w:r>
        <w:r w:rsidRPr="009D2ADD">
          <w:rPr>
            <w:rStyle w:val="Hyperlink"/>
          </w:rPr>
          <w:t>_</w:t>
        </w:r>
        <w:r w:rsidRPr="009D2ADD">
          <w:rPr>
            <w:rStyle w:val="Hyperlink"/>
            <w:lang w:val="en-GB"/>
          </w:rPr>
          <w:t>infrastructure</w:t>
        </w:r>
        <w:r w:rsidRPr="009D2ADD">
          <w:rPr>
            <w:rStyle w:val="Hyperlink"/>
          </w:rPr>
          <w:t>_</w:t>
        </w:r>
        <w:r w:rsidRPr="009D2ADD">
          <w:rPr>
            <w:rStyle w:val="Hyperlink"/>
            <w:lang w:val="en-GB"/>
          </w:rPr>
          <w:t>and</w:t>
        </w:r>
        <w:r w:rsidRPr="009D2ADD">
          <w:rPr>
            <w:rStyle w:val="Hyperlink"/>
          </w:rPr>
          <w:t>_</w:t>
        </w:r>
        <w:r w:rsidRPr="009D2ADD">
          <w:rPr>
            <w:rStyle w:val="Hyperlink"/>
            <w:lang w:val="en-GB"/>
          </w:rPr>
          <w:t>cyber</w:t>
        </w:r>
        <w:r w:rsidRPr="009D2ADD">
          <w:rPr>
            <w:rStyle w:val="Hyperlink"/>
          </w:rPr>
          <w:t>_</w:t>
        </w:r>
        <w:r w:rsidRPr="009D2ADD">
          <w:rPr>
            <w:rStyle w:val="Hyperlink"/>
            <w:lang w:val="en-GB"/>
          </w:rPr>
          <w:t>security</w:t>
        </w:r>
        <w:r w:rsidRPr="009D2ADD">
          <w:rPr>
            <w:rStyle w:val="Hyperlink"/>
          </w:rPr>
          <w:t>.</w:t>
        </w:r>
        <w:r w:rsidRPr="009D2ADD">
          <w:rPr>
            <w:rStyle w:val="Hyperlink"/>
            <w:lang w:val="en-GB"/>
          </w:rPr>
          <w:t>html</w:t>
        </w:r>
      </w:hyperlink>
      <w:r w:rsidRPr="009D2ADD">
        <w:t xml:space="preserve">. </w:t>
      </w:r>
    </w:p>
    <w:p w:rsidR="009D2ADD" w:rsidRPr="00CC6BAB" w:rsidRDefault="009D2ADD" w:rsidP="00CC6BAB">
      <w:pPr>
        <w:pStyle w:val="HChGR"/>
      </w:pPr>
      <w:r w:rsidRPr="00CC6BAB">
        <w:tab/>
        <w:t>V.</w:t>
      </w:r>
      <w:r w:rsidRPr="00CC6BAB">
        <w:tab/>
        <w:t>Связи между портами и внутренними районами (пункт 4 повестки дня)</w:t>
      </w:r>
    </w:p>
    <w:p w:rsidR="009D2ADD" w:rsidRPr="009D2ADD" w:rsidRDefault="009D2ADD" w:rsidP="009D2ADD">
      <w:pPr>
        <w:pStyle w:val="SingleTxtGR"/>
      </w:pPr>
      <w:r w:rsidRPr="009D2ADD">
        <w:rPr>
          <w:bCs/>
          <w:i/>
          <w:iCs/>
        </w:rPr>
        <w:t>Документация</w:t>
      </w:r>
      <w:r w:rsidRPr="009D2ADD">
        <w:rPr>
          <w:bCs/>
        </w:rPr>
        <w:t xml:space="preserve">: </w:t>
      </w:r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</w:t>
      </w:r>
      <w:r w:rsidRPr="009D2ADD">
        <w:rPr>
          <w:lang w:val="en-GB"/>
        </w:rPr>
        <w:t>WP</w:t>
      </w:r>
      <w:r w:rsidRPr="009D2ADD">
        <w:t>.5/2015/3, неофициальный документ № 3</w:t>
      </w:r>
    </w:p>
    <w:p w:rsidR="009D2ADD" w:rsidRPr="009D2ADD" w:rsidRDefault="009D2ADD" w:rsidP="009D2ADD">
      <w:pPr>
        <w:pStyle w:val="SingleTxtGR"/>
      </w:pPr>
      <w:r w:rsidRPr="009D2ADD">
        <w:t>17.</w:t>
      </w:r>
      <w:r w:rsidRPr="009D2ADD">
        <w:tab/>
        <w:t>Рабочая группа напомнила, что на своей прошлогодней сессии она пр</w:t>
      </w:r>
      <w:r w:rsidRPr="009D2ADD">
        <w:t>и</w:t>
      </w:r>
      <w:r w:rsidRPr="009D2ADD">
        <w:t>няла к сведению информацию о центре мониторинга связей между портами и внутренними районами, созданном в рамках программы Средиземноморской сети (</w:t>
      </w:r>
      <w:r w:rsidR="00CC6BAB">
        <w:t>«</w:t>
      </w:r>
      <w:r w:rsidRPr="009D2ADD">
        <w:t>МедНет</w:t>
      </w:r>
      <w:r w:rsidR="00CC6BAB">
        <w:t>»</w:t>
      </w:r>
      <w:r w:rsidRPr="009D2ADD">
        <w:t xml:space="preserve">). Она отметила, что реализация </w:t>
      </w:r>
      <w:r w:rsidR="00CC6BAB">
        <w:t>«</w:t>
      </w:r>
      <w:r w:rsidRPr="009D2ADD">
        <w:t>МедНет</w:t>
      </w:r>
      <w:r w:rsidR="00CC6BAB">
        <w:t>»</w:t>
      </w:r>
      <w:r w:rsidRPr="009D2ADD">
        <w:t xml:space="preserve"> завершится в мае 2015 года. Она также отметила, что секретариат уже получил от представителей этого проекта неофициальное подтверждение относительно того, что впредь он будет обеспечивать хостинг платформы мониторинга связей между портами и внутренними районами, ее обслуживание и дальнейшее распространение на все страны ЕЭК ООН. Центр мониторинга связей между портами и внутренними районами представляет собой передовую интернет-платформу для портовых служб и заинтересованных участников, которая обеспечивает распространение специальных знаний и передового опыта и облегчает обмен мнениями и и</w:t>
      </w:r>
      <w:r w:rsidRPr="009D2ADD">
        <w:t>н</w:t>
      </w:r>
      <w:r w:rsidRPr="009D2ADD">
        <w:t xml:space="preserve">формацией о мероприятиях и процедурах, связанных с функционированием портов. </w:t>
      </w:r>
    </w:p>
    <w:p w:rsidR="009D2ADD" w:rsidRPr="009D2ADD" w:rsidRDefault="009D2ADD" w:rsidP="009D2ADD">
      <w:pPr>
        <w:pStyle w:val="SingleTxtGR"/>
      </w:pPr>
      <w:r w:rsidRPr="009D2ADD">
        <w:t>18.</w:t>
      </w:r>
      <w:r w:rsidRPr="009D2ADD">
        <w:tab/>
        <w:t>Рабочая группа на своей прошлой сессии поручила секретариату – в ож</w:t>
      </w:r>
      <w:r w:rsidRPr="009D2ADD">
        <w:t>и</w:t>
      </w:r>
      <w:r w:rsidRPr="009D2ADD">
        <w:t>дании официального ответа от представителей проекта Средиземноморской с</w:t>
      </w:r>
      <w:r w:rsidRPr="009D2ADD">
        <w:t>е</w:t>
      </w:r>
      <w:r w:rsidRPr="009D2ADD">
        <w:t xml:space="preserve">ти – провести анализ и проинформировать Рабочую группу </w:t>
      </w:r>
      <w:bookmarkStart w:id="20" w:name="OLE_LINK24"/>
      <w:bookmarkStart w:id="21" w:name="OLE_LINK25"/>
      <w:r w:rsidRPr="009D2ADD">
        <w:t xml:space="preserve">о финансовых </w:t>
      </w:r>
      <w:r w:rsidR="00C54F65">
        <w:br/>
      </w:r>
      <w:r w:rsidRPr="009D2ADD">
        <w:t>последствиях</w:t>
      </w:r>
      <w:bookmarkEnd w:id="20"/>
      <w:bookmarkEnd w:id="21"/>
      <w:r w:rsidRPr="009D2ADD">
        <w:t xml:space="preserve"> хостинга и технического обслуживания этой платформы для се</w:t>
      </w:r>
      <w:r w:rsidRPr="009D2ADD">
        <w:t>к</w:t>
      </w:r>
      <w:r w:rsidRPr="009D2ADD">
        <w:lastRenderedPageBreak/>
        <w:t>ретариата. Кроме того, Рабочая группа вновь указала на необходимость сотру</w:t>
      </w:r>
      <w:r w:rsidRPr="009D2ADD">
        <w:t>д</w:t>
      </w:r>
      <w:r w:rsidRPr="009D2ADD">
        <w:t>ничества Рабочей группы с другими рабочими группами ЕЭК, имеющими о</w:t>
      </w:r>
      <w:r w:rsidRPr="009D2ADD">
        <w:t>т</w:t>
      </w:r>
      <w:r w:rsidRPr="009D2ADD">
        <w:t>ношение к ее деятельности, в частности с Рабочей группой по внутреннему водному транспорту (</w:t>
      </w:r>
      <w:r w:rsidRPr="009D2ADD">
        <w:rPr>
          <w:lang w:val="en-GB"/>
        </w:rPr>
        <w:t>SC</w:t>
      </w:r>
      <w:r w:rsidRPr="009D2ADD">
        <w:t>.3).</w:t>
      </w:r>
    </w:p>
    <w:p w:rsidR="009D2ADD" w:rsidRPr="009D2ADD" w:rsidRDefault="009D2ADD" w:rsidP="009D2ADD">
      <w:pPr>
        <w:pStyle w:val="SingleTxtGR"/>
      </w:pPr>
      <w:r w:rsidRPr="009D2ADD">
        <w:t>19.</w:t>
      </w:r>
      <w:r w:rsidRPr="009D2ADD">
        <w:tab/>
        <w:t>Рабочая группа приняла к сведению переданную секретариатом инфо</w:t>
      </w:r>
      <w:r w:rsidRPr="009D2ADD">
        <w:t>р</w:t>
      </w:r>
      <w:r w:rsidRPr="009D2ADD">
        <w:t>мацию о финансовых последствиях функционирования такого центра монит</w:t>
      </w:r>
      <w:r w:rsidRPr="009D2ADD">
        <w:t>о</w:t>
      </w:r>
      <w:r w:rsidRPr="009D2ADD">
        <w:t>ринга. Следует исключить вероятность любых дополнительных издержек и обеспечить его функционирование на основе принципа самоокупаемости. Это означает, что правительственные эксперты будут отвечать за ввод и обновление любой информации, предоставляемой в рамках данной системы. Кроме того, секретариат сообщил, что пока от проекта Средиземноморской сети никакого официального ответа не поступило.</w:t>
      </w:r>
    </w:p>
    <w:p w:rsidR="009D2ADD" w:rsidRPr="009D2ADD" w:rsidRDefault="009D2ADD" w:rsidP="009D2ADD">
      <w:pPr>
        <w:pStyle w:val="SingleTxtGR"/>
      </w:pPr>
      <w:r w:rsidRPr="009D2ADD">
        <w:t>20.</w:t>
      </w:r>
      <w:r w:rsidRPr="009D2ADD">
        <w:tab/>
        <w:t>Рабочая группа решила отложить принятие решения по этому вопросу и поручила секретариату сообщить любую новую информацию на этот счет на ее следующей сессии.</w:t>
      </w:r>
    </w:p>
    <w:p w:rsidR="009D2ADD" w:rsidRPr="00CC6BAB" w:rsidRDefault="009D2ADD" w:rsidP="00CC6BAB">
      <w:pPr>
        <w:pStyle w:val="HChGR"/>
      </w:pPr>
      <w:r w:rsidRPr="00CC6BAB">
        <w:tab/>
        <w:t>VI.</w:t>
      </w:r>
      <w:r w:rsidRPr="00CC6BAB">
        <w:tab/>
        <w:t>Отслеживание изменений в общеевропейских транспортных сетях (пункт 5 повестки дня)</w:t>
      </w:r>
    </w:p>
    <w:p w:rsidR="009D2ADD" w:rsidRPr="009D2ADD" w:rsidRDefault="009D2ADD" w:rsidP="001C2490">
      <w:pPr>
        <w:pStyle w:val="H1GR"/>
      </w:pPr>
      <w:r w:rsidRPr="009D2ADD">
        <w:tab/>
      </w:r>
      <w:r w:rsidRPr="009D2ADD">
        <w:rPr>
          <w:lang w:val="en-GB"/>
        </w:rPr>
        <w:t>A</w:t>
      </w:r>
      <w:r w:rsidRPr="009D2ADD">
        <w:t>.</w:t>
      </w:r>
      <w:r w:rsidRPr="009D2ADD">
        <w:tab/>
        <w:t>Краткое сообщение Европейской комиссии о ходе формирования Трансъевропейской транспортной сети</w:t>
      </w:r>
    </w:p>
    <w:p w:rsidR="009D2ADD" w:rsidRPr="009D2ADD" w:rsidRDefault="009D2ADD" w:rsidP="009D2ADD">
      <w:pPr>
        <w:pStyle w:val="SingleTxtGR"/>
      </w:pPr>
      <w:r w:rsidRPr="009D2ADD">
        <w:rPr>
          <w:bCs/>
          <w:i/>
          <w:iCs/>
        </w:rPr>
        <w:t>Документация</w:t>
      </w:r>
      <w:r w:rsidRPr="009D2ADD">
        <w:rPr>
          <w:bCs/>
        </w:rPr>
        <w:t>: н</w:t>
      </w:r>
      <w:r w:rsidRPr="009D2ADD">
        <w:t>еофициальный документ № 4</w:t>
      </w:r>
    </w:p>
    <w:p w:rsidR="009D2ADD" w:rsidRPr="009D2ADD" w:rsidRDefault="009D2ADD" w:rsidP="009D2ADD">
      <w:pPr>
        <w:pStyle w:val="SingleTxtGR"/>
      </w:pPr>
      <w:r w:rsidRPr="009D2ADD">
        <w:rPr>
          <w:bCs/>
          <w:iCs/>
        </w:rPr>
        <w:t>21.</w:t>
      </w:r>
      <w:r w:rsidRPr="009D2ADD">
        <w:rPr>
          <w:bCs/>
          <w:iCs/>
        </w:rPr>
        <w:tab/>
        <w:t>Рабочая группа приняла к сведению сообщение секретариата и выразила признательность за краткую информацию о ходе реализации проекта Трансъе</w:t>
      </w:r>
      <w:r w:rsidRPr="009D2ADD">
        <w:rPr>
          <w:bCs/>
          <w:iCs/>
        </w:rPr>
        <w:t>в</w:t>
      </w:r>
      <w:r w:rsidRPr="009D2ADD">
        <w:rPr>
          <w:bCs/>
          <w:iCs/>
        </w:rPr>
        <w:t>ропейской транспортной сети</w:t>
      </w:r>
      <w:r w:rsidRPr="009D2ADD">
        <w:t>. Рабочая группа просила ЕК и впредь информ</w:t>
      </w:r>
      <w:r w:rsidRPr="009D2ADD">
        <w:t>и</w:t>
      </w:r>
      <w:r w:rsidRPr="009D2ADD">
        <w:t>ровать ее о своей деятельности, связанной с общеевропейскими коридорами, и представить обновленные данные на тридцатой сессии в 2017 году.</w:t>
      </w:r>
    </w:p>
    <w:p w:rsidR="009D2ADD" w:rsidRPr="001C2490" w:rsidRDefault="009D2ADD" w:rsidP="001C2490">
      <w:pPr>
        <w:pStyle w:val="H1GR"/>
      </w:pPr>
      <w:r w:rsidRPr="001C2490">
        <w:tab/>
        <w:t>B.</w:t>
      </w:r>
      <w:r w:rsidRPr="001C2490">
        <w:tab/>
        <w:t xml:space="preserve">Проекты Трансъевропейской автомагистрали </w:t>
      </w:r>
      <w:r w:rsidR="001C2490">
        <w:br/>
      </w:r>
      <w:r w:rsidRPr="001C2490">
        <w:t>и Трансъевропейской железнодорожной магистрали</w:t>
      </w:r>
    </w:p>
    <w:p w:rsidR="009D2ADD" w:rsidRPr="009D2ADD" w:rsidRDefault="009D2ADD" w:rsidP="009D2ADD">
      <w:pPr>
        <w:pStyle w:val="SingleTxtGR"/>
        <w:rPr>
          <w:bCs/>
          <w:lang w:val="en-GB"/>
        </w:rPr>
      </w:pPr>
      <w:r w:rsidRPr="009D2ADD">
        <w:rPr>
          <w:bCs/>
          <w:i/>
          <w:iCs/>
          <w:lang w:val="en-GB"/>
        </w:rPr>
        <w:t>Документация</w:t>
      </w:r>
      <w:r w:rsidRPr="009D2ADD">
        <w:rPr>
          <w:bCs/>
          <w:lang w:val="en-GB"/>
        </w:rPr>
        <w:t>: ECE/TRANS/WP.5/2016/1, ECE/TRANS/WP.5/2016/2</w:t>
      </w:r>
    </w:p>
    <w:p w:rsidR="009D2ADD" w:rsidRPr="009D2ADD" w:rsidRDefault="009D2ADD" w:rsidP="009D2ADD">
      <w:pPr>
        <w:pStyle w:val="SingleTxtGR"/>
      </w:pPr>
      <w:r w:rsidRPr="009D2ADD">
        <w:t>22.</w:t>
      </w:r>
      <w:r w:rsidRPr="009D2ADD">
        <w:tab/>
        <w:t>Рабочая группа выразила признательность за представленную управля</w:t>
      </w:r>
      <w:r w:rsidRPr="009D2ADD">
        <w:t>ю</w:t>
      </w:r>
      <w:r w:rsidRPr="009D2ADD">
        <w:t>щим проекта ТЕЖ обновленную информацию о деятельности, проведенной в рамках проекта ТЕЖ в 2015−2016 годах, вновь заявила о поддержке проекта и просила управляющего представить обновленную информацию о соответст</w:t>
      </w:r>
      <w:r w:rsidR="00C54F65">
        <w:t>-</w:t>
      </w:r>
      <w:r w:rsidRPr="009D2ADD">
        <w:t>вующих изменениях в связи с проектом ТЕЖ на ее тридцатой сессии в 2017 г</w:t>
      </w:r>
      <w:r w:rsidRPr="009D2ADD">
        <w:t>о</w:t>
      </w:r>
      <w:r w:rsidRPr="009D2ADD">
        <w:t>ду.</w:t>
      </w:r>
    </w:p>
    <w:p w:rsidR="009D2ADD" w:rsidRPr="009D2ADD" w:rsidRDefault="009D2ADD" w:rsidP="009D2ADD">
      <w:pPr>
        <w:pStyle w:val="SingleTxtGR"/>
      </w:pPr>
      <w:r w:rsidRPr="009D2ADD">
        <w:t>23.</w:t>
      </w:r>
      <w:r w:rsidRPr="009D2ADD">
        <w:tab/>
        <w:t xml:space="preserve">В ходе сороковой сессии Руководящего </w:t>
      </w:r>
      <w:r w:rsidR="001C2490">
        <w:t>комитета ТЕЖ (Вена, 17 мая 2016 </w:t>
      </w:r>
      <w:r w:rsidRPr="009D2ADD">
        <w:t>года) были обсуждены и согласованы следующие аспекты: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a</w:t>
      </w:r>
      <w:r w:rsidR="009D2ADD" w:rsidRPr="009D2ADD">
        <w:t>)</w:t>
      </w:r>
      <w:r w:rsidR="009D2ADD" w:rsidRPr="009D2ADD">
        <w:tab/>
        <w:t>руководство сосредоточило свои усилия на дискуссии и перегов</w:t>
      </w:r>
      <w:r w:rsidR="009D2ADD" w:rsidRPr="009D2ADD">
        <w:t>о</w:t>
      </w:r>
      <w:r w:rsidR="009D2ADD" w:rsidRPr="009D2ADD">
        <w:t>рах с правительствами Азербайджана, Беларуси, Венгрии, Казахстана и Укра</w:t>
      </w:r>
      <w:r w:rsidR="009D2ADD" w:rsidRPr="009D2ADD">
        <w:t>и</w:t>
      </w:r>
      <w:r w:rsidR="009D2ADD" w:rsidRPr="009D2ADD">
        <w:t>ны, с тем чтобы эти страны стали участницами проекта;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b</w:t>
      </w:r>
      <w:r w:rsidR="009D2ADD" w:rsidRPr="009D2ADD">
        <w:t>)</w:t>
      </w:r>
      <w:r w:rsidR="009D2ADD" w:rsidRPr="009D2ADD">
        <w:tab/>
        <w:t>была начата работа по Генеральному плану для высокоскоростного железнодорожного пути, и консультант сообщил о первых результатах своего исследования на основе согласованной технологии;</w:t>
      </w:r>
    </w:p>
    <w:p w:rsidR="009D2ADD" w:rsidRPr="009D2ADD" w:rsidRDefault="001C2490" w:rsidP="009D2ADD">
      <w:pPr>
        <w:pStyle w:val="SingleTxtGR"/>
      </w:pPr>
      <w:r>
        <w:lastRenderedPageBreak/>
        <w:tab/>
      </w:r>
      <w:r w:rsidR="009D2ADD" w:rsidRPr="009D2ADD">
        <w:rPr>
          <w:lang w:val="en-GB"/>
        </w:rPr>
        <w:t>c</w:t>
      </w:r>
      <w:r w:rsidR="009D2ADD" w:rsidRPr="009D2ADD">
        <w:t>)</w:t>
      </w:r>
      <w:r w:rsidR="009D2ADD" w:rsidRPr="009D2ADD">
        <w:tab/>
        <w:t>были обсуждены вопросы о содержании брошюры ТЕЖ в рамках стимулирования реализации проекта, а также о технических требованиях и о выборе подрядчика, который завершит работу над этой брошюрой и выпустит ее, и были приняты соответствующие решения;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d</w:t>
      </w:r>
      <w:r w:rsidR="009D2ADD" w:rsidRPr="009D2ADD">
        <w:t>)</w:t>
      </w:r>
      <w:r w:rsidR="009D2ADD" w:rsidRPr="009D2ADD">
        <w:tab/>
        <w:t>осуществляется пересмотр основной сети ТЕЖ, и консультант по</w:t>
      </w:r>
      <w:r w:rsidR="009D2ADD" w:rsidRPr="009D2ADD">
        <w:t>д</w:t>
      </w:r>
      <w:r w:rsidR="009D2ADD" w:rsidRPr="009D2ADD">
        <w:t>готовил проекты карт, отражающих состояние сети в 2016 году;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e</w:t>
      </w:r>
      <w:r w:rsidR="009D2ADD" w:rsidRPr="009D2ADD">
        <w:t>)</w:t>
      </w:r>
      <w:r w:rsidR="009D2ADD" w:rsidRPr="009D2ADD">
        <w:tab/>
        <w:t>завершена подготовка соглашения о принимающей стране между ТЕЖ и Правительством Сербии, и органы власти Сербии предоставили пом</w:t>
      </w:r>
      <w:r w:rsidR="009D2ADD" w:rsidRPr="009D2ADD">
        <w:t>е</w:t>
      </w:r>
      <w:r w:rsidR="009D2ADD" w:rsidRPr="009D2ADD">
        <w:t>щения для управления ТЕЖ в Белграде;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f</w:t>
      </w:r>
      <w:r w:rsidR="009D2ADD" w:rsidRPr="009D2ADD">
        <w:t>)</w:t>
      </w:r>
      <w:r w:rsidR="009D2ADD" w:rsidRPr="009D2ADD">
        <w:tab/>
        <w:t>завершена подготовка контра</w:t>
      </w:r>
      <w:r w:rsidR="00C54F65">
        <w:t>кта управляющего проекта ТЕЖ, а </w:t>
      </w:r>
      <w:r w:rsidR="009D2ADD" w:rsidRPr="009D2ADD">
        <w:t>контракт заместителя управляющего находится на заключительном этапе ра</w:t>
      </w:r>
      <w:r w:rsidR="009D2ADD" w:rsidRPr="009D2ADD">
        <w:t>з</w:t>
      </w:r>
      <w:r w:rsidR="009D2ADD" w:rsidRPr="009D2ADD">
        <w:t>работки.</w:t>
      </w:r>
    </w:p>
    <w:p w:rsidR="009D2ADD" w:rsidRPr="009D2ADD" w:rsidRDefault="009D2ADD" w:rsidP="009D2ADD">
      <w:pPr>
        <w:pStyle w:val="SingleTxtGR"/>
      </w:pPr>
      <w:r w:rsidRPr="009D2ADD">
        <w:t>24.</w:t>
      </w:r>
      <w:r w:rsidRPr="009D2ADD">
        <w:tab/>
        <w:t>Рабочая группа с удовлетворением отметила сообщение ЦУП ТЕА о де</w:t>
      </w:r>
      <w:r w:rsidRPr="009D2ADD">
        <w:t>я</w:t>
      </w:r>
      <w:r w:rsidRPr="009D2ADD">
        <w:t xml:space="preserve">тельности, проведенной в рамках проекта ТЕА в период 2015–2016 годов, вновь заявила о своей поддержке проекта и просила управляющего представить </w:t>
      </w:r>
      <w:r w:rsidR="00C54F65">
        <w:br/>
      </w:r>
      <w:r w:rsidRPr="009D2ADD">
        <w:t>обновленную информацию о соответствующих изменениях в связи с проектом ТЕА на ее тридцатой сессии в 2017 году.</w:t>
      </w:r>
    </w:p>
    <w:p w:rsidR="009D2ADD" w:rsidRPr="009D2ADD" w:rsidRDefault="009D2ADD" w:rsidP="009D2ADD">
      <w:pPr>
        <w:pStyle w:val="SingleTxtGR"/>
      </w:pPr>
      <w:r w:rsidRPr="009D2ADD">
        <w:t>25.</w:t>
      </w:r>
      <w:r w:rsidRPr="009D2ADD">
        <w:tab/>
        <w:t>В ходе шестьдесят четвертой сессии Руководящего комитета ТЕА (16 д</w:t>
      </w:r>
      <w:r w:rsidRPr="009D2ADD">
        <w:t>е</w:t>
      </w:r>
      <w:r w:rsidRPr="009D2ADD">
        <w:t>кабря 2015 года, Вена) управляющим проекта ТЕА на период 2016–2017 годов был переизбран заместитель Генерального директора Национального агентства по вопросам дорог (</w:t>
      </w:r>
      <w:r w:rsidRPr="009D2ADD">
        <w:rPr>
          <w:lang w:val="en-GB"/>
        </w:rPr>
        <w:t>GDDKiA</w:t>
      </w:r>
      <w:r w:rsidRPr="009D2ADD">
        <w:t>) Польши г-н Анджей Мациевски. Он предложил программу работы ТЕА на 2016 год, которая была принята Руководящим ком</w:t>
      </w:r>
      <w:r w:rsidRPr="009D2ADD">
        <w:t>и</w:t>
      </w:r>
      <w:r w:rsidRPr="009D2ADD">
        <w:t>тетом.</w:t>
      </w:r>
    </w:p>
    <w:p w:rsidR="009D2ADD" w:rsidRPr="009D2ADD" w:rsidRDefault="009D2ADD" w:rsidP="009D2ADD">
      <w:pPr>
        <w:pStyle w:val="SingleTxtGR"/>
      </w:pPr>
      <w:r w:rsidRPr="009D2ADD">
        <w:t>26.</w:t>
      </w:r>
      <w:r w:rsidRPr="009D2ADD">
        <w:tab/>
        <w:t>Управляющий проекта ТЕА представил новую стратег</w:t>
      </w:r>
      <w:r w:rsidR="001C2490">
        <w:t>ию проекта. В </w:t>
      </w:r>
      <w:r w:rsidRPr="009D2ADD">
        <w:t>стратегическом плане проиллюстрированы основные принципы реализации проекта ТЕА на период с 2016 по 2020 годы. Проект ТЕА оказывает поддержку ЕЭК ООН и КВТ в достижении целей устойчивого развития по вопросам, св</w:t>
      </w:r>
      <w:r w:rsidRPr="009D2ADD">
        <w:t>я</w:t>
      </w:r>
      <w:r w:rsidRPr="009D2ADD">
        <w:t>занным с управлением автодорожной инфраструктурой. Проектом ТЕА будут разъяснены цели устойчивого развития, которые затем будут трансформиров</w:t>
      </w:r>
      <w:r w:rsidRPr="009D2ADD">
        <w:t>а</w:t>
      </w:r>
      <w:r w:rsidRPr="009D2ADD">
        <w:t>ны в стратегические инициативы, связанные с ключевыми аспектами управл</w:t>
      </w:r>
      <w:r w:rsidRPr="009D2ADD">
        <w:t>е</w:t>
      </w:r>
      <w:r w:rsidRPr="009D2ADD">
        <w:t>ния автодорожной инфраструктурой. Определенные в стратегическом плане а</w:t>
      </w:r>
      <w:r w:rsidRPr="009D2ADD">
        <w:t>с</w:t>
      </w:r>
      <w:r w:rsidRPr="009D2ADD">
        <w:t>пекты развития были классифицированы по следующим стратегическим обл</w:t>
      </w:r>
      <w:r w:rsidRPr="009D2ADD">
        <w:t>а</w:t>
      </w:r>
      <w:r w:rsidRPr="009D2ADD">
        <w:t>стям: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US"/>
        </w:rPr>
        <w:t>a</w:t>
      </w:r>
      <w:r w:rsidR="009D2ADD" w:rsidRPr="009D2ADD">
        <w:t>)</w:t>
      </w:r>
      <w:r w:rsidR="009D2ADD" w:rsidRPr="009D2ADD">
        <w:tab/>
        <w:t xml:space="preserve">область </w:t>
      </w:r>
      <w:r w:rsidR="009D2ADD" w:rsidRPr="009D2ADD">
        <w:rPr>
          <w:lang w:val="en-US"/>
        </w:rPr>
        <w:t>A</w:t>
      </w:r>
      <w:r w:rsidR="009D2ADD" w:rsidRPr="009D2ADD">
        <w:t xml:space="preserve"> – окружающая среда и ее охрана</w:t>
      </w:r>
      <w:r w:rsidR="0057725E">
        <w:t>;</w:t>
      </w:r>
      <w:r w:rsidR="009D2ADD" w:rsidRPr="009D2ADD">
        <w:t xml:space="preserve"> 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US"/>
        </w:rPr>
        <w:t>b</w:t>
      </w:r>
      <w:r w:rsidR="009D2ADD" w:rsidRPr="009D2ADD">
        <w:t>)</w:t>
      </w:r>
      <w:r w:rsidR="009D2ADD" w:rsidRPr="009D2ADD">
        <w:tab/>
        <w:t xml:space="preserve">область </w:t>
      </w:r>
      <w:r w:rsidR="009D2ADD" w:rsidRPr="009D2ADD">
        <w:rPr>
          <w:lang w:val="en-US"/>
        </w:rPr>
        <w:t>B</w:t>
      </w:r>
      <w:r w:rsidR="009D2ADD" w:rsidRPr="009D2ADD">
        <w:t xml:space="preserve"> – система </w:t>
      </w:r>
      <w:bookmarkStart w:id="22" w:name="OLE_LINK26"/>
      <w:bookmarkStart w:id="23" w:name="OLE_LINK27"/>
      <w:r w:rsidR="009D2ADD" w:rsidRPr="009D2ADD">
        <w:t>автодорог и автомагистралей</w:t>
      </w:r>
      <w:bookmarkEnd w:id="22"/>
      <w:bookmarkEnd w:id="23"/>
      <w:r w:rsidR="009D2ADD" w:rsidRPr="009D2ADD">
        <w:t>: организация и финансирование</w:t>
      </w:r>
      <w:r w:rsidR="0057725E">
        <w:t>;</w:t>
      </w:r>
      <w:r w:rsidR="009D2ADD" w:rsidRPr="009D2ADD">
        <w:t xml:space="preserve"> 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US"/>
        </w:rPr>
        <w:t>c</w:t>
      </w:r>
      <w:r w:rsidR="009D2ADD" w:rsidRPr="009D2ADD">
        <w:t>)</w:t>
      </w:r>
      <w:r w:rsidR="009D2ADD" w:rsidRPr="009D2ADD">
        <w:tab/>
        <w:t xml:space="preserve">область </w:t>
      </w:r>
      <w:r w:rsidR="009D2ADD" w:rsidRPr="009D2ADD">
        <w:rPr>
          <w:lang w:val="en-US"/>
        </w:rPr>
        <w:t>C</w:t>
      </w:r>
      <w:r w:rsidR="009D2ADD" w:rsidRPr="009D2ADD">
        <w:t xml:space="preserve"> – управление сетью автодорог и автомагистралей</w:t>
      </w:r>
      <w:r w:rsidR="0057725E">
        <w:t>;</w:t>
      </w:r>
      <w:r w:rsidR="009D2ADD" w:rsidRPr="009D2ADD">
        <w:t xml:space="preserve"> 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US"/>
        </w:rPr>
        <w:t>d</w:t>
      </w:r>
      <w:r w:rsidR="009D2ADD" w:rsidRPr="009D2ADD">
        <w:t>)</w:t>
      </w:r>
      <w:r w:rsidR="009D2ADD" w:rsidRPr="009D2ADD">
        <w:tab/>
        <w:t xml:space="preserve">область </w:t>
      </w:r>
      <w:r w:rsidR="009D2ADD" w:rsidRPr="009D2ADD">
        <w:rPr>
          <w:lang w:val="en-US"/>
        </w:rPr>
        <w:t>D</w:t>
      </w:r>
      <w:r w:rsidR="009D2ADD" w:rsidRPr="009D2ADD">
        <w:t xml:space="preserve"> – информационные системы управления автодорожной инфраструктурой</w:t>
      </w:r>
      <w:r w:rsidR="0057725E">
        <w:t>;</w:t>
      </w:r>
      <w:r w:rsidR="009D2ADD" w:rsidRPr="009D2ADD">
        <w:t xml:space="preserve"> 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US"/>
        </w:rPr>
        <w:t>e</w:t>
      </w:r>
      <w:r w:rsidR="009D2ADD" w:rsidRPr="009D2ADD">
        <w:t>)</w:t>
      </w:r>
      <w:r w:rsidR="009D2ADD" w:rsidRPr="009D2ADD">
        <w:tab/>
        <w:t xml:space="preserve">область </w:t>
      </w:r>
      <w:r w:rsidR="009D2ADD" w:rsidRPr="009D2ADD">
        <w:rPr>
          <w:lang w:val="en-US"/>
        </w:rPr>
        <w:t>E</w:t>
      </w:r>
      <w:r w:rsidR="009D2ADD" w:rsidRPr="009D2ADD">
        <w:t xml:space="preserve"> – инновации</w:t>
      </w:r>
      <w:r w:rsidR="0057725E">
        <w:t>;</w:t>
      </w:r>
      <w:r w:rsidR="009D2ADD" w:rsidRPr="009D2ADD">
        <w:t xml:space="preserve"> 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US"/>
        </w:rPr>
        <w:t>f</w:t>
      </w:r>
      <w:r w:rsidR="009D2ADD" w:rsidRPr="009D2ADD">
        <w:t>)</w:t>
      </w:r>
      <w:r w:rsidR="009D2ADD" w:rsidRPr="009D2ADD">
        <w:tab/>
        <w:t xml:space="preserve">область </w:t>
      </w:r>
      <w:r w:rsidR="009D2ADD" w:rsidRPr="009D2ADD">
        <w:rPr>
          <w:lang w:val="en-US"/>
        </w:rPr>
        <w:t>F</w:t>
      </w:r>
      <w:r w:rsidR="009D2ADD" w:rsidRPr="009D2ADD">
        <w:t xml:space="preserve"> – безопасность на дорогах.</w:t>
      </w:r>
    </w:p>
    <w:p w:rsidR="009D2ADD" w:rsidRPr="00CC6BAB" w:rsidRDefault="009D2ADD" w:rsidP="00CC6BAB">
      <w:pPr>
        <w:pStyle w:val="HChGR"/>
      </w:pPr>
      <w:r w:rsidRPr="00CC6BAB">
        <w:lastRenderedPageBreak/>
        <w:tab/>
        <w:t>VII.</w:t>
      </w:r>
      <w:r w:rsidRPr="00CC6BAB">
        <w:tab/>
        <w:t xml:space="preserve">Транспорт в Средиземноморском регионе </w:t>
      </w:r>
      <w:r w:rsidR="001C2490">
        <w:br/>
      </w:r>
      <w:r w:rsidRPr="00CC6BAB">
        <w:t>(пункт 6 повестки дня)</w:t>
      </w:r>
    </w:p>
    <w:p w:rsidR="009D2ADD" w:rsidRPr="001C2490" w:rsidRDefault="009D2ADD" w:rsidP="001C2490">
      <w:pPr>
        <w:pStyle w:val="H1GR"/>
      </w:pPr>
      <w:r w:rsidRPr="001C2490">
        <w:tab/>
        <w:t>A.</w:t>
      </w:r>
      <w:r w:rsidRPr="001C2490">
        <w:tab/>
        <w:t xml:space="preserve">Доклад Центра транспортных исследований </w:t>
      </w:r>
      <w:r w:rsidR="002F4718">
        <w:br/>
      </w:r>
      <w:r w:rsidRPr="001C2490">
        <w:t>для Средиземноморья</w:t>
      </w:r>
    </w:p>
    <w:p w:rsidR="009D2ADD" w:rsidRPr="009D2ADD" w:rsidRDefault="009D2ADD" w:rsidP="009D2ADD">
      <w:pPr>
        <w:pStyle w:val="SingleTxtGR"/>
        <w:rPr>
          <w:bCs/>
        </w:rPr>
      </w:pPr>
      <w:r w:rsidRPr="009D2ADD">
        <w:rPr>
          <w:bCs/>
          <w:i/>
          <w:iCs/>
        </w:rPr>
        <w:t>Документация</w:t>
      </w:r>
      <w:r w:rsidRPr="009D2ADD">
        <w:rPr>
          <w:bCs/>
        </w:rPr>
        <w:t>: неофициальный документ № 5</w:t>
      </w:r>
    </w:p>
    <w:p w:rsidR="009D2ADD" w:rsidRPr="009D2ADD" w:rsidRDefault="009D2ADD" w:rsidP="009D2ADD">
      <w:pPr>
        <w:pStyle w:val="SingleTxtGR"/>
      </w:pPr>
      <w:r w:rsidRPr="009D2ADD">
        <w:t>27.</w:t>
      </w:r>
      <w:r w:rsidRPr="009D2ADD">
        <w:tab/>
        <w:t>Представитель СЕТМО передал на рассмотрение Рабочей группы доклад о недавней деятельности СЕТМО (неофициальный документ № 5).</w:t>
      </w:r>
    </w:p>
    <w:p w:rsidR="009D2ADD" w:rsidRPr="009D2ADD" w:rsidRDefault="009D2ADD" w:rsidP="009D2ADD">
      <w:pPr>
        <w:pStyle w:val="SingleTxtGR"/>
      </w:pPr>
      <w:r w:rsidRPr="009D2ADD">
        <w:t>28.</w:t>
      </w:r>
      <w:r w:rsidRPr="009D2ADD">
        <w:tab/>
        <w:t>С момента учреждения Группы министров транспорта Западного Сред</w:t>
      </w:r>
      <w:r w:rsidRPr="009D2ADD">
        <w:t>и</w:t>
      </w:r>
      <w:r w:rsidRPr="009D2ADD">
        <w:t>земноморья (ГМТЗС) в 1995 году перед ней, помимо иных целей, стоят задачи стимулирования сотрудничества по транспортным вопросам в Западном Сред</w:t>
      </w:r>
      <w:r w:rsidRPr="009D2ADD">
        <w:t>и</w:t>
      </w:r>
      <w:r w:rsidRPr="009D2ADD">
        <w:t>земноморье и участия в реализации программы Европейско-среди</w:t>
      </w:r>
      <w:r w:rsidR="0057725E">
        <w:t>-</w:t>
      </w:r>
      <w:r w:rsidRPr="009D2ADD">
        <w:t xml:space="preserve">земноморского партнерства. Работа на этапе планирования </w:t>
      </w:r>
      <w:bookmarkStart w:id="24" w:name="OLE_LINK28"/>
      <w:bookmarkStart w:id="25" w:name="OLE_LINK29"/>
      <w:r w:rsidRPr="009D2ADD">
        <w:t>ГМТЗС 5+5</w:t>
      </w:r>
      <w:bookmarkEnd w:id="24"/>
      <w:bookmarkEnd w:id="25"/>
      <w:r w:rsidRPr="009D2ADD">
        <w:t xml:space="preserve"> допо</w:t>
      </w:r>
      <w:r w:rsidRPr="009D2ADD">
        <w:t>л</w:t>
      </w:r>
      <w:r w:rsidRPr="009D2ADD">
        <w:t>нена разработкой и обновлением некоторых аналитических средств, а именно: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a</w:t>
      </w:r>
      <w:r w:rsidR="009D2ADD" w:rsidRPr="009D2ADD">
        <w:t>)</w:t>
      </w:r>
      <w:r w:rsidR="009D2ADD" w:rsidRPr="009D2ADD">
        <w:tab/>
        <w:t xml:space="preserve">баз данных </w:t>
      </w:r>
      <w:r w:rsidR="009D2ADD" w:rsidRPr="009D2ADD">
        <w:rPr>
          <w:lang w:val="en-GB"/>
        </w:rPr>
        <w:t>CETMO</w:t>
      </w:r>
      <w:r w:rsidR="009D2ADD" w:rsidRPr="009D2ADD">
        <w:t>: речь идет о социально-экономических аспе</w:t>
      </w:r>
      <w:r w:rsidR="009D2ADD" w:rsidRPr="009D2ADD">
        <w:t>к</w:t>
      </w:r>
      <w:r w:rsidR="009D2ADD" w:rsidRPr="009D2ADD">
        <w:t>тах (</w:t>
      </w:r>
      <w:r w:rsidR="009D2ADD" w:rsidRPr="009D2ADD">
        <w:rPr>
          <w:lang w:val="en-GB"/>
        </w:rPr>
        <w:t>CETMO</w:t>
      </w:r>
      <w:r w:rsidR="009D2ADD" w:rsidRPr="009D2ADD">
        <w:t>–СЭА), инфраструктуре (</w:t>
      </w:r>
      <w:r w:rsidR="009D2ADD" w:rsidRPr="009D2ADD">
        <w:rPr>
          <w:lang w:val="en-GB"/>
        </w:rPr>
        <w:t>CETMO</w:t>
      </w:r>
      <w:r w:rsidR="009D2ADD" w:rsidRPr="009D2ADD">
        <w:t>–ИНФРА), проектах (</w:t>
      </w:r>
      <w:r w:rsidR="009D2ADD" w:rsidRPr="009D2ADD">
        <w:rPr>
          <w:lang w:val="en-GB"/>
        </w:rPr>
        <w:t>CETMO</w:t>
      </w:r>
      <w:r w:rsidR="009D2ADD" w:rsidRPr="009D2ADD">
        <w:t>–ПРОЕКТЫ) и потоках данных (</w:t>
      </w:r>
      <w:r w:rsidR="009D2ADD" w:rsidRPr="009D2ADD">
        <w:rPr>
          <w:lang w:val="en-GB"/>
        </w:rPr>
        <w:t>CETMO</w:t>
      </w:r>
      <w:r w:rsidR="009D2ADD" w:rsidRPr="009D2ADD">
        <w:t>–ПОТОКИ);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b</w:t>
      </w:r>
      <w:r w:rsidR="009D2ADD" w:rsidRPr="009D2ADD">
        <w:t>)</w:t>
      </w:r>
      <w:r w:rsidR="009D2ADD" w:rsidRPr="009D2ADD">
        <w:tab/>
        <w:t>модели прогнозирования транспортных потоков: в настоящее время она находится на новом этапе разработки под руководством секретариата Союза для Средиземноморья (СДС) и благодаря МОВ, подписанному между СЕТМО и СДС, СЕТМО вносит вклад в реализацию этой модели;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c</w:t>
      </w:r>
      <w:r w:rsidR="009D2ADD" w:rsidRPr="009D2ADD">
        <w:t>)</w:t>
      </w:r>
      <w:r w:rsidR="009D2ADD" w:rsidRPr="009D2ADD">
        <w:tab/>
        <w:t>веб-ГИС средства просмотра: речь идет о механизме, обеспечи</w:t>
      </w:r>
      <w:r w:rsidR="0057725E">
        <w:t>-</w:t>
      </w:r>
      <w:r w:rsidR="009D2ADD" w:rsidRPr="009D2ADD">
        <w:t>вающем просмотр и считку в онлайновом режиме части информации, хран</w:t>
      </w:r>
      <w:r w:rsidR="009D2ADD" w:rsidRPr="009D2ADD">
        <w:t>я</w:t>
      </w:r>
      <w:r w:rsidR="009D2ADD" w:rsidRPr="009D2ADD">
        <w:t xml:space="preserve">щейся в базе данных </w:t>
      </w:r>
      <w:r w:rsidR="009D2ADD" w:rsidRPr="009D2ADD">
        <w:rPr>
          <w:lang w:val="en-GB"/>
        </w:rPr>
        <w:t>CETMO</w:t>
      </w:r>
      <w:r w:rsidR="009D2ADD" w:rsidRPr="009D2ADD">
        <w:t>–ИНФРА.</w:t>
      </w:r>
    </w:p>
    <w:p w:rsidR="009D2ADD" w:rsidRPr="009D2ADD" w:rsidRDefault="009D2ADD" w:rsidP="009D2ADD">
      <w:pPr>
        <w:pStyle w:val="SingleTxtGR"/>
      </w:pPr>
      <w:r w:rsidRPr="009D2ADD">
        <w:t>29.</w:t>
      </w:r>
      <w:r w:rsidRPr="009D2ADD">
        <w:tab/>
        <w:t xml:space="preserve">В ходе состоявшейся в Лиссабоне (октябрь 2014 года) конференции ГМТЗС 5+5 был принят план действий по реализации горизонтальных мер </w:t>
      </w:r>
      <w:r w:rsidR="0057725E">
        <w:br/>
      </w:r>
      <w:r w:rsidRPr="009D2ADD">
        <w:t xml:space="preserve">интеграции и координации управления трансмагрибской автомагистралью. Эти действия представлены в контексте следующих пяти направлений: упрощение процедур торговли, финансирование и ценообразование, мультимодальность, безопасность дорог и </w:t>
      </w:r>
      <w:r w:rsidR="00CC6BAB">
        <w:t>«</w:t>
      </w:r>
      <w:r w:rsidRPr="009D2ADD">
        <w:t>сквозные действия</w:t>
      </w:r>
      <w:r w:rsidR="00CC6BAB">
        <w:t>»</w:t>
      </w:r>
      <w:r w:rsidRPr="009D2ADD">
        <w:t>.</w:t>
      </w:r>
    </w:p>
    <w:p w:rsidR="009D2ADD" w:rsidRPr="009D2ADD" w:rsidRDefault="009D2ADD" w:rsidP="009D2ADD">
      <w:pPr>
        <w:pStyle w:val="SingleTxtGR"/>
      </w:pPr>
      <w:r w:rsidRPr="009D2ADD">
        <w:t>30.</w:t>
      </w:r>
      <w:r w:rsidRPr="009D2ADD">
        <w:tab/>
        <w:t>Рабочая группа выразила признательность секретариату СЕТМО за его всеобъемлющий доклад и просила представить на ее следующей сессии</w:t>
      </w:r>
      <w:r w:rsidR="002F4718">
        <w:t xml:space="preserve"> в 2017 </w:t>
      </w:r>
      <w:r w:rsidRPr="009D2ADD">
        <w:t>году обновленную информацию о деятельности СЕТМО.</w:t>
      </w:r>
    </w:p>
    <w:p w:rsidR="009D2ADD" w:rsidRPr="001C2490" w:rsidRDefault="009D2ADD" w:rsidP="001C2490">
      <w:pPr>
        <w:pStyle w:val="H1GR"/>
      </w:pPr>
      <w:r w:rsidRPr="001C2490">
        <w:tab/>
        <w:t>B.</w:t>
      </w:r>
      <w:r w:rsidRPr="001C2490">
        <w:tab/>
        <w:t>Евро-средиземноморская транспортная сеть</w:t>
      </w:r>
    </w:p>
    <w:p w:rsidR="009D2ADD" w:rsidRPr="009D2ADD" w:rsidRDefault="009D2ADD" w:rsidP="009D2ADD">
      <w:pPr>
        <w:pStyle w:val="SingleTxtGR"/>
      </w:pPr>
      <w:r w:rsidRPr="009D2ADD">
        <w:t>31.</w:t>
      </w:r>
      <w:r w:rsidRPr="009D2ADD">
        <w:tab/>
      </w:r>
      <w:bookmarkStart w:id="26" w:name="OLE_LINK30"/>
      <w:bookmarkStart w:id="27" w:name="OLE_LINK31"/>
      <w:r w:rsidRPr="009D2ADD">
        <w:t>Никаких сообщений по этому пункту сделано не было</w:t>
      </w:r>
      <w:bookmarkEnd w:id="26"/>
      <w:bookmarkEnd w:id="27"/>
      <w:r w:rsidRPr="009D2ADD">
        <w:t>.</w:t>
      </w:r>
    </w:p>
    <w:p w:rsidR="009D2ADD" w:rsidRPr="001C2490" w:rsidRDefault="009D2ADD" w:rsidP="001C2490">
      <w:pPr>
        <w:pStyle w:val="H1GR"/>
      </w:pPr>
      <w:r w:rsidRPr="001C2490">
        <w:tab/>
        <w:t>C.</w:t>
      </w:r>
      <w:r w:rsidRPr="001C2490">
        <w:tab/>
        <w:t xml:space="preserve">Доклад Союза для Средиземноморья </w:t>
      </w:r>
    </w:p>
    <w:p w:rsidR="009D2ADD" w:rsidRPr="009D2ADD" w:rsidRDefault="009D2ADD" w:rsidP="009D2ADD">
      <w:pPr>
        <w:pStyle w:val="SingleTxtGR"/>
      </w:pPr>
      <w:r w:rsidRPr="009D2ADD">
        <w:t>32.</w:t>
      </w:r>
      <w:r w:rsidRPr="009D2ADD">
        <w:tab/>
        <w:t>Никаких сообщений по этому пункту сделано не было.</w:t>
      </w:r>
    </w:p>
    <w:p w:rsidR="009D2ADD" w:rsidRPr="00CC6BAB" w:rsidRDefault="009D2ADD" w:rsidP="00CC6BAB">
      <w:pPr>
        <w:pStyle w:val="HChGR"/>
      </w:pPr>
      <w:r w:rsidRPr="00CC6BAB">
        <w:lastRenderedPageBreak/>
        <w:tab/>
        <w:t>VIII.</w:t>
      </w:r>
      <w:r w:rsidRPr="00CC6BAB">
        <w:tab/>
        <w:t>Евро-азиатские транспортные связи (пункт 7 повестки дня)</w:t>
      </w:r>
    </w:p>
    <w:p w:rsidR="009D2ADD" w:rsidRPr="001C2490" w:rsidRDefault="009D2ADD" w:rsidP="001C2490">
      <w:pPr>
        <w:pStyle w:val="H1GR"/>
      </w:pPr>
      <w:r w:rsidRPr="001C2490">
        <w:tab/>
        <w:t>A.</w:t>
      </w:r>
      <w:r w:rsidRPr="001C2490">
        <w:tab/>
        <w:t>Ход работы по евро-азиатским транспортным связям (ЕАТС)</w:t>
      </w:r>
    </w:p>
    <w:p w:rsidR="009D2ADD" w:rsidRPr="009D2ADD" w:rsidRDefault="009D2ADD" w:rsidP="009D2ADD">
      <w:pPr>
        <w:pStyle w:val="SingleTxtGR"/>
      </w:pPr>
      <w:r w:rsidRPr="009D2ADD">
        <w:rPr>
          <w:i/>
        </w:rPr>
        <w:t>Документация:</w:t>
      </w:r>
      <w:r w:rsidRPr="009D2ADD">
        <w:t xml:space="preserve"> </w:t>
      </w:r>
      <w:bookmarkStart w:id="28" w:name="OLE_LINK32"/>
      <w:bookmarkStart w:id="29" w:name="OLE_LINK33"/>
      <w:r w:rsidRPr="009D2ADD">
        <w:t xml:space="preserve">неофициальный документ № 2 </w:t>
      </w:r>
      <w:r w:rsidRPr="009D2ADD">
        <w:rPr>
          <w:lang w:val="en-US"/>
        </w:rPr>
        <w:t>WP</w:t>
      </w:r>
      <w:r w:rsidRPr="009D2ADD">
        <w:t>.5/</w:t>
      </w:r>
      <w:r w:rsidRPr="009D2ADD">
        <w:rPr>
          <w:lang w:val="en-US"/>
        </w:rPr>
        <w:t>GE</w:t>
      </w:r>
      <w:r w:rsidRPr="009D2ADD">
        <w:t>.2 (2016 года)</w:t>
      </w:r>
      <w:bookmarkEnd w:id="28"/>
      <w:bookmarkEnd w:id="29"/>
    </w:p>
    <w:p w:rsidR="009D2ADD" w:rsidRPr="009D2ADD" w:rsidRDefault="009D2ADD" w:rsidP="009D2ADD">
      <w:pPr>
        <w:pStyle w:val="SingleTxtGR"/>
      </w:pPr>
      <w:r w:rsidRPr="009D2ADD">
        <w:t>33.</w:t>
      </w:r>
      <w:r w:rsidRPr="009D2ADD">
        <w:tab/>
        <w:t>Секретарь и делегат от Российской Федерации проинформировали Раб</w:t>
      </w:r>
      <w:r w:rsidRPr="009D2ADD">
        <w:t>о</w:t>
      </w:r>
      <w:r w:rsidRPr="009D2ADD">
        <w:t>чую группу о ходе работы Группы экспертов по ЕАТС и о последних изменен</w:t>
      </w:r>
      <w:r w:rsidRPr="009D2ADD">
        <w:t>и</w:t>
      </w:r>
      <w:r w:rsidRPr="009D2ADD">
        <w:t xml:space="preserve">ях на этапе </w:t>
      </w:r>
      <w:r w:rsidRPr="009D2ADD">
        <w:rPr>
          <w:lang w:val="en-US"/>
        </w:rPr>
        <w:t>III</w:t>
      </w:r>
      <w:r w:rsidRPr="009D2ADD">
        <w:t xml:space="preserve"> проекта ЕАТС (неофициальный документ № 2 </w:t>
      </w:r>
      <w:r w:rsidRPr="009D2ADD">
        <w:rPr>
          <w:lang w:val="en-US"/>
        </w:rPr>
        <w:t>WP</w:t>
      </w:r>
      <w:r w:rsidRPr="009D2ADD">
        <w:t>.5/</w:t>
      </w:r>
      <w:r w:rsidRPr="009D2ADD">
        <w:rPr>
          <w:lang w:val="en-US"/>
        </w:rPr>
        <w:t>GE</w:t>
      </w:r>
      <w:r w:rsidR="001C2490">
        <w:t>.2 (2016 </w:t>
      </w:r>
      <w:r w:rsidRPr="009D2ADD">
        <w:t>года)). Рабочая группа приняла к сведению это сообщение о ходе работы.</w:t>
      </w:r>
    </w:p>
    <w:p w:rsidR="009D2ADD" w:rsidRPr="009D2ADD" w:rsidRDefault="009D2ADD" w:rsidP="009D2ADD">
      <w:pPr>
        <w:pStyle w:val="SingleTxtGR"/>
      </w:pPr>
      <w:r w:rsidRPr="009D2ADD">
        <w:t>34.</w:t>
      </w:r>
      <w:r w:rsidRPr="009D2ADD">
        <w:tab/>
        <w:t>Рабочая группа напомнила, что на своей прошлой сессии она удовлетв</w:t>
      </w:r>
      <w:r w:rsidRPr="009D2ADD">
        <w:t>о</w:t>
      </w:r>
      <w:r w:rsidRPr="009D2ADD">
        <w:t>рила просьбу Группы экспертов о продлении ее мандата еще на один год. Гру</w:t>
      </w:r>
      <w:r w:rsidRPr="009D2ADD">
        <w:t>п</w:t>
      </w:r>
      <w:r w:rsidRPr="009D2ADD">
        <w:t>па рассчитывает представить свой окончательный доклад на следующей сессии Рабочей группы в 2017 году. Следующее совещание Группы экспертов состои</w:t>
      </w:r>
      <w:r w:rsidRPr="009D2ADD">
        <w:t>т</w:t>
      </w:r>
      <w:r w:rsidRPr="009D2ADD">
        <w:t>ся в Ереване, Армения, 26 и 27 октября 2017 года. Это совещание будет орган</w:t>
      </w:r>
      <w:r w:rsidRPr="009D2ADD">
        <w:t>и</w:t>
      </w:r>
      <w:r w:rsidRPr="009D2ADD">
        <w:t>зовано и проведено совместно с ОБСЕ. Подготовкой значительной части око</w:t>
      </w:r>
      <w:r w:rsidRPr="009D2ADD">
        <w:t>н</w:t>
      </w:r>
      <w:r w:rsidRPr="009D2ADD">
        <w:t>чательного доклада Группы занимается Научно-исследовательский институт а</w:t>
      </w:r>
      <w:r w:rsidRPr="009D2ADD">
        <w:t>в</w:t>
      </w:r>
      <w:r w:rsidRPr="009D2ADD">
        <w:t>томобильного транспорта (НИИАТ, Москва). Рабочая группа обратилась к заи</w:t>
      </w:r>
      <w:r w:rsidRPr="009D2ADD">
        <w:t>н</w:t>
      </w:r>
      <w:r w:rsidRPr="009D2ADD">
        <w:t>тересованным государствам-членам с просьбой представить необходимую и</w:t>
      </w:r>
      <w:r w:rsidRPr="009D2ADD">
        <w:t>н</w:t>
      </w:r>
      <w:r w:rsidRPr="009D2ADD">
        <w:t>формацию к этому совещанию и продолжить активное участие в этой работе.</w:t>
      </w:r>
    </w:p>
    <w:p w:rsidR="009D2ADD" w:rsidRPr="009D2ADD" w:rsidRDefault="009D2ADD" w:rsidP="009D2ADD">
      <w:pPr>
        <w:pStyle w:val="SingleTxtGR"/>
      </w:pPr>
      <w:r w:rsidRPr="009D2ADD">
        <w:t xml:space="preserve">35. </w:t>
      </w:r>
      <w:r w:rsidRPr="009D2ADD">
        <w:tab/>
        <w:t>Рабочая группа поручила секретариату передать более подробную и</w:t>
      </w:r>
      <w:r w:rsidRPr="009D2ADD">
        <w:t>н</w:t>
      </w:r>
      <w:r w:rsidRPr="009D2ADD">
        <w:t xml:space="preserve">формацию по этому пункту на ее следующей сессии в 2017 году. </w:t>
      </w:r>
    </w:p>
    <w:p w:rsidR="009D2ADD" w:rsidRPr="001C2490" w:rsidRDefault="009D2ADD" w:rsidP="001C2490">
      <w:pPr>
        <w:pStyle w:val="H1GR"/>
      </w:pPr>
      <w:r w:rsidRPr="001C2490">
        <w:tab/>
        <w:t>B.</w:t>
      </w:r>
      <w:r w:rsidRPr="001C2490">
        <w:tab/>
        <w:t xml:space="preserve">Автотранспортные и железнодорожные коридоры в Европе </w:t>
      </w:r>
      <w:r w:rsidR="001C2490">
        <w:br/>
      </w:r>
      <w:r w:rsidRPr="001C2490">
        <w:t>и Азии</w:t>
      </w:r>
    </w:p>
    <w:p w:rsidR="009D2ADD" w:rsidRPr="009D2ADD" w:rsidRDefault="009D2ADD" w:rsidP="009D2ADD">
      <w:pPr>
        <w:pStyle w:val="SingleTxtGR"/>
      </w:pPr>
      <w:r w:rsidRPr="009D2ADD">
        <w:rPr>
          <w:i/>
        </w:rPr>
        <w:t>Документация:</w:t>
      </w:r>
      <w:r w:rsidRPr="009D2ADD">
        <w:t xml:space="preserve"> </w:t>
      </w:r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</w:t>
      </w:r>
      <w:r w:rsidRPr="009D2ADD">
        <w:rPr>
          <w:lang w:val="en-GB"/>
        </w:rPr>
        <w:t>WP</w:t>
      </w:r>
      <w:r w:rsidRPr="009D2ADD">
        <w:t>.5/2016/3</w:t>
      </w:r>
    </w:p>
    <w:p w:rsidR="009D2ADD" w:rsidRPr="009D2ADD" w:rsidRDefault="009D2ADD" w:rsidP="009D2ADD">
      <w:pPr>
        <w:pStyle w:val="SingleTxtGR"/>
      </w:pPr>
      <w:r w:rsidRPr="009D2ADD">
        <w:t xml:space="preserve">36. </w:t>
      </w:r>
      <w:r w:rsidRPr="009D2ADD">
        <w:tab/>
        <w:t xml:space="preserve">Рабочая группа напомнила, что в ходе ее прошлой сессии было проведено рабочее совещание на тему: </w:t>
      </w:r>
      <w:r w:rsidR="00CC6BAB">
        <w:t>«</w:t>
      </w:r>
      <w:r w:rsidRPr="009D2ADD">
        <w:t>Автотранспортные и железнодорожные коридоры в Европе и Азии</w:t>
      </w:r>
      <w:r w:rsidR="00CC6BAB">
        <w:t>»</w:t>
      </w:r>
      <w:r w:rsidRPr="009D2ADD">
        <w:t>. Рабочее совещание показало, насколько сложны вопросы существа, связанные с развитием транспортных коридоров в Европе и Азии, и что необходим дальнейший анализ. Рабочая группа поручила секретариату ра</w:t>
      </w:r>
      <w:r w:rsidRPr="009D2ADD">
        <w:t>с</w:t>
      </w:r>
      <w:r w:rsidRPr="009D2ADD">
        <w:t>пространить официальный документ на основе полученных от экспертов мат</w:t>
      </w:r>
      <w:r w:rsidRPr="009D2ADD">
        <w:t>е</w:t>
      </w:r>
      <w:r w:rsidRPr="009D2ADD">
        <w:t>риалов и обсуждений, проводившихся в ходе рабочего совещания, для рассмо</w:t>
      </w:r>
      <w:r w:rsidRPr="009D2ADD">
        <w:t>т</w:t>
      </w:r>
      <w:r w:rsidRPr="009D2ADD">
        <w:t>рения Рабочей группой на ее следующей сессии. В него следует включить предложения относительно возможных будущих шагов, которые Рабочей гру</w:t>
      </w:r>
      <w:r w:rsidRPr="009D2ADD">
        <w:t>п</w:t>
      </w:r>
      <w:r w:rsidRPr="009D2ADD">
        <w:t>пе необходимо предпринять по данному вопросу.</w:t>
      </w:r>
    </w:p>
    <w:p w:rsidR="009D2ADD" w:rsidRPr="009D2ADD" w:rsidRDefault="009D2ADD" w:rsidP="009D2ADD">
      <w:pPr>
        <w:pStyle w:val="SingleTxtGR"/>
      </w:pPr>
      <w:r w:rsidRPr="009D2ADD">
        <w:t>37.</w:t>
      </w:r>
      <w:r w:rsidRPr="009D2ADD">
        <w:tab/>
        <w:t>Рабочая группа приняла к сведению информацию, представленную се</w:t>
      </w:r>
      <w:r w:rsidRPr="009D2ADD">
        <w:t>к</w:t>
      </w:r>
      <w:r w:rsidRPr="009D2ADD">
        <w:t xml:space="preserve">ретариатом, и рассмотрела документ </w:t>
      </w:r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</w:t>
      </w:r>
      <w:r w:rsidRPr="009D2ADD">
        <w:rPr>
          <w:lang w:val="en-GB"/>
        </w:rPr>
        <w:t>WP</w:t>
      </w:r>
      <w:r w:rsidRPr="009D2ADD">
        <w:t>.5/2016/3. Она одобрила создание центра мониторинга транспортной инфраструктуры в Европе и Азии, в рамках которого следует реализовать все существующие инициативы в обл</w:t>
      </w:r>
      <w:r w:rsidRPr="009D2ADD">
        <w:t>а</w:t>
      </w:r>
      <w:r w:rsidRPr="009D2ADD">
        <w:t>сти развития транспортной инфраструктуры на Европейском и Азиатском ко</w:t>
      </w:r>
      <w:r w:rsidRPr="009D2ADD">
        <w:t>н</w:t>
      </w:r>
      <w:r w:rsidRPr="009D2ADD">
        <w:t xml:space="preserve">тинентах. </w:t>
      </w:r>
      <w:bookmarkStart w:id="30" w:name="OLE_LINK34"/>
      <w:bookmarkStart w:id="31" w:name="OLE_LINK35"/>
      <w:r w:rsidRPr="009D2ADD">
        <w:t>Рабочая группа поручила секретариату</w:t>
      </w:r>
      <w:bookmarkEnd w:id="30"/>
      <w:bookmarkEnd w:id="31"/>
      <w:r w:rsidRPr="009D2ADD">
        <w:t xml:space="preserve"> представить дополнительную информацию по этому вопросу на ее следующей сессии.</w:t>
      </w:r>
    </w:p>
    <w:p w:rsidR="009D2ADD" w:rsidRPr="009D2ADD" w:rsidRDefault="009D2ADD" w:rsidP="009D2ADD">
      <w:pPr>
        <w:pStyle w:val="SingleTxtGR"/>
      </w:pPr>
      <w:r w:rsidRPr="009D2ADD">
        <w:t>38.</w:t>
      </w:r>
      <w:r w:rsidRPr="009D2ADD">
        <w:tab/>
        <w:t xml:space="preserve">Кроме того, </w:t>
      </w:r>
      <w:bookmarkStart w:id="32" w:name="OLE_LINK36"/>
      <w:bookmarkStart w:id="33" w:name="OLE_LINK37"/>
      <w:r w:rsidRPr="009D2ADD">
        <w:t>Рабочая группа поручила секретариату</w:t>
      </w:r>
      <w:bookmarkEnd w:id="32"/>
      <w:bookmarkEnd w:id="33"/>
      <w:r w:rsidRPr="009D2ADD">
        <w:t xml:space="preserve"> изучить возможности организации на ее следующей сессии рабочего совещания для стимулирования взаимодействия между различными инициативами по развитию транспортных коридоров в Европе и Азии. </w:t>
      </w:r>
    </w:p>
    <w:p w:rsidR="009D2ADD" w:rsidRPr="001C2490" w:rsidRDefault="009D2ADD" w:rsidP="001C2490">
      <w:pPr>
        <w:pStyle w:val="H1GR"/>
      </w:pPr>
      <w:r w:rsidRPr="001C2490">
        <w:lastRenderedPageBreak/>
        <w:tab/>
        <w:t>C.</w:t>
      </w:r>
      <w:r w:rsidRPr="001C2490">
        <w:tab/>
        <w:t>Другие евро-азиатские транспортные инициативы</w:t>
      </w:r>
    </w:p>
    <w:p w:rsidR="009D2ADD" w:rsidRPr="009D2ADD" w:rsidRDefault="009D2ADD" w:rsidP="009D2ADD">
      <w:pPr>
        <w:pStyle w:val="SingleTxtGR"/>
      </w:pPr>
      <w:r w:rsidRPr="009D2ADD">
        <w:t>39.</w:t>
      </w:r>
      <w:r w:rsidRPr="009D2ADD">
        <w:tab/>
        <w:t>Рабочая группа поручила секретариату направить Евразийской эконом</w:t>
      </w:r>
      <w:r w:rsidRPr="009D2ADD">
        <w:t>и</w:t>
      </w:r>
      <w:r w:rsidRPr="009D2ADD">
        <w:t>ческой комиссии приглашение принять участие в следующей сессии, с тем чт</w:t>
      </w:r>
      <w:r w:rsidRPr="009D2ADD">
        <w:t>о</w:t>
      </w:r>
      <w:r w:rsidRPr="009D2ADD">
        <w:t xml:space="preserve">бы она охарактеризовала свои действия и усилия по формированию общей и единой транспортной системы в регионе. </w:t>
      </w:r>
    </w:p>
    <w:p w:rsidR="009D2ADD" w:rsidRPr="00CC6BAB" w:rsidRDefault="009D2ADD" w:rsidP="00CC6BAB">
      <w:pPr>
        <w:pStyle w:val="HChGR"/>
      </w:pPr>
      <w:r w:rsidRPr="00CC6BAB">
        <w:tab/>
        <w:t>IX.</w:t>
      </w:r>
      <w:r w:rsidRPr="00CC6BAB">
        <w:tab/>
        <w:t>Группа экспертов по сопоставительному анализу затрат на строительство транспортной инфраструктуры</w:t>
      </w:r>
      <w:r w:rsidRPr="00CC6BAB" w:rsidDel="007B54E1">
        <w:t xml:space="preserve"> </w:t>
      </w:r>
      <w:r w:rsidRPr="00CC6BAB">
        <w:t>(пункт 8 повестки дня)</w:t>
      </w:r>
    </w:p>
    <w:p w:rsidR="009D2ADD" w:rsidRPr="009D2ADD" w:rsidRDefault="009D2ADD" w:rsidP="009D2ADD">
      <w:pPr>
        <w:pStyle w:val="SingleTxtGR"/>
      </w:pPr>
      <w:r w:rsidRPr="009D2ADD">
        <w:rPr>
          <w:i/>
        </w:rPr>
        <w:t xml:space="preserve">Документация: </w:t>
      </w:r>
      <w:r w:rsidRPr="009D2ADD">
        <w:rPr>
          <w:lang w:val="fr-CH"/>
        </w:rPr>
        <w:t>ECE</w:t>
      </w:r>
      <w:r w:rsidRPr="009D2ADD">
        <w:t>/</w:t>
      </w:r>
      <w:r w:rsidRPr="009D2ADD">
        <w:rPr>
          <w:lang w:val="fr-CH"/>
        </w:rPr>
        <w:t>TRANS</w:t>
      </w:r>
      <w:r w:rsidRPr="009D2ADD">
        <w:t>/</w:t>
      </w:r>
      <w:r w:rsidRPr="009D2ADD">
        <w:rPr>
          <w:lang w:val="fr-CH"/>
        </w:rPr>
        <w:t>WP</w:t>
      </w:r>
      <w:r w:rsidRPr="009D2ADD">
        <w:t>.5/</w:t>
      </w:r>
      <w:r w:rsidRPr="009D2ADD">
        <w:rPr>
          <w:lang w:val="fr-CH"/>
        </w:rPr>
        <w:t>GE</w:t>
      </w:r>
      <w:r w:rsidRPr="009D2ADD">
        <w:t>.4/2016/1</w:t>
      </w:r>
    </w:p>
    <w:p w:rsidR="009D2ADD" w:rsidRPr="009D2ADD" w:rsidRDefault="009D2ADD" w:rsidP="009D2ADD">
      <w:pPr>
        <w:pStyle w:val="SingleTxtGR"/>
      </w:pPr>
      <w:r w:rsidRPr="009D2ADD">
        <w:t>40.</w:t>
      </w:r>
      <w:r w:rsidRPr="009D2ADD">
        <w:tab/>
        <w:t xml:space="preserve">Рабочая группа напомнила, что на своей прошлой сессии она одобрила предложение об учреждении Группы экспертов по сопоставительному анализу затрат на строительство транспортной инфраструктуры и ее круг ведения. КВТ на своей февральской сессии и Исполнительный комитет ЕЭК ООН на своей майской сессии утвердили круг ведения этой Группы. </w:t>
      </w:r>
    </w:p>
    <w:p w:rsidR="009D2ADD" w:rsidRPr="009D2ADD" w:rsidRDefault="009D2ADD" w:rsidP="009D2ADD">
      <w:pPr>
        <w:pStyle w:val="SingleTxtGR"/>
      </w:pPr>
      <w:r w:rsidRPr="009D2ADD">
        <w:t>41.</w:t>
      </w:r>
      <w:r w:rsidRPr="009D2ADD">
        <w:tab/>
        <w:t>Первое совещание этой Группы запланировано на 31 октября и 1 ноября 2016 года. В соответствии с кругом ведения предполагается, что Группа экспе</w:t>
      </w:r>
      <w:r w:rsidRPr="009D2ADD">
        <w:t>р</w:t>
      </w:r>
      <w:r w:rsidRPr="009D2ADD">
        <w:t xml:space="preserve">тов завершит свою работу в течение двух лет (2016−2018 годы) и представит полный отчет о своих достижениях. </w:t>
      </w:r>
    </w:p>
    <w:p w:rsidR="009D2ADD" w:rsidRPr="009D2ADD" w:rsidRDefault="009D2ADD" w:rsidP="009D2ADD">
      <w:pPr>
        <w:pStyle w:val="SingleTxtGR"/>
      </w:pPr>
      <w:r w:rsidRPr="009D2ADD">
        <w:t>42.</w:t>
      </w:r>
      <w:r w:rsidRPr="009D2ADD">
        <w:tab/>
        <w:t>Группа экспертов должна: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a</w:t>
      </w:r>
      <w:r w:rsidR="009D2ADD" w:rsidRPr="009D2ADD">
        <w:t>)</w:t>
      </w:r>
      <w:r w:rsidR="009D2ADD" w:rsidRPr="009D2ADD">
        <w:tab/>
        <w:t>выявлять модели, методологии, инструменты и оптимальную пра</w:t>
      </w:r>
      <w:r w:rsidR="009D2ADD" w:rsidRPr="009D2ADD">
        <w:t>к</w:t>
      </w:r>
      <w:r w:rsidR="009D2ADD" w:rsidRPr="009D2ADD">
        <w:t>тику для оценки, расчета и анализа затрат на строительство инфраструктуры внутреннего транспорта;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b</w:t>
      </w:r>
      <w:r w:rsidR="009D2ADD" w:rsidRPr="009D2ADD">
        <w:t>)</w:t>
      </w:r>
      <w:r w:rsidR="009D2ADD" w:rsidRPr="009D2ADD">
        <w:tab/>
        <w:t>выявлять и составлять списки терминов, используемых в регионе ЕЭК ООН в связи с затратами на строительство инфраструктуры внутреннего транспорта; по возможности создать глоссарий согласованных терминов и по</w:t>
      </w:r>
      <w:r w:rsidR="009D2ADD" w:rsidRPr="009D2ADD">
        <w:t>д</w:t>
      </w:r>
      <w:r w:rsidR="009D2ADD" w:rsidRPr="009D2ADD">
        <w:t>готовить соответствующие пояснения;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c</w:t>
      </w:r>
      <w:r w:rsidR="009D2ADD" w:rsidRPr="009D2ADD">
        <w:t>)</w:t>
      </w:r>
      <w:r w:rsidR="009D2ADD" w:rsidRPr="009D2ADD">
        <w:tab/>
        <w:t>собирать и анализировать данные для подготовки сопоставительн</w:t>
      </w:r>
      <w:r w:rsidR="009D2ADD" w:rsidRPr="009D2ADD">
        <w:t>о</w:t>
      </w:r>
      <w:r w:rsidR="009D2ADD" w:rsidRPr="009D2ADD">
        <w:t>го анализа затрат на строительство транспортной инфраструктуры в регионе ЕЭК по каждому виду внутреннего транспорта (автомобильный, железнод</w:t>
      </w:r>
      <w:r w:rsidR="009D2ADD" w:rsidRPr="009D2ADD">
        <w:t>о</w:t>
      </w:r>
      <w:r w:rsidR="009D2ADD" w:rsidRPr="009D2ADD">
        <w:t>рожный, внутренний водный), включая интермодальные терминалы, груз</w:t>
      </w:r>
      <w:r w:rsidR="009D2ADD" w:rsidRPr="009D2ADD">
        <w:t>о</w:t>
      </w:r>
      <w:r w:rsidR="009D2ADD" w:rsidRPr="009D2ADD">
        <w:t>вые/логистические центры и порты; анализировать и характеризовать усл</w:t>
      </w:r>
      <w:r w:rsidR="009D2ADD" w:rsidRPr="009D2ADD">
        <w:t>о</w:t>
      </w:r>
      <w:r w:rsidR="009D2ADD" w:rsidRPr="009D2ADD">
        <w:t>вия/параметры расчета этих затрат.</w:t>
      </w:r>
    </w:p>
    <w:p w:rsidR="009D2ADD" w:rsidRPr="009D2ADD" w:rsidRDefault="009D2ADD" w:rsidP="009D2ADD">
      <w:pPr>
        <w:pStyle w:val="SingleTxtGR"/>
      </w:pPr>
      <w:r w:rsidRPr="009D2ADD">
        <w:t>43.</w:t>
      </w:r>
      <w:r w:rsidRPr="009D2ADD">
        <w:tab/>
        <w:t>Рабочая группа приняла к сведению информацию, переданную секрет</w:t>
      </w:r>
      <w:r w:rsidRPr="009D2ADD">
        <w:t>а</w:t>
      </w:r>
      <w:r w:rsidRPr="009D2ADD">
        <w:t>риатом. Она поручила секретариату представить более подробную информацию по этому вопросу на ее следующей сессии.</w:t>
      </w:r>
    </w:p>
    <w:p w:rsidR="009D2ADD" w:rsidRPr="009D2ADD" w:rsidRDefault="001C2490" w:rsidP="00CC6BAB">
      <w:pPr>
        <w:pStyle w:val="HChGR"/>
      </w:pPr>
      <w:r>
        <w:tab/>
      </w:r>
      <w:r w:rsidR="009D2ADD" w:rsidRPr="00CC6BAB">
        <w:t>X.</w:t>
      </w:r>
      <w:r w:rsidR="009D2ADD" w:rsidRPr="00CC6BAB">
        <w:tab/>
        <w:t xml:space="preserve">Городская мобильность и общественный транспорт: общеевропейский генеральный план </w:t>
      </w:r>
      <w:r>
        <w:br/>
      </w:r>
      <w:r w:rsidR="009D2ADD" w:rsidRPr="00CC6BAB">
        <w:t>для велосипедного движения (пункт 9 повестки дня)</w:t>
      </w:r>
    </w:p>
    <w:p w:rsidR="009D2ADD" w:rsidRPr="009D2ADD" w:rsidRDefault="009D2ADD" w:rsidP="009D2ADD">
      <w:pPr>
        <w:pStyle w:val="SingleTxtGR"/>
      </w:pPr>
      <w:r w:rsidRPr="009D2ADD">
        <w:rPr>
          <w:i/>
        </w:rPr>
        <w:t>Документация:</w:t>
      </w:r>
      <w:r w:rsidRPr="009D2ADD">
        <w:t xml:space="preserve"> </w:t>
      </w:r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</w:t>
      </w:r>
      <w:r w:rsidRPr="009D2ADD">
        <w:rPr>
          <w:lang w:val="en-GB"/>
        </w:rPr>
        <w:t>WP</w:t>
      </w:r>
      <w:r w:rsidRPr="009D2ADD">
        <w:t>.5/2016/4</w:t>
      </w:r>
    </w:p>
    <w:p w:rsidR="009D2ADD" w:rsidRPr="009D2ADD" w:rsidRDefault="009D2ADD" w:rsidP="009D2ADD">
      <w:pPr>
        <w:pStyle w:val="SingleTxtGR"/>
      </w:pPr>
      <w:r w:rsidRPr="009D2ADD">
        <w:t>44.</w:t>
      </w:r>
      <w:r w:rsidRPr="009D2ADD">
        <w:tab/>
        <w:t>На своей сорок пятой сессии (24</w:t>
      </w:r>
      <w:r w:rsidR="001C2490">
        <w:t>–</w:t>
      </w:r>
      <w:r w:rsidRPr="009D2ADD">
        <w:t xml:space="preserve">26 февраля 2015 года) КВТ решил, что </w:t>
      </w:r>
      <w:r w:rsidRPr="009D2ADD">
        <w:rPr>
          <w:lang w:val="en-GB"/>
        </w:rPr>
        <w:t>WP</w:t>
      </w:r>
      <w:r w:rsidRPr="009D2ADD">
        <w:t>.5 следует регулярно проводить обзор изменений в области городской м</w:t>
      </w:r>
      <w:r w:rsidRPr="009D2ADD">
        <w:t>о</w:t>
      </w:r>
      <w:r w:rsidRPr="009D2ADD">
        <w:lastRenderedPageBreak/>
        <w:t xml:space="preserve">бильности и транспорта и, в частности, взаимосвязей между городскими, </w:t>
      </w:r>
      <w:r w:rsidR="0057725E">
        <w:br/>
      </w:r>
      <w:r w:rsidRPr="009D2ADD">
        <w:t>региональными, национальными и международными транспортными сетями и услугами (</w:t>
      </w:r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/248, пункт 18).</w:t>
      </w:r>
    </w:p>
    <w:p w:rsidR="009D2ADD" w:rsidRPr="009D2ADD" w:rsidRDefault="009D2ADD" w:rsidP="009D2ADD">
      <w:pPr>
        <w:pStyle w:val="SingleTxtGR"/>
      </w:pPr>
      <w:r w:rsidRPr="009D2ADD">
        <w:t>45.</w:t>
      </w:r>
      <w:r w:rsidRPr="009D2ADD">
        <w:tab/>
        <w:t xml:space="preserve">Во исполнение мандата, предоставленного ей КВТ, Рабочая группа </w:t>
      </w:r>
      <w:r w:rsidR="0057725E">
        <w:br/>
      </w:r>
      <w:r w:rsidRPr="009D2ADD">
        <w:t>рассмотрела вопрос о сотрудничестве с Общеевропейской программой по транспорту, окружающей ср</w:t>
      </w:r>
      <w:r w:rsidR="0057725E">
        <w:t>еде и охране здоровья (ОПТОСОЗ)</w:t>
      </w:r>
      <w:r w:rsidRPr="009D2ADD">
        <w:t xml:space="preserve"> в области разр</w:t>
      </w:r>
      <w:r w:rsidRPr="009D2ADD">
        <w:t>а</w:t>
      </w:r>
      <w:r w:rsidRPr="009D2ADD">
        <w:t xml:space="preserve">ботки </w:t>
      </w:r>
      <w:bookmarkStart w:id="34" w:name="OLE_LINK42"/>
      <w:bookmarkStart w:id="35" w:name="OLE_LINK43"/>
      <w:r w:rsidRPr="009D2ADD">
        <w:t>общеевропейского генерального плана для велосипедного движения</w:t>
      </w:r>
      <w:bookmarkEnd w:id="34"/>
      <w:bookmarkEnd w:id="35"/>
      <w:r w:rsidRPr="009D2ADD">
        <w:t xml:space="preserve">. </w:t>
      </w:r>
    </w:p>
    <w:p w:rsidR="009D2ADD" w:rsidRPr="009D2ADD" w:rsidRDefault="009D2ADD" w:rsidP="009D2ADD">
      <w:pPr>
        <w:pStyle w:val="SingleTxtGR"/>
      </w:pPr>
      <w:r w:rsidRPr="009D2ADD">
        <w:t>46.</w:t>
      </w:r>
      <w:r w:rsidRPr="009D2ADD">
        <w:tab/>
        <w:t>На четвертом Совещании высокого уровня по транспорту, окружающей среде и охране здоровья (Париж, апрель 2014 года) правительства приняли П</w:t>
      </w:r>
      <w:r w:rsidRPr="009D2ADD">
        <w:t>а</w:t>
      </w:r>
      <w:r w:rsidRPr="009D2ADD">
        <w:t xml:space="preserve">рижскую декларацию, в которой содержится, в частности, четкий призыв к </w:t>
      </w:r>
      <w:r w:rsidR="0057725E">
        <w:br/>
      </w:r>
      <w:r w:rsidRPr="009D2ADD">
        <w:t>государствам-членам поощрять велосипедное движение и разработать общее</w:t>
      </w:r>
      <w:r w:rsidRPr="009D2ADD">
        <w:t>в</w:t>
      </w:r>
      <w:r w:rsidRPr="009D2ADD">
        <w:t>ропейский генеральный план для велосипедного движения в рамках ОПТОСОЗ. Разработка общеевропейского генерального плана будет координироваться в</w:t>
      </w:r>
      <w:r w:rsidRPr="009D2ADD">
        <w:t>е</w:t>
      </w:r>
      <w:r w:rsidRPr="009D2ADD">
        <w:t>дущими участниками Партнерства ОПТОСОЗ по стимулированию велосипе</w:t>
      </w:r>
      <w:r w:rsidRPr="009D2ADD">
        <w:t>д</w:t>
      </w:r>
      <w:r w:rsidRPr="009D2ADD">
        <w:t>ного движения: Федеральным министерством сельского и лесного хозяйства, охраны окружающей среды и водного хозяйства Австрии и Министерством эк</w:t>
      </w:r>
      <w:r w:rsidRPr="009D2ADD">
        <w:t>о</w:t>
      </w:r>
      <w:r w:rsidRPr="009D2ADD">
        <w:t>логии, устойчивого развития и энергетики Франции в тесном сотрудничестве с Европейской федерацией велосипедистов и секретариатом ОПТОСОЗ. В ходе совещания руководителей группы Партнерства ОПТОСОЗ по велосипедному движению (Кельн, 2 июня 2016 года) был представлен опыт ЕЭК ООН по ра</w:t>
      </w:r>
      <w:r w:rsidRPr="009D2ADD">
        <w:t>з</w:t>
      </w:r>
      <w:r w:rsidRPr="009D2ADD">
        <w:t>работке таких генеральных планов, как ТЕА/ТЕЖ и ЕАТС. Руководители групп Партнерства решили, что Отделу устойчивого транспорта ЕЭК следует играть ведущую роль в деле разработки генерального плана для велосипедного движ</w:t>
      </w:r>
      <w:r w:rsidRPr="009D2ADD">
        <w:t>е</w:t>
      </w:r>
      <w:r w:rsidRPr="009D2ADD">
        <w:t>ния. Такие внебюджетные ресурсы, необходимые для этого мероприятия, как затраты на услуги консультанта(ов), будут обеспечены через Целевой фонд ОПТОСОЗ.</w:t>
      </w:r>
    </w:p>
    <w:p w:rsidR="009D2ADD" w:rsidRPr="009D2ADD" w:rsidRDefault="009D2ADD" w:rsidP="009D2ADD">
      <w:pPr>
        <w:pStyle w:val="SingleTxtGR"/>
      </w:pPr>
      <w:r w:rsidRPr="009D2ADD">
        <w:t>47.</w:t>
      </w:r>
      <w:r w:rsidRPr="009D2ADD">
        <w:tab/>
        <w:t>С этой целью на основе опыта разработки аналогичных планов ЕЭК был подготовлен проект методологии, которая должна применяться для разработки этого генерального плана (</w:t>
      </w:r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</w:t>
      </w:r>
      <w:r w:rsidRPr="009D2ADD">
        <w:rPr>
          <w:lang w:val="en-GB"/>
        </w:rPr>
        <w:t>WP</w:t>
      </w:r>
      <w:r w:rsidRPr="009D2ADD">
        <w:t xml:space="preserve">.5/2016/4). Этот проект методологии был обсужден и одобрен на совещании Бюро ОПТОСОЗ (Копенгаген, </w:t>
      </w:r>
      <w:r w:rsidR="0057725E">
        <w:br/>
      </w:r>
      <w:r w:rsidRPr="009D2ADD">
        <w:t xml:space="preserve">6 и 7 июля 2016 года). </w:t>
      </w:r>
    </w:p>
    <w:p w:rsidR="009D2ADD" w:rsidRPr="009D2ADD" w:rsidRDefault="009D2ADD" w:rsidP="009D2ADD">
      <w:pPr>
        <w:pStyle w:val="SingleTxtGR"/>
      </w:pPr>
      <w:r w:rsidRPr="009D2ADD">
        <w:t>48.</w:t>
      </w:r>
      <w:r w:rsidRPr="009D2ADD">
        <w:tab/>
        <w:t>Рабочая группа отметила информацию, переданную секретариатом, и одобрила сотрудничество с ОПТОСОЗ. Рабочая группа приняла к сведению м</w:t>
      </w:r>
      <w:r w:rsidRPr="009D2ADD">
        <w:t>е</w:t>
      </w:r>
      <w:r w:rsidRPr="009D2ADD">
        <w:t>тодологию разработки общеевропейского генерального плана для велосипедн</w:t>
      </w:r>
      <w:r w:rsidRPr="009D2ADD">
        <w:t>о</w:t>
      </w:r>
      <w:r w:rsidRPr="009D2ADD">
        <w:t>го движения в сотрудничестве с ОПТОСОЗ, которая охарактеризована в док</w:t>
      </w:r>
      <w:r w:rsidRPr="009D2ADD">
        <w:t>у</w:t>
      </w:r>
      <w:r w:rsidRPr="009D2ADD">
        <w:t xml:space="preserve">менте </w:t>
      </w:r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</w:t>
      </w:r>
      <w:r w:rsidRPr="009D2ADD">
        <w:rPr>
          <w:lang w:val="en-GB"/>
        </w:rPr>
        <w:t>WP</w:t>
      </w:r>
      <w:r w:rsidRPr="009D2ADD">
        <w:t xml:space="preserve">.5/2016/4 и уже одобрена Бюро ОПТОСОЗ. Рабочая группа поручила секретариату представить более подробную информацию по этому вопросу на ее следующей сессии, продолжив, однако, дискуссию по </w:t>
      </w:r>
      <w:r w:rsidR="0057725E">
        <w:br/>
      </w:r>
      <w:r w:rsidRPr="009D2ADD">
        <w:t xml:space="preserve">вопросу о городской мобильности и общественном транспорте. </w:t>
      </w:r>
    </w:p>
    <w:p w:rsidR="001C2490" w:rsidRDefault="001C2490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9D2ADD" w:rsidRPr="00CC6BAB" w:rsidRDefault="009D2ADD" w:rsidP="00CC6BAB">
      <w:pPr>
        <w:pStyle w:val="HChGR"/>
      </w:pPr>
      <w:r w:rsidRPr="00CC6BAB">
        <w:lastRenderedPageBreak/>
        <w:tab/>
        <w:t>XI.</w:t>
      </w:r>
      <w:r w:rsidRPr="00CC6BAB">
        <w:tab/>
        <w:t xml:space="preserve">Изменение климата и транспорт </w:t>
      </w:r>
      <w:r w:rsidR="0057725E">
        <w:br/>
      </w:r>
      <w:r w:rsidRPr="00CC6BAB">
        <w:t>(пункт 10 повестки дня)</w:t>
      </w:r>
    </w:p>
    <w:p w:rsidR="009D2ADD" w:rsidRPr="001C2490" w:rsidRDefault="009D2ADD" w:rsidP="001C2490">
      <w:pPr>
        <w:pStyle w:val="H1GR"/>
      </w:pPr>
      <w:r w:rsidRPr="001C2490">
        <w:tab/>
        <w:t>A.</w:t>
      </w:r>
      <w:r w:rsidRPr="001C2490">
        <w:tab/>
        <w:t xml:space="preserve">Группа экспертов по последствиям изменения климата </w:t>
      </w:r>
      <w:r w:rsidR="001C2490">
        <w:br/>
      </w:r>
      <w:r w:rsidRPr="001C2490">
        <w:t>для международных транспортных сетей и узлов и адаптации к ним</w:t>
      </w:r>
    </w:p>
    <w:p w:rsidR="009D2ADD" w:rsidRPr="009D2ADD" w:rsidRDefault="009D2ADD" w:rsidP="009D2ADD">
      <w:pPr>
        <w:pStyle w:val="SingleTxtGR"/>
        <w:rPr>
          <w:bCs/>
          <w:iCs/>
        </w:rPr>
      </w:pPr>
      <w:r w:rsidRPr="009D2ADD">
        <w:rPr>
          <w:bCs/>
          <w:i/>
          <w:iCs/>
        </w:rPr>
        <w:t>Документация</w:t>
      </w:r>
      <w:r w:rsidRPr="009D2ADD">
        <w:rPr>
          <w:bCs/>
        </w:rPr>
        <w:t xml:space="preserve">: </w:t>
      </w:r>
      <w:r w:rsidRPr="009D2ADD">
        <w:rPr>
          <w:bCs/>
          <w:iCs/>
          <w:lang w:val="fr-CH"/>
        </w:rPr>
        <w:t>ECE</w:t>
      </w:r>
      <w:r w:rsidRPr="009D2ADD">
        <w:rPr>
          <w:bCs/>
          <w:iCs/>
        </w:rPr>
        <w:t>/</w:t>
      </w:r>
      <w:r w:rsidRPr="009D2ADD">
        <w:rPr>
          <w:bCs/>
          <w:iCs/>
          <w:lang w:val="fr-CH"/>
        </w:rPr>
        <w:t>TRANS</w:t>
      </w:r>
      <w:r w:rsidRPr="009D2ADD">
        <w:rPr>
          <w:bCs/>
          <w:iCs/>
        </w:rPr>
        <w:t>/</w:t>
      </w:r>
      <w:r w:rsidRPr="009D2ADD">
        <w:rPr>
          <w:bCs/>
          <w:iCs/>
          <w:lang w:val="fr-CH"/>
        </w:rPr>
        <w:t>WP</w:t>
      </w:r>
      <w:r w:rsidRPr="009D2ADD">
        <w:rPr>
          <w:bCs/>
          <w:iCs/>
        </w:rPr>
        <w:t>.5/</w:t>
      </w:r>
      <w:r w:rsidRPr="009D2ADD">
        <w:rPr>
          <w:bCs/>
          <w:iCs/>
          <w:lang w:val="fr-CH"/>
        </w:rPr>
        <w:t>GE</w:t>
      </w:r>
      <w:r w:rsidRPr="009D2ADD">
        <w:rPr>
          <w:bCs/>
          <w:iCs/>
        </w:rPr>
        <w:t>.3/20</w:t>
      </w:r>
    </w:p>
    <w:p w:rsidR="009D2ADD" w:rsidRPr="009D2ADD" w:rsidRDefault="009D2ADD" w:rsidP="009D2ADD">
      <w:pPr>
        <w:pStyle w:val="SingleTxtGR"/>
      </w:pPr>
      <w:r w:rsidRPr="009D2ADD">
        <w:t>49.</w:t>
      </w:r>
      <w:r w:rsidRPr="009D2ADD">
        <w:tab/>
        <w:t>После того как КВТ и Исполком утвердили круг ведения Группы экспе</w:t>
      </w:r>
      <w:r w:rsidRPr="009D2ADD">
        <w:t>р</w:t>
      </w:r>
      <w:r w:rsidRPr="009D2ADD">
        <w:t>тов, она провела свою восьмую сессию 14 и 15</w:t>
      </w:r>
      <w:r w:rsidR="001C2490">
        <w:t xml:space="preserve"> января, свою девятую сессию 11 </w:t>
      </w:r>
      <w:r w:rsidRPr="009D2ADD">
        <w:t>и 12 апреля и свою десятую сессию 7 и 8 июля 2016 года. В ходе этих сессий Группа рассмотрела результаты первого этапа работы, а также основные тру</w:t>
      </w:r>
      <w:r w:rsidRPr="009D2ADD">
        <w:t>д</w:t>
      </w:r>
      <w:r w:rsidRPr="009D2ADD">
        <w:t xml:space="preserve">ности и соображения, связанные </w:t>
      </w:r>
      <w:r w:rsidRPr="009D2ADD">
        <w:rPr>
          <w:lang w:val="en-GB"/>
        </w:rPr>
        <w:t>c</w:t>
      </w:r>
      <w:r w:rsidRPr="009D2ADD">
        <w:t xml:space="preserve"> последствиями изменения климата для транспортных сетей, подготовила и рассмотрела первую главу своего оконч</w:t>
      </w:r>
      <w:r w:rsidRPr="009D2ADD">
        <w:t>а</w:t>
      </w:r>
      <w:r w:rsidRPr="009D2ADD">
        <w:t>тельного доклада и обсудила вопросник, разосланный правительствам. Экспе</w:t>
      </w:r>
      <w:r w:rsidRPr="009D2ADD">
        <w:t>р</w:t>
      </w:r>
      <w:r w:rsidRPr="009D2ADD">
        <w:t xml:space="preserve">ты решили, что поставленные перед Группой цели </w:t>
      </w:r>
      <w:r w:rsidR="0057725E">
        <w:t xml:space="preserve">– </w:t>
      </w:r>
      <w:r w:rsidRPr="009D2ADD">
        <w:t>при условии их достиж</w:t>
      </w:r>
      <w:r w:rsidRPr="009D2ADD">
        <w:t>е</w:t>
      </w:r>
      <w:r w:rsidR="0057725E">
        <w:t>ния –</w:t>
      </w:r>
      <w:r w:rsidRPr="009D2ADD">
        <w:t xml:space="preserve"> будут соответствовать потребностям правительств. Вместе с тем на настоящий момент существуют такие многочисленные технические трудности, которые ставят под сомнение результаты деятельности Группы, как сбор да</w:t>
      </w:r>
      <w:r w:rsidRPr="009D2ADD">
        <w:t>н</w:t>
      </w:r>
      <w:r w:rsidRPr="009D2ADD">
        <w:t xml:space="preserve">ных об инфраструктуре первостепенной важности либо о проектах определения климатических факторов в формате ГИС. </w:t>
      </w:r>
    </w:p>
    <w:p w:rsidR="009D2ADD" w:rsidRPr="009D2ADD" w:rsidRDefault="009D2ADD" w:rsidP="009D2ADD">
      <w:pPr>
        <w:pStyle w:val="SingleTxtGR"/>
      </w:pPr>
      <w:r w:rsidRPr="009D2ADD">
        <w:t>50.</w:t>
      </w:r>
      <w:r w:rsidRPr="009D2ADD">
        <w:tab/>
        <w:t>Рабочая группа приняла к сведению информацию, переданную секрет</w:t>
      </w:r>
      <w:r w:rsidRPr="009D2ADD">
        <w:t>а</w:t>
      </w:r>
      <w:r w:rsidRPr="009D2ADD">
        <w:t>риатом, и поручила секретариату представить на ее следующей сессии допо</w:t>
      </w:r>
      <w:r w:rsidRPr="009D2ADD">
        <w:t>л</w:t>
      </w:r>
      <w:r w:rsidRPr="009D2ADD">
        <w:t>нительные данные о ходе работы Группы экспертов.</w:t>
      </w:r>
    </w:p>
    <w:p w:rsidR="009D2ADD" w:rsidRPr="001C2490" w:rsidRDefault="009D2ADD" w:rsidP="001C2490">
      <w:pPr>
        <w:pStyle w:val="H1GR"/>
      </w:pPr>
      <w:r w:rsidRPr="001C2490">
        <w:tab/>
        <w:t>B.</w:t>
      </w:r>
      <w:r w:rsidRPr="001C2490">
        <w:tab/>
        <w:t>Смягчение последствий изменения климата: инструмент ForFITS ЕЭК ООН</w:t>
      </w:r>
    </w:p>
    <w:p w:rsidR="009D2ADD" w:rsidRPr="009D2ADD" w:rsidRDefault="009D2ADD" w:rsidP="009D2ADD">
      <w:pPr>
        <w:pStyle w:val="SingleTxtGR"/>
      </w:pPr>
      <w:r w:rsidRPr="009D2ADD">
        <w:t>51.</w:t>
      </w:r>
      <w:r w:rsidRPr="009D2ADD">
        <w:tab/>
        <w:t xml:space="preserve">Рабочая группа была проинформирована секретариатом об изменениях, произошедших в период 2015–2016 годов в рамках проекта </w:t>
      </w:r>
      <w:r w:rsidR="00CC6BAB">
        <w:t>«</w:t>
      </w:r>
      <w:r w:rsidRPr="009D2ADD">
        <w:t>В интересах буд</w:t>
      </w:r>
      <w:r w:rsidRPr="009D2ADD">
        <w:t>у</w:t>
      </w:r>
      <w:r w:rsidRPr="009D2ADD">
        <w:t>щих систем внутреннего транспорта (</w:t>
      </w:r>
      <w:r w:rsidRPr="009D2ADD">
        <w:rPr>
          <w:lang w:val="en-GB"/>
        </w:rPr>
        <w:t>ForFITS</w:t>
      </w:r>
      <w:r w:rsidRPr="009D2ADD">
        <w:t>)</w:t>
      </w:r>
      <w:r w:rsidR="00CC6BAB">
        <w:t>»</w:t>
      </w:r>
      <w:r w:rsidRPr="009D2ADD">
        <w:t>, финансируемого по линии Счета развития Организации Объединенных Наций.</w:t>
      </w:r>
    </w:p>
    <w:p w:rsidR="009D2ADD" w:rsidRPr="009D2ADD" w:rsidRDefault="009D2ADD" w:rsidP="009D2ADD">
      <w:pPr>
        <w:pStyle w:val="SingleTxtGR"/>
      </w:pPr>
      <w:r w:rsidRPr="009D2ADD">
        <w:t>52.</w:t>
      </w:r>
      <w:r w:rsidRPr="009D2ADD">
        <w:tab/>
        <w:t xml:space="preserve">Было подготовлено региональное исследование по проекту (док. КВТ </w:t>
      </w:r>
      <w:bookmarkStart w:id="36" w:name="OLE_LINK44"/>
      <w:bookmarkStart w:id="37" w:name="OLE_LINK45"/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/2016/7</w:t>
      </w:r>
      <w:bookmarkEnd w:id="36"/>
      <w:bookmarkEnd w:id="37"/>
      <w:r w:rsidRPr="009D2ADD">
        <w:t xml:space="preserve"> и неофициальный документ № 13). Кроме того, на прошлой сессии КВТ (</w:t>
      </w:r>
      <w:r w:rsidRPr="009D2ADD">
        <w:rPr>
          <w:lang w:val="en-GB"/>
        </w:rPr>
        <w:t>ECE</w:t>
      </w:r>
      <w:r w:rsidRPr="009D2ADD">
        <w:t>/</w:t>
      </w:r>
      <w:r w:rsidRPr="009D2ADD">
        <w:rPr>
          <w:lang w:val="en-GB"/>
        </w:rPr>
        <w:t>TRANS</w:t>
      </w:r>
      <w:r w:rsidRPr="009D2ADD">
        <w:t>/254, пункт 31) Комитет счел важным широко вне</w:t>
      </w:r>
      <w:r w:rsidRPr="009D2ADD">
        <w:t>д</w:t>
      </w:r>
      <w:r w:rsidRPr="009D2ADD">
        <w:t xml:space="preserve">рять инструмент </w:t>
      </w:r>
      <w:r w:rsidRPr="009D2ADD">
        <w:rPr>
          <w:lang w:val="en-GB"/>
        </w:rPr>
        <w:t>ForFITS</w:t>
      </w:r>
      <w:r w:rsidRPr="009D2ADD">
        <w:t>. С этой целью Комитет определил следующие напра</w:t>
      </w:r>
      <w:r w:rsidRPr="009D2ADD">
        <w:t>в</w:t>
      </w:r>
      <w:r w:rsidRPr="009D2ADD">
        <w:t xml:space="preserve">ления деятельности: </w:t>
      </w:r>
      <w:r w:rsidRPr="009D2ADD">
        <w:rPr>
          <w:lang w:val="en-GB"/>
        </w:rPr>
        <w:t>i</w:t>
      </w:r>
      <w:r w:rsidRPr="009D2ADD">
        <w:t xml:space="preserve">) регулярное обновление регионального обзора ЕЭК ООН, касающегося выбросов </w:t>
      </w:r>
      <w:r w:rsidRPr="009D2ADD">
        <w:rPr>
          <w:lang w:val="en-GB"/>
        </w:rPr>
        <w:t>CO</w:t>
      </w:r>
      <w:r w:rsidRPr="009D2ADD">
        <w:rPr>
          <w:vertAlign w:val="subscript"/>
        </w:rPr>
        <w:t>2</w:t>
      </w:r>
      <w:r w:rsidRPr="009D2ADD">
        <w:t xml:space="preserve"> на внутреннем транспорте, а также страновых о</w:t>
      </w:r>
      <w:r w:rsidRPr="009D2ADD">
        <w:t>б</w:t>
      </w:r>
      <w:r w:rsidRPr="009D2ADD">
        <w:t xml:space="preserve">зоров по запросу; </w:t>
      </w:r>
      <w:r w:rsidRPr="009D2ADD">
        <w:rPr>
          <w:lang w:val="en-GB"/>
        </w:rPr>
        <w:t>ii</w:t>
      </w:r>
      <w:r w:rsidRPr="009D2ADD">
        <w:t>) методологическая деятельность и деятельность по нар</w:t>
      </w:r>
      <w:r w:rsidRPr="009D2ADD">
        <w:t>а</w:t>
      </w:r>
      <w:r w:rsidRPr="009D2ADD">
        <w:t xml:space="preserve">щиванию потенциала с целью улучшения доступности и качества данных; </w:t>
      </w:r>
      <w:r w:rsidRPr="009D2ADD">
        <w:rPr>
          <w:lang w:val="en-GB"/>
        </w:rPr>
        <w:t>iii</w:t>
      </w:r>
      <w:r w:rsidR="001C2490">
        <w:t>) </w:t>
      </w:r>
      <w:r w:rsidRPr="009D2ADD">
        <w:t xml:space="preserve">улучшение пользовательского веб-интерфейса; </w:t>
      </w:r>
      <w:r w:rsidRPr="009D2ADD">
        <w:rPr>
          <w:lang w:val="en-GB"/>
        </w:rPr>
        <w:t>iv</w:t>
      </w:r>
      <w:r w:rsidRPr="009D2ADD">
        <w:t>) разработка соответст</w:t>
      </w:r>
      <w:r w:rsidR="0057725E">
        <w:t>-</w:t>
      </w:r>
      <w:r w:rsidRPr="009D2ADD">
        <w:t xml:space="preserve">вующего модуля местных выбросов; </w:t>
      </w:r>
      <w:r w:rsidRPr="009D2ADD">
        <w:rPr>
          <w:lang w:val="en-GB"/>
        </w:rPr>
        <w:t>v</w:t>
      </w:r>
      <w:r w:rsidRPr="009D2ADD">
        <w:t xml:space="preserve">) обучение использованию инструмента. </w:t>
      </w:r>
    </w:p>
    <w:p w:rsidR="009D2ADD" w:rsidRPr="009D2ADD" w:rsidRDefault="009D2ADD" w:rsidP="009D2ADD">
      <w:pPr>
        <w:pStyle w:val="SingleTxtGR"/>
      </w:pPr>
      <w:r w:rsidRPr="009D2ADD">
        <w:t>53.</w:t>
      </w:r>
      <w:r w:rsidRPr="009D2ADD">
        <w:tab/>
        <w:t>Рабочая группа приняла к сведению представленную информацию и вновь заявила о своей поддержке деятельности по дальнейшему развитию этого инструмента. Рабочая группа поручила секретариату проинформировать ее на следующей сессии о любых изменениях в этой области.</w:t>
      </w:r>
    </w:p>
    <w:p w:rsidR="009D2ADD" w:rsidRPr="001C2490" w:rsidRDefault="009D2ADD" w:rsidP="001C2490">
      <w:pPr>
        <w:pStyle w:val="H1GR"/>
      </w:pPr>
      <w:r w:rsidRPr="001C2490">
        <w:lastRenderedPageBreak/>
        <w:tab/>
        <w:t>C.</w:t>
      </w:r>
      <w:r w:rsidRPr="001C2490">
        <w:tab/>
        <w:t>Выбросы дизельными двигателями</w:t>
      </w:r>
    </w:p>
    <w:p w:rsidR="009D2ADD" w:rsidRPr="009D2ADD" w:rsidRDefault="009D2ADD" w:rsidP="009D2ADD">
      <w:pPr>
        <w:pStyle w:val="SingleTxtGR"/>
      </w:pPr>
      <w:r w:rsidRPr="009D2ADD">
        <w:rPr>
          <w:i/>
          <w:iCs/>
        </w:rPr>
        <w:t>Документация</w:t>
      </w:r>
      <w:r w:rsidRPr="009D2ADD">
        <w:t>: дискуссионный документ ЕЭК ООН</w:t>
      </w:r>
    </w:p>
    <w:p w:rsidR="009D2ADD" w:rsidRPr="009D2ADD" w:rsidRDefault="009D2ADD" w:rsidP="009D2ADD">
      <w:pPr>
        <w:pStyle w:val="SingleTxtGR"/>
      </w:pPr>
      <w:r w:rsidRPr="009D2ADD">
        <w:t>54.</w:t>
      </w:r>
      <w:r w:rsidRPr="009D2ADD">
        <w:tab/>
        <w:t xml:space="preserve">Секретариат представил Рабочей группе новую информацию в связи с дискуссионным документом </w:t>
      </w:r>
      <w:r w:rsidR="00CC6BAB">
        <w:t>«</w:t>
      </w:r>
      <w:r w:rsidRPr="009D2ADD">
        <w:t>Выбросы из дизельных двигателей: мифы и ре</w:t>
      </w:r>
      <w:r w:rsidRPr="009D2ADD">
        <w:t>а</w:t>
      </w:r>
      <w:r w:rsidRPr="009D2ADD">
        <w:t>лии</w:t>
      </w:r>
      <w:r w:rsidR="00CC6BAB">
        <w:t>»</w:t>
      </w:r>
      <w:r w:rsidRPr="009D2ADD">
        <w:t xml:space="preserve">, который был подготовлен секретариатом. </w:t>
      </w:r>
    </w:p>
    <w:p w:rsidR="009D2ADD" w:rsidRPr="009D2ADD" w:rsidRDefault="009D2ADD" w:rsidP="009D2ADD">
      <w:pPr>
        <w:pStyle w:val="SingleTxtGR"/>
      </w:pPr>
      <w:r w:rsidRPr="009D2ADD">
        <w:t>55.</w:t>
      </w:r>
      <w:r w:rsidRPr="009D2ADD">
        <w:tab/>
        <w:t>Рабочая группа приняла к сведению сообщение секретариата и поручила ему проинформировать ее на следующей сессии о любых изменениях в этой области.</w:t>
      </w:r>
    </w:p>
    <w:p w:rsidR="009D2ADD" w:rsidRPr="00CC6BAB" w:rsidRDefault="009D2ADD" w:rsidP="00CC6BAB">
      <w:pPr>
        <w:pStyle w:val="HChGR"/>
      </w:pPr>
      <w:r w:rsidRPr="00CC6BAB">
        <w:tab/>
        <w:t>XII.</w:t>
      </w:r>
      <w:r w:rsidRPr="00CC6BAB">
        <w:tab/>
        <w:t xml:space="preserve">Обзор ситуации на транспорте, тенденций </w:t>
      </w:r>
      <w:r w:rsidR="001C2490">
        <w:br/>
      </w:r>
      <w:r w:rsidRPr="00CC6BAB">
        <w:t xml:space="preserve">и экономики транспорта в регионе ЕЭК </w:t>
      </w:r>
      <w:r w:rsidR="001C2490">
        <w:br/>
      </w:r>
      <w:r w:rsidRPr="00CC6BAB">
        <w:t>(пункт 11 повестки дня)</w:t>
      </w:r>
    </w:p>
    <w:p w:rsidR="009D2ADD" w:rsidRPr="001C2490" w:rsidRDefault="009D2ADD" w:rsidP="001C2490">
      <w:pPr>
        <w:pStyle w:val="H1GR"/>
      </w:pPr>
      <w:r w:rsidRPr="001C2490">
        <w:tab/>
        <w:t>A.</w:t>
      </w:r>
      <w:r w:rsidRPr="001C2490">
        <w:tab/>
      </w:r>
      <w:bookmarkStart w:id="38" w:name="OLE_LINK46"/>
      <w:bookmarkStart w:id="39" w:name="OLE_LINK47"/>
      <w:r w:rsidRPr="001C2490">
        <w:t>Tенденции и экономика транспорта в 2016–2017 годах</w:t>
      </w:r>
      <w:bookmarkEnd w:id="38"/>
      <w:bookmarkEnd w:id="39"/>
      <w:r w:rsidRPr="001C2490">
        <w:t>: достижение целей в области устойчивого развития на основе развития устойчивого транспорта</w:t>
      </w:r>
    </w:p>
    <w:p w:rsidR="009D2ADD" w:rsidRPr="009D2ADD" w:rsidRDefault="009D2ADD" w:rsidP="009D2ADD">
      <w:pPr>
        <w:pStyle w:val="SingleTxtGR"/>
        <w:rPr>
          <w:b/>
          <w:lang w:val="en-GB"/>
        </w:rPr>
      </w:pPr>
      <w:r w:rsidRPr="009D2ADD">
        <w:rPr>
          <w:bCs/>
          <w:i/>
          <w:iCs/>
          <w:lang w:val="en-GB"/>
        </w:rPr>
        <w:t>Документация</w:t>
      </w:r>
      <w:r w:rsidRPr="009D2ADD">
        <w:rPr>
          <w:bCs/>
          <w:lang w:val="en-GB"/>
        </w:rPr>
        <w:t xml:space="preserve">: </w:t>
      </w:r>
      <w:r w:rsidRPr="009D2ADD">
        <w:rPr>
          <w:lang w:val="en-GB"/>
        </w:rPr>
        <w:t>ECE/TRANS/WP.5/2016/5, ECE/TRANS/WP.5/2016/6</w:t>
      </w:r>
    </w:p>
    <w:p w:rsidR="009D2ADD" w:rsidRPr="009D2ADD" w:rsidRDefault="009D2ADD" w:rsidP="009D2ADD">
      <w:pPr>
        <w:pStyle w:val="SingleTxtGR"/>
      </w:pPr>
      <w:r w:rsidRPr="009D2ADD">
        <w:t>56.</w:t>
      </w:r>
      <w:r w:rsidRPr="009D2ADD">
        <w:tab/>
        <w:t xml:space="preserve">Секретариат представил Рабочей группе новую информацию в связи с дискуссионным документом </w:t>
      </w:r>
      <w:r w:rsidR="00CC6BAB">
        <w:t>«</w:t>
      </w:r>
      <w:r w:rsidRPr="009D2ADD">
        <w:t>Выбросы из дизельных двигателей: мифы и ре</w:t>
      </w:r>
      <w:r w:rsidRPr="009D2ADD">
        <w:t>а</w:t>
      </w:r>
      <w:r w:rsidRPr="009D2ADD">
        <w:t>лии</w:t>
      </w:r>
      <w:r w:rsidR="00CC6BAB">
        <w:t>»</w:t>
      </w:r>
      <w:r w:rsidRPr="009D2ADD">
        <w:t xml:space="preserve">, который был подготовлен секретариатом. </w:t>
      </w:r>
    </w:p>
    <w:p w:rsidR="009D2ADD" w:rsidRPr="009D2ADD" w:rsidRDefault="009D2ADD" w:rsidP="009D2ADD">
      <w:pPr>
        <w:pStyle w:val="SingleTxtGR"/>
      </w:pPr>
      <w:r w:rsidRPr="009D2ADD">
        <w:t>57.</w:t>
      </w:r>
      <w:r w:rsidRPr="009D2ADD">
        <w:tab/>
        <w:t>Рабочая группа приняла к сведению сообщение секретариата о тенден</w:t>
      </w:r>
      <w:r w:rsidR="0057725E">
        <w:t>-</w:t>
      </w:r>
      <w:r w:rsidRPr="009D2ADD">
        <w:t>циях и экономике транспорта в 2016–2017 годах и решила отложить принятие решения по этой теме в ожидании решения Исполкома о том, каким образом ЕЭК</w:t>
      </w:r>
      <w:r w:rsidR="001C2490">
        <w:t> </w:t>
      </w:r>
      <w:r w:rsidRPr="009D2ADD">
        <w:t>ООН следует содействовать реализации Целей в области устойчивого ра</w:t>
      </w:r>
      <w:r w:rsidRPr="009D2ADD">
        <w:t>з</w:t>
      </w:r>
      <w:r w:rsidRPr="009D2ADD">
        <w:t>вития.</w:t>
      </w:r>
    </w:p>
    <w:p w:rsidR="009D2ADD" w:rsidRPr="001C2490" w:rsidRDefault="009D2ADD" w:rsidP="001C2490">
      <w:pPr>
        <w:pStyle w:val="H1GR"/>
      </w:pPr>
      <w:r w:rsidRPr="001C2490">
        <w:tab/>
        <w:t>B.</w:t>
      </w:r>
      <w:r w:rsidRPr="001C2490">
        <w:tab/>
        <w:t>Tенденции и экономика транспорта в 2014–2015 годах: финансирование транспортной инфраструктуры</w:t>
      </w:r>
    </w:p>
    <w:p w:rsidR="009D2ADD" w:rsidRPr="009D2ADD" w:rsidRDefault="009D2ADD" w:rsidP="009D2ADD">
      <w:pPr>
        <w:pStyle w:val="SingleTxtGR"/>
      </w:pPr>
      <w:r w:rsidRPr="009D2ADD">
        <w:rPr>
          <w:bCs/>
          <w:i/>
          <w:iCs/>
        </w:rPr>
        <w:t>Документация</w:t>
      </w:r>
      <w:r w:rsidRPr="009D2ADD">
        <w:rPr>
          <w:bCs/>
        </w:rPr>
        <w:t>: н</w:t>
      </w:r>
      <w:r w:rsidRPr="009D2ADD">
        <w:t>еофициальный документ № 6</w:t>
      </w:r>
    </w:p>
    <w:p w:rsidR="009D2ADD" w:rsidRPr="009D2ADD" w:rsidRDefault="009D2ADD" w:rsidP="009D2ADD">
      <w:pPr>
        <w:pStyle w:val="SingleTxtGR"/>
      </w:pPr>
      <w:r w:rsidRPr="009D2ADD">
        <w:t>58.</w:t>
      </w:r>
      <w:r w:rsidRPr="009D2ADD">
        <w:tab/>
        <w:t>Рабочая группа приняла к сведению представленную секретариатом и</w:t>
      </w:r>
      <w:r w:rsidRPr="009D2ADD">
        <w:t>н</w:t>
      </w:r>
      <w:r w:rsidRPr="009D2ADD">
        <w:t xml:space="preserve">формацию о публикации </w:t>
      </w:r>
      <w:r w:rsidR="00CC6BAB">
        <w:t>«</w:t>
      </w:r>
      <w:r w:rsidRPr="009D2ADD">
        <w:t>Тенденции и экономика транспорта в 2014–2015 г</w:t>
      </w:r>
      <w:r w:rsidRPr="009D2ADD">
        <w:t>о</w:t>
      </w:r>
      <w:r w:rsidRPr="009D2ADD">
        <w:t>дах: финансирование транспортной инфраструктуры</w:t>
      </w:r>
      <w:r w:rsidR="00CC6BAB">
        <w:t>»</w:t>
      </w:r>
      <w:r w:rsidRPr="009D2ADD">
        <w:t xml:space="preserve"> и поручила секретариату как можно скорее завершить работу над этой публикацией.</w:t>
      </w:r>
    </w:p>
    <w:p w:rsidR="009D2ADD" w:rsidRPr="001C2490" w:rsidRDefault="009D2ADD" w:rsidP="001C2490">
      <w:pPr>
        <w:pStyle w:val="H1GR"/>
      </w:pPr>
      <w:r w:rsidRPr="001C2490">
        <w:tab/>
        <w:t>C.</w:t>
      </w:r>
      <w:r w:rsidRPr="001C2490">
        <w:tab/>
        <w:t xml:space="preserve">Tенденции и экономика транспорта в 2012−2013 годах: </w:t>
      </w:r>
      <w:bookmarkStart w:id="40" w:name="OLE_LINK48"/>
      <w:bookmarkStart w:id="41" w:name="OLE_LINK49"/>
      <w:r w:rsidRPr="001C2490">
        <w:t>устойчивая городская мобильность и общественный транспорт</w:t>
      </w:r>
      <w:bookmarkEnd w:id="40"/>
      <w:bookmarkEnd w:id="41"/>
    </w:p>
    <w:p w:rsidR="009D2ADD" w:rsidRPr="009D2ADD" w:rsidRDefault="009D2ADD" w:rsidP="009D2ADD">
      <w:pPr>
        <w:pStyle w:val="SingleTxtGR"/>
      </w:pPr>
      <w:r w:rsidRPr="009D2ADD">
        <w:t>59.</w:t>
      </w:r>
      <w:r w:rsidRPr="009D2ADD">
        <w:tab/>
      </w:r>
      <w:r w:rsidRPr="009D2ADD">
        <w:rPr>
          <w:bCs/>
        </w:rPr>
        <w:t>Рабочая группа приняла к сведению представленную секретариатом и</w:t>
      </w:r>
      <w:r w:rsidRPr="009D2ADD">
        <w:rPr>
          <w:bCs/>
        </w:rPr>
        <w:t>н</w:t>
      </w:r>
      <w:r w:rsidRPr="009D2ADD">
        <w:rPr>
          <w:bCs/>
        </w:rPr>
        <w:t xml:space="preserve">формацию о публикации </w:t>
      </w:r>
      <w:r w:rsidR="00CC6BAB">
        <w:rPr>
          <w:bCs/>
        </w:rPr>
        <w:t>«</w:t>
      </w:r>
      <w:r w:rsidRPr="009D2ADD">
        <w:rPr>
          <w:bCs/>
        </w:rPr>
        <w:t>Тенденции и экономика транспорта в</w:t>
      </w:r>
      <w:r w:rsidRPr="009D2ADD">
        <w:t xml:space="preserve"> 2012</w:t>
      </w:r>
      <w:r w:rsidR="001C2490">
        <w:t>–</w:t>
      </w:r>
      <w:r w:rsidRPr="009D2ADD">
        <w:t>2013 г</w:t>
      </w:r>
      <w:r w:rsidRPr="009D2ADD">
        <w:t>о</w:t>
      </w:r>
      <w:r w:rsidRPr="009D2ADD">
        <w:t xml:space="preserve">дах: </w:t>
      </w:r>
      <w:r w:rsidRPr="009D2ADD">
        <w:rPr>
          <w:bCs/>
        </w:rPr>
        <w:t>устойчивая городская мобильность и общественный транспорт</w:t>
      </w:r>
      <w:r w:rsidR="00CC6BAB">
        <w:t>»</w:t>
      </w:r>
      <w:r w:rsidRPr="009D2ADD">
        <w:t>.</w:t>
      </w:r>
    </w:p>
    <w:p w:rsidR="009D2ADD" w:rsidRPr="001C2490" w:rsidRDefault="009D2ADD" w:rsidP="001C2490">
      <w:pPr>
        <w:pStyle w:val="H1GR"/>
      </w:pPr>
      <w:r w:rsidRPr="001C2490">
        <w:lastRenderedPageBreak/>
        <w:tab/>
        <w:t>D.</w:t>
      </w:r>
      <w:r w:rsidRPr="001C2490">
        <w:tab/>
        <w:t>Tранспортные тенденции и вызовы в автомобильном секторе</w:t>
      </w:r>
    </w:p>
    <w:p w:rsidR="009D2ADD" w:rsidRPr="009D2ADD" w:rsidRDefault="009D2ADD" w:rsidP="009D2ADD">
      <w:pPr>
        <w:pStyle w:val="SingleTxtGR"/>
      </w:pPr>
      <w:r w:rsidRPr="009D2ADD">
        <w:rPr>
          <w:bCs/>
          <w:i/>
          <w:iCs/>
        </w:rPr>
        <w:t>Документация</w:t>
      </w:r>
      <w:r w:rsidRPr="009D2ADD">
        <w:rPr>
          <w:bCs/>
        </w:rPr>
        <w:t>: неофициальный документ № 7</w:t>
      </w:r>
    </w:p>
    <w:p w:rsidR="009D2ADD" w:rsidRPr="009D2ADD" w:rsidRDefault="009D2ADD" w:rsidP="009D2ADD">
      <w:pPr>
        <w:pStyle w:val="SingleTxtGR"/>
      </w:pPr>
      <w:r w:rsidRPr="009D2ADD">
        <w:t>60.</w:t>
      </w:r>
      <w:r w:rsidRPr="009D2ADD">
        <w:tab/>
        <w:t>Представитель МСАТ г-н Енс Хюгель сделал сообщение по транспор</w:t>
      </w:r>
      <w:r w:rsidRPr="009D2ADD">
        <w:t>т</w:t>
      </w:r>
      <w:r w:rsidRPr="009D2ADD">
        <w:t xml:space="preserve">ным тенденциям и вызовам в </w:t>
      </w:r>
      <w:bookmarkStart w:id="42" w:name="OLE_LINK50"/>
      <w:bookmarkStart w:id="43" w:name="OLE_LINK51"/>
      <w:r w:rsidRPr="009D2ADD">
        <w:t>автомобильном секторе</w:t>
      </w:r>
      <w:bookmarkEnd w:id="42"/>
      <w:bookmarkEnd w:id="43"/>
      <w:r w:rsidRPr="009D2ADD">
        <w:t>.</w:t>
      </w:r>
    </w:p>
    <w:p w:rsidR="009D2ADD" w:rsidRPr="009D2ADD" w:rsidRDefault="009D2ADD" w:rsidP="009D2ADD">
      <w:pPr>
        <w:pStyle w:val="SingleTxtGR"/>
      </w:pPr>
      <w:r w:rsidRPr="009D2ADD">
        <w:t>61.</w:t>
      </w:r>
      <w:r w:rsidRPr="009D2ADD">
        <w:tab/>
        <w:t xml:space="preserve">В своем выступлении он сосредоточил внимание на феномене </w:t>
      </w:r>
      <w:r w:rsidR="00CC6BAB">
        <w:t>«</w:t>
      </w:r>
      <w:r w:rsidRPr="009D2ADD">
        <w:t>Убер</w:t>
      </w:r>
      <w:r w:rsidR="00CC6BAB">
        <w:t>»</w:t>
      </w:r>
      <w:r w:rsidRPr="009D2ADD">
        <w:t xml:space="preserve"> как новой тенденции, которая вскоре распространится на все виды перевозок. Он также отметил такие в равной степени важные вызовы в автомобильном сект</w:t>
      </w:r>
      <w:r w:rsidRPr="009D2ADD">
        <w:t>о</w:t>
      </w:r>
      <w:r w:rsidRPr="009D2ADD">
        <w:t>ре, как нехватка водителей и охрана окружающей среды. В регионе ОЭСР наблюдается незначительный рост ВВП, объема грузовых автомобильных пер</w:t>
      </w:r>
      <w:r w:rsidRPr="009D2ADD">
        <w:t>е</w:t>
      </w:r>
      <w:r w:rsidRPr="009D2ADD">
        <w:t>возок, а также числа регистрируемых грузовых транспортных средств. С другой стороны, в странах БРИК</w:t>
      </w:r>
      <w:r w:rsidRPr="001C2490">
        <w:rPr>
          <w:sz w:val="18"/>
          <w:vertAlign w:val="superscript"/>
          <w:lang w:val="en-GB"/>
        </w:rPr>
        <w:footnoteReference w:id="1"/>
      </w:r>
      <w:r w:rsidRPr="009D2ADD">
        <w:t xml:space="preserve"> ситуация в плане регистрации грузовых транспор</w:t>
      </w:r>
      <w:r w:rsidRPr="009D2ADD">
        <w:t>т</w:t>
      </w:r>
      <w:r w:rsidRPr="009D2ADD">
        <w:t xml:space="preserve">ных средств и объема грузовых автомобильных перевозок является довольно стабильной. Вместе с тем там также наблюдается незначительный рост ВВП. Он указал, что МСАТ содействует проведению исследования МТФ по вопросу об автоматических грузовых автомобильных перевозках. Основной упор в этом исследовании делается на коммерческие перевозки на большие расстояния, и оно касается Европы, Северной Америки и Японии. </w:t>
      </w:r>
    </w:p>
    <w:p w:rsidR="009D2ADD" w:rsidRPr="009D2ADD" w:rsidRDefault="009D2ADD" w:rsidP="009D2ADD">
      <w:pPr>
        <w:pStyle w:val="SingleTxtGR"/>
      </w:pPr>
      <w:r w:rsidRPr="009D2ADD">
        <w:t>62.</w:t>
      </w:r>
      <w:r w:rsidRPr="009D2ADD">
        <w:tab/>
        <w:t xml:space="preserve">С учетом дискуссии, последовавшей за выступлением представителя МСАТ, Рабочая группа поручила секретариату организовать на ее следующей сессии рабочее совещание на тему: </w:t>
      </w:r>
      <w:r w:rsidR="00CC6BAB">
        <w:t>«</w:t>
      </w:r>
      <w:r w:rsidRPr="009D2ADD">
        <w:t>Мобильность как услуга</w:t>
      </w:r>
      <w:r w:rsidR="00CC6BAB">
        <w:t>»</w:t>
      </w:r>
      <w:r w:rsidRPr="009D2ADD">
        <w:t xml:space="preserve">. </w:t>
      </w:r>
    </w:p>
    <w:p w:rsidR="009D2ADD" w:rsidRPr="009D2ADD" w:rsidRDefault="009D2ADD" w:rsidP="009D2ADD">
      <w:pPr>
        <w:pStyle w:val="SingleTxtGR"/>
      </w:pPr>
      <w:r w:rsidRPr="009D2ADD">
        <w:t>63.</w:t>
      </w:r>
      <w:r w:rsidRPr="009D2ADD">
        <w:tab/>
        <w:t>Рабочая группа выразила МСАТ признательность за переданные матери</w:t>
      </w:r>
      <w:r w:rsidRPr="009D2ADD">
        <w:t>а</w:t>
      </w:r>
      <w:r w:rsidRPr="009D2ADD">
        <w:t>лы по анализу последних тенденций и вызовов в секторе автомобильного транспорта и просила МСАТ представить на ее тридцатой сессии в 2017 году обновленную информацию о соответствующих изменениях в этом секторе.</w:t>
      </w:r>
    </w:p>
    <w:p w:rsidR="009D2ADD" w:rsidRPr="001C2490" w:rsidRDefault="009D2ADD" w:rsidP="001C2490">
      <w:pPr>
        <w:pStyle w:val="H1GR"/>
      </w:pPr>
      <w:r w:rsidRPr="001C2490">
        <w:tab/>
        <w:t>E.</w:t>
      </w:r>
      <w:r w:rsidRPr="001C2490">
        <w:tab/>
        <w:t>Tранспортные тенденции и вызовы в железнодорожном секторе</w:t>
      </w:r>
    </w:p>
    <w:p w:rsidR="009D2ADD" w:rsidRPr="009D2ADD" w:rsidRDefault="009D2ADD" w:rsidP="009D2ADD">
      <w:pPr>
        <w:pStyle w:val="SingleTxtGR"/>
      </w:pPr>
      <w:r w:rsidRPr="009D2ADD">
        <w:rPr>
          <w:i/>
        </w:rPr>
        <w:t>Документация:</w:t>
      </w:r>
      <w:r w:rsidRPr="009D2ADD">
        <w:t xml:space="preserve"> неофициальный документ № 8</w:t>
      </w:r>
    </w:p>
    <w:p w:rsidR="009D2ADD" w:rsidRPr="009D2ADD" w:rsidRDefault="009D2ADD" w:rsidP="009D2ADD">
      <w:pPr>
        <w:pStyle w:val="SingleTxtGR"/>
      </w:pPr>
      <w:r w:rsidRPr="009D2ADD">
        <w:t>64.</w:t>
      </w:r>
      <w:r w:rsidRPr="009D2ADD">
        <w:tab/>
        <w:t>Представитель МСЖД г-жа Снежана Маркович-Шене выступила с соо</w:t>
      </w:r>
      <w:r w:rsidRPr="009D2ADD">
        <w:t>б</w:t>
      </w:r>
      <w:r w:rsidRPr="009D2ADD">
        <w:t>щением по транспортным тенденциям и вызовам на железнодорожном тран</w:t>
      </w:r>
      <w:r w:rsidRPr="009D2ADD">
        <w:t>с</w:t>
      </w:r>
      <w:r w:rsidRPr="009D2ADD">
        <w:t>порте.</w:t>
      </w:r>
    </w:p>
    <w:p w:rsidR="009D2ADD" w:rsidRPr="009D2ADD" w:rsidRDefault="009D2ADD" w:rsidP="009D2ADD">
      <w:pPr>
        <w:pStyle w:val="SingleTxtGR"/>
      </w:pPr>
      <w:r w:rsidRPr="009D2ADD">
        <w:t>65.</w:t>
      </w:r>
      <w:r w:rsidRPr="009D2ADD">
        <w:tab/>
        <w:t>Она проинформировал</w:t>
      </w:r>
      <w:r w:rsidR="00660CD5">
        <w:t>а</w:t>
      </w:r>
      <w:r w:rsidRPr="009D2ADD">
        <w:t xml:space="preserve"> о тенденциях и вызовах в железнодорожном се</w:t>
      </w:r>
      <w:r w:rsidRPr="009D2ADD">
        <w:t>к</w:t>
      </w:r>
      <w:r w:rsidRPr="009D2ADD">
        <w:t>торе на основе доклада МСЖД, содержащего предварительные годовые данные для всех континентов о протяженности линий, подвижном составе, средней численности персонала, движении поездов (поездо-км), железнодорожных п</w:t>
      </w:r>
      <w:r w:rsidRPr="009D2ADD">
        <w:t>е</w:t>
      </w:r>
      <w:r w:rsidRPr="009D2ADD">
        <w:t>ревозках (число пассажиров, пассажиро-км, тонны, тонно-км) и высокоск</w:t>
      </w:r>
      <w:r w:rsidRPr="009D2ADD">
        <w:t>о</w:t>
      </w:r>
      <w:r w:rsidRPr="009D2ADD">
        <w:t xml:space="preserve">ростном движении. Она отметила, что на мировом уровне в </w:t>
      </w:r>
      <w:r w:rsidR="001C2490">
        <w:t xml:space="preserve">период </w:t>
      </w:r>
      <w:r w:rsidR="001C2490">
        <w:br/>
        <w:t>2007–2015 </w:t>
      </w:r>
      <w:r w:rsidRPr="009D2ADD">
        <w:t>годов пассажирооборот возрос на 4%. Кроме того, в указанный п</w:t>
      </w:r>
      <w:r w:rsidRPr="009D2ADD">
        <w:t>е</w:t>
      </w:r>
      <w:r w:rsidRPr="009D2ADD">
        <w:t xml:space="preserve">риод было зарегистрировано сокращение грузооборота и протяженности линий на 13% и 14,7% соответственно. </w:t>
      </w:r>
    </w:p>
    <w:p w:rsidR="009D2ADD" w:rsidRPr="009D2ADD" w:rsidRDefault="009D2ADD" w:rsidP="009D2ADD">
      <w:pPr>
        <w:pStyle w:val="SingleTxtGR"/>
      </w:pPr>
      <w:r w:rsidRPr="009D2ADD">
        <w:t>66.</w:t>
      </w:r>
      <w:r w:rsidRPr="009D2ADD">
        <w:tab/>
        <w:t>Рабочая группа выразила МСЖД признательность за переданные мате</w:t>
      </w:r>
      <w:r w:rsidR="00660CD5">
        <w:t>-</w:t>
      </w:r>
      <w:r w:rsidRPr="009D2ADD">
        <w:t>риалы по анализу последних тенденций и вызовов в секторе железнодорожного транспорта и просила МСЖД представить на ее тридцатой сессии в 2017 году обновленную информацию о соответствующих изменениях в этом секторе.</w:t>
      </w:r>
    </w:p>
    <w:p w:rsidR="009D2ADD" w:rsidRPr="001C2490" w:rsidRDefault="009D2ADD" w:rsidP="001C2490">
      <w:pPr>
        <w:pStyle w:val="H1GR"/>
      </w:pPr>
      <w:r w:rsidRPr="001C2490">
        <w:lastRenderedPageBreak/>
        <w:tab/>
        <w:t>F.</w:t>
      </w:r>
      <w:r w:rsidRPr="001C2490">
        <w:tab/>
        <w:t>Tранспортные тенденции и вызовы в секторе внутренних водных путей</w:t>
      </w:r>
    </w:p>
    <w:p w:rsidR="009D2ADD" w:rsidRPr="009D2ADD" w:rsidRDefault="009D2ADD" w:rsidP="009D2ADD">
      <w:pPr>
        <w:pStyle w:val="SingleTxtGR"/>
      </w:pPr>
      <w:r w:rsidRPr="009D2ADD">
        <w:t>67.</w:t>
      </w:r>
      <w:r w:rsidRPr="009D2ADD">
        <w:tab/>
        <w:t xml:space="preserve">Секретарь Рабочей группы по внутреннему водному транспорту </w:t>
      </w:r>
      <w:r w:rsidR="00660CD5">
        <w:br/>
      </w:r>
      <w:r w:rsidRPr="009D2ADD">
        <w:t>г-жа Виктория Иванова выступила с сообщением о тенденциях и вызовах в се</w:t>
      </w:r>
      <w:r w:rsidRPr="009D2ADD">
        <w:t>к</w:t>
      </w:r>
      <w:r w:rsidRPr="009D2ADD">
        <w:t>торе внутренних водных путей.</w:t>
      </w:r>
    </w:p>
    <w:p w:rsidR="009D2ADD" w:rsidRPr="009D2ADD" w:rsidRDefault="009D2ADD" w:rsidP="009D2ADD">
      <w:pPr>
        <w:pStyle w:val="SingleTxtGR"/>
      </w:pPr>
      <w:r w:rsidRPr="009D2ADD">
        <w:t>68.</w:t>
      </w:r>
      <w:r w:rsidRPr="009D2ADD">
        <w:tab/>
        <w:t>Рабочая группа выразила секретариату признательность за переданные материалы по анализу последних тенденций и вызовов в секторе внутреннего водного транспорта и поручила секретариату представить на ее тридцатой се</w:t>
      </w:r>
      <w:r w:rsidRPr="009D2ADD">
        <w:t>с</w:t>
      </w:r>
      <w:r w:rsidRPr="009D2ADD">
        <w:t xml:space="preserve">сии в 2017 году обновленную информацию о соответствующих изменениях в этом секторе. </w:t>
      </w:r>
    </w:p>
    <w:p w:rsidR="009D2ADD" w:rsidRPr="001C2490" w:rsidRDefault="009D2ADD" w:rsidP="001C2490">
      <w:pPr>
        <w:pStyle w:val="H1GR"/>
      </w:pPr>
      <w:r w:rsidRPr="001C2490">
        <w:tab/>
        <w:t>G.</w:t>
      </w:r>
      <w:r w:rsidRPr="001C2490">
        <w:tab/>
      </w:r>
      <w:bookmarkStart w:id="44" w:name="OLE_LINK52"/>
      <w:bookmarkStart w:id="45" w:name="OLE_LINK53"/>
      <w:r w:rsidRPr="001C2490">
        <w:t>Анализ статистики транспорта ЕЭК ООН</w:t>
      </w:r>
      <w:bookmarkEnd w:id="44"/>
      <w:bookmarkEnd w:id="45"/>
    </w:p>
    <w:p w:rsidR="009D2ADD" w:rsidRPr="009D2ADD" w:rsidRDefault="009D2ADD" w:rsidP="009D2ADD">
      <w:pPr>
        <w:pStyle w:val="SingleTxtGR"/>
      </w:pPr>
      <w:r w:rsidRPr="009D2ADD">
        <w:t>69.</w:t>
      </w:r>
      <w:r w:rsidRPr="009D2ADD">
        <w:tab/>
        <w:t>Сотрудник секретариата г-н Жан-Марк Килоло представил анализ ста</w:t>
      </w:r>
      <w:r w:rsidR="00660CD5">
        <w:t>-</w:t>
      </w:r>
      <w:r w:rsidRPr="009D2ADD">
        <w:t xml:space="preserve">тистики транспорта, проведенный в Рабочей группе по статистике транспорта ЕЭК ООН. </w:t>
      </w:r>
    </w:p>
    <w:p w:rsidR="009D2ADD" w:rsidRPr="009D2ADD" w:rsidRDefault="009D2ADD" w:rsidP="009D2ADD">
      <w:pPr>
        <w:pStyle w:val="SingleTxtGR"/>
      </w:pPr>
      <w:r w:rsidRPr="009D2ADD">
        <w:t>70.</w:t>
      </w:r>
      <w:r w:rsidRPr="009D2ADD">
        <w:tab/>
        <w:t>Рабочая группа с признательностью выслушала информацию секретари</w:t>
      </w:r>
      <w:r w:rsidRPr="009D2ADD">
        <w:t>а</w:t>
      </w:r>
      <w:r w:rsidRPr="009D2ADD">
        <w:t>та. Она поручила секретариату представить на ее следующей сессии более по</w:t>
      </w:r>
      <w:r w:rsidRPr="009D2ADD">
        <w:t>л</w:t>
      </w:r>
      <w:r w:rsidRPr="009D2ADD">
        <w:t>ную информацию о статистике транспорта в регионе ЕЭК.</w:t>
      </w:r>
    </w:p>
    <w:p w:rsidR="009D2ADD" w:rsidRPr="00CC6BAB" w:rsidRDefault="009D2ADD" w:rsidP="00CC6BAB">
      <w:pPr>
        <w:pStyle w:val="HChGR"/>
      </w:pPr>
      <w:r w:rsidRPr="00CC6BAB">
        <w:tab/>
        <w:t>XIII.</w:t>
      </w:r>
      <w:r w:rsidRPr="00CC6BAB">
        <w:tab/>
        <w:t>Tехническая помощь странам с переходной экономикой (пункт 12 повестки дня)</w:t>
      </w:r>
    </w:p>
    <w:p w:rsidR="009D2ADD" w:rsidRPr="009D2ADD" w:rsidRDefault="009D2ADD" w:rsidP="009D2ADD">
      <w:pPr>
        <w:pStyle w:val="SingleTxtGR"/>
      </w:pPr>
      <w:r w:rsidRPr="009D2ADD">
        <w:rPr>
          <w:i/>
          <w:iCs/>
        </w:rPr>
        <w:t>Документация</w:t>
      </w:r>
      <w:r w:rsidRPr="009D2ADD">
        <w:t>: неофициальный документ № 9</w:t>
      </w:r>
    </w:p>
    <w:p w:rsidR="009D2ADD" w:rsidRPr="009D2ADD" w:rsidRDefault="009D2ADD" w:rsidP="009D2ADD">
      <w:pPr>
        <w:pStyle w:val="SingleTxtGR"/>
      </w:pPr>
      <w:r w:rsidRPr="009D2ADD">
        <w:t>71.</w:t>
      </w:r>
      <w:r w:rsidRPr="009D2ADD">
        <w:tab/>
        <w:t>Секретариат проинформировал Рабочую группу о деятельности по оказ</w:t>
      </w:r>
      <w:r w:rsidRPr="009D2ADD">
        <w:t>а</w:t>
      </w:r>
      <w:r w:rsidRPr="009D2ADD">
        <w:t>нию технической помощи странам с переходной экономикой. Рабочая группа отметила, что помощь в области транспорта направлена, среди прочего, на укрепление потенциала стран Восточной и Юго-Восточной Европы, Южного Кавказа и Центральной Азии, в частности стран, не имеющих выхода к морю. Кроме того, помощь, связанная с работой Отдела, предоставляется и другим государствам-членам. Деятельность по оказанию технической помощи нацел</w:t>
      </w:r>
      <w:r w:rsidRPr="009D2ADD">
        <w:t>е</w:t>
      </w:r>
      <w:r w:rsidRPr="009D2ADD">
        <w:t>на на обеспечение присоединения к правовым документам, нормам и станда</w:t>
      </w:r>
      <w:r w:rsidRPr="009D2ADD">
        <w:t>р</w:t>
      </w:r>
      <w:r w:rsidRPr="009D2ADD">
        <w:t>там Организации Объединенных Наций и их осуществления, передачу знаний и опыта и обмен информацией о передовой практике в секторе транспорта.</w:t>
      </w:r>
    </w:p>
    <w:p w:rsidR="009D2ADD" w:rsidRPr="009D2ADD" w:rsidRDefault="009D2ADD" w:rsidP="009D2ADD">
      <w:pPr>
        <w:pStyle w:val="SingleTxtGR"/>
      </w:pPr>
      <w:r w:rsidRPr="009D2ADD">
        <w:t>72.</w:t>
      </w:r>
      <w:r w:rsidRPr="009D2ADD">
        <w:tab/>
        <w:t>Рабочая группа отметила следующую деятельность: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a</w:t>
      </w:r>
      <w:r w:rsidR="009D2ADD" w:rsidRPr="009D2ADD">
        <w:t>)</w:t>
      </w:r>
      <w:r w:rsidR="009D2ADD" w:rsidRPr="009D2ADD">
        <w:tab/>
        <w:t>реализацию текущего глобального проекта, финансируемого в ра</w:t>
      </w:r>
      <w:r w:rsidR="009D2ADD" w:rsidRPr="009D2ADD">
        <w:t>м</w:t>
      </w:r>
      <w:r w:rsidR="009D2ADD" w:rsidRPr="009D2ADD">
        <w:t xml:space="preserve">ках восьмого транша СРООН, под названием </w:t>
      </w:r>
      <w:r w:rsidR="00CC6BAB">
        <w:t>«</w:t>
      </w:r>
      <w:r w:rsidR="009D2ADD" w:rsidRPr="009D2ADD">
        <w:t>Укрепление потенциала разв</w:t>
      </w:r>
      <w:r w:rsidR="009D2ADD" w:rsidRPr="009D2ADD">
        <w:t>и</w:t>
      </w:r>
      <w:r w:rsidR="009D2ADD" w:rsidRPr="009D2ADD">
        <w:t>вающихся стран и стран с переходной экономикой в деле облегчения законного пересечения границ, регионального сотрудничества и интеграции</w:t>
      </w:r>
      <w:r w:rsidR="00CC6BAB">
        <w:t>»</w:t>
      </w:r>
      <w:r w:rsidR="009D2ADD" w:rsidRPr="009D2ADD">
        <w:t>, которая позволит расширить возможности стран в плане использования международных стандартных электронных сообщений в сфере транзитных процедур – в частн</w:t>
      </w:r>
      <w:r w:rsidR="009D2ADD" w:rsidRPr="009D2ADD">
        <w:t>о</w:t>
      </w:r>
      <w:r w:rsidR="009D2ADD" w:rsidRPr="009D2ADD">
        <w:t xml:space="preserve">сти электронного обмена информацией между предприятиями и таможенными органами – и безопасного электронного обмена информацией, касающейся транзита, между таможенными службами различных стран; </w:t>
      </w:r>
    </w:p>
    <w:p w:rsidR="009D2ADD" w:rsidRPr="009D2ADD" w:rsidRDefault="001C2490" w:rsidP="009D2ADD">
      <w:pPr>
        <w:pStyle w:val="SingleTxtGR"/>
      </w:pPr>
      <w:r>
        <w:tab/>
      </w:r>
      <w:r w:rsidR="009D2ADD" w:rsidRPr="009D2ADD">
        <w:rPr>
          <w:lang w:val="en-GB"/>
        </w:rPr>
        <w:t>b</w:t>
      </w:r>
      <w:r w:rsidR="009D2ADD" w:rsidRPr="009D2ADD">
        <w:t>)</w:t>
      </w:r>
      <w:r w:rsidR="009D2ADD" w:rsidRPr="009D2ADD">
        <w:tab/>
        <w:t xml:space="preserve">реализацию проекта </w:t>
      </w:r>
      <w:r w:rsidR="00CC6BAB">
        <w:t>«</w:t>
      </w:r>
      <w:r w:rsidR="009D2ADD" w:rsidRPr="009D2ADD">
        <w:t>Укрепление национального потенциала о</w:t>
      </w:r>
      <w:r w:rsidR="009D2ADD" w:rsidRPr="009D2ADD">
        <w:t>т</w:t>
      </w:r>
      <w:r w:rsidR="009D2ADD" w:rsidRPr="009D2ADD">
        <w:t>дельных развивающихся стран и стран с переходной экономикой по управл</w:t>
      </w:r>
      <w:r w:rsidR="009D2ADD" w:rsidRPr="009D2ADD">
        <w:t>е</w:t>
      </w:r>
      <w:r w:rsidR="009D2ADD" w:rsidRPr="009D2ADD">
        <w:t>нию безопасностью дорожного движения</w:t>
      </w:r>
      <w:r w:rsidR="00CC6BAB">
        <w:t>»</w:t>
      </w:r>
      <w:r w:rsidR="009D2ADD" w:rsidRPr="009D2ADD">
        <w:t xml:space="preserve">, финансируемого в рамках девятого </w:t>
      </w:r>
      <w:r w:rsidR="009D2ADD" w:rsidRPr="009D2ADD">
        <w:lastRenderedPageBreak/>
        <w:t>транша СРООН, которая началась в августе 2015 года; цель этого проекта с</w:t>
      </w:r>
      <w:r w:rsidR="009D2ADD" w:rsidRPr="009D2ADD">
        <w:t>о</w:t>
      </w:r>
      <w:r w:rsidR="009D2ADD" w:rsidRPr="009D2ADD">
        <w:t xml:space="preserve">стоит в оказании четырем странам с низким или средним уровнями дохода </w:t>
      </w:r>
      <w:r w:rsidR="002F4718">
        <w:br/>
      </w:r>
      <w:r w:rsidR="009D2ADD" w:rsidRPr="009D2ADD">
        <w:t xml:space="preserve">(Албании, Грузии, Доминиканской Республике и Лаосской Народно-Демократической Республике) помощи в удовлетворении их приоритетных </w:t>
      </w:r>
      <w:r w:rsidR="00660CD5">
        <w:br/>
      </w:r>
      <w:r w:rsidR="009D2ADD" w:rsidRPr="009D2ADD">
        <w:t>потребностей в области обеспечения безопасности дорожного движения п</w:t>
      </w:r>
      <w:r w:rsidR="009D2ADD" w:rsidRPr="009D2ADD">
        <w:t>о</w:t>
      </w:r>
      <w:r w:rsidR="009D2ADD" w:rsidRPr="009D2ADD">
        <w:t>средством проведения обзоров положения дел в данной сфере.</w:t>
      </w:r>
    </w:p>
    <w:p w:rsidR="009D2ADD" w:rsidRPr="009D2ADD" w:rsidRDefault="009D2ADD" w:rsidP="009D2ADD">
      <w:pPr>
        <w:pStyle w:val="SingleTxtGR"/>
      </w:pPr>
      <w:r w:rsidRPr="009D2ADD">
        <w:t>73.</w:t>
      </w:r>
      <w:r w:rsidRPr="009D2ADD">
        <w:tab/>
        <w:t>Рабочая группа приняла к сведению сообщение секретариата о деятел</w:t>
      </w:r>
      <w:r w:rsidRPr="009D2ADD">
        <w:t>ь</w:t>
      </w:r>
      <w:r w:rsidRPr="009D2ADD">
        <w:t>ности по оказанию технической помощи странам с переходной экономикой и поручила секретариату также представить соответствующую информацию на ее следующей сессии.</w:t>
      </w:r>
    </w:p>
    <w:p w:rsidR="009D2ADD" w:rsidRPr="00CC6BAB" w:rsidRDefault="009D2ADD" w:rsidP="00CC6BAB">
      <w:pPr>
        <w:pStyle w:val="HChGR"/>
      </w:pPr>
      <w:r w:rsidRPr="00CC6BAB">
        <w:tab/>
        <w:t>XIV.</w:t>
      </w:r>
      <w:r w:rsidRPr="00CC6BAB">
        <w:tab/>
        <w:t xml:space="preserve">Деятельность органов Европейской экономической комиссии Организации Объединенных Наций, представляющая интерес для Рабочей группы, </w:t>
      </w:r>
      <w:r w:rsidR="001C2490">
        <w:br/>
      </w:r>
      <w:r w:rsidRPr="00CC6BAB">
        <w:t>а также стратегический документ КВТ и резолюция министров (пункт 13 повестки дня)</w:t>
      </w:r>
    </w:p>
    <w:p w:rsidR="009D2ADD" w:rsidRPr="009D2ADD" w:rsidRDefault="009D2ADD" w:rsidP="009D2ADD">
      <w:pPr>
        <w:pStyle w:val="SingleTxtGR"/>
      </w:pPr>
      <w:r w:rsidRPr="009D2ADD">
        <w:rPr>
          <w:bCs/>
          <w:i/>
          <w:iCs/>
        </w:rPr>
        <w:t>Документация</w:t>
      </w:r>
      <w:r w:rsidRPr="009D2ADD">
        <w:rPr>
          <w:bCs/>
        </w:rPr>
        <w:t xml:space="preserve">: </w:t>
      </w:r>
      <w:r w:rsidRPr="009D2ADD">
        <w:rPr>
          <w:bCs/>
          <w:lang w:val="en-GB"/>
        </w:rPr>
        <w:t>ECE</w:t>
      </w:r>
      <w:r w:rsidRPr="009D2ADD">
        <w:rPr>
          <w:bCs/>
        </w:rPr>
        <w:t>/</w:t>
      </w:r>
      <w:r w:rsidRPr="009D2ADD">
        <w:rPr>
          <w:bCs/>
          <w:lang w:val="en-GB"/>
        </w:rPr>
        <w:t>TRANS</w:t>
      </w:r>
      <w:r w:rsidRPr="009D2ADD">
        <w:rPr>
          <w:bCs/>
        </w:rPr>
        <w:t>/254</w:t>
      </w:r>
    </w:p>
    <w:p w:rsidR="009D2ADD" w:rsidRPr="009D2ADD" w:rsidRDefault="009D2ADD" w:rsidP="009D2ADD">
      <w:pPr>
        <w:pStyle w:val="SingleTxtGR"/>
      </w:pPr>
      <w:r w:rsidRPr="009D2ADD">
        <w:t>74.</w:t>
      </w:r>
      <w:r w:rsidRPr="009D2ADD">
        <w:tab/>
        <w:t>Секретариат сообщил Рабочей группе, что Бюро КВТ на его прошлой сессии, состоявшейся в июне 2016 года, отметило важное значение своевр</w:t>
      </w:r>
      <w:r w:rsidRPr="009D2ADD">
        <w:t>е</w:t>
      </w:r>
      <w:r w:rsidRPr="009D2ADD">
        <w:t>менной подготовки и распространения стратегического документа КВТ для проведения переговоров и консультаций с правительствами в ходе подготовки семьдесят девятой годовой сессии Комитета (февраль 2017 года). В этой связи Бюро поручило секретариату организовать в</w:t>
      </w:r>
      <w:r w:rsidR="00396614">
        <w:t>о второй половине сентября 2016 </w:t>
      </w:r>
      <w:r w:rsidRPr="009D2ADD">
        <w:t>года внеочередное совещание Бюро, на котором будут обсуждены проекты стратегии и резолюции. Далее оно поручило секретариату обсудить достигн</w:t>
      </w:r>
      <w:r w:rsidRPr="009D2ADD">
        <w:t>у</w:t>
      </w:r>
      <w:r w:rsidRPr="009D2ADD">
        <w:t>тый прогресс в контексте сбора соответствующих материалов и при наличии этих материалов распространить их на осенней сессии (Женева, 5</w:t>
      </w:r>
      <w:r w:rsidR="00396614">
        <w:t>–</w:t>
      </w:r>
      <w:r w:rsidRPr="009D2ADD">
        <w:t>7 сентября 2016 года), а также на сессиях других рабочих групп в процессе подготовки юбилейной сессии КВТ.</w:t>
      </w:r>
    </w:p>
    <w:p w:rsidR="009D2ADD" w:rsidRPr="009D2ADD" w:rsidRDefault="009D2ADD" w:rsidP="009D2ADD">
      <w:pPr>
        <w:pStyle w:val="SingleTxtGR"/>
      </w:pPr>
      <w:r w:rsidRPr="009D2ADD">
        <w:t>75.</w:t>
      </w:r>
      <w:r w:rsidRPr="009D2ADD">
        <w:tab/>
        <w:t xml:space="preserve">Секретариат представил информацию о подготовке </w:t>
      </w:r>
      <w:bookmarkStart w:id="46" w:name="OLE_LINK54"/>
      <w:bookmarkStart w:id="47" w:name="OLE_LINK55"/>
      <w:r w:rsidRPr="009D2ADD">
        <w:t>стратегического д</w:t>
      </w:r>
      <w:r w:rsidRPr="009D2ADD">
        <w:t>о</w:t>
      </w:r>
      <w:r w:rsidRPr="009D2ADD">
        <w:t>кумента КВТ</w:t>
      </w:r>
      <w:bookmarkEnd w:id="46"/>
      <w:bookmarkEnd w:id="47"/>
      <w:r w:rsidRPr="009D2ADD">
        <w:t>, а также о резолюции министров, которая должна быть принята на совещании министров в ходе годовой сессии.</w:t>
      </w:r>
    </w:p>
    <w:p w:rsidR="009D2ADD" w:rsidRPr="009D2ADD" w:rsidRDefault="009D2ADD" w:rsidP="009D2ADD">
      <w:pPr>
        <w:pStyle w:val="SingleTxtGR"/>
      </w:pPr>
      <w:r w:rsidRPr="009D2ADD">
        <w:t>76.</w:t>
      </w:r>
      <w:r w:rsidRPr="009D2ADD">
        <w:tab/>
        <w:t xml:space="preserve">Рабочая группа приняла к сведению представленную секретариатом </w:t>
      </w:r>
      <w:r w:rsidR="00660CD5">
        <w:br/>
      </w:r>
      <w:r w:rsidRPr="009D2ADD">
        <w:t>информацию о стратегическом документе КВТ и о резолюции министров и п</w:t>
      </w:r>
      <w:r w:rsidRPr="009D2ADD">
        <w:t>о</w:t>
      </w:r>
      <w:r w:rsidRPr="009D2ADD">
        <w:t>ручила ему немедленно завершить работу над обоими документами и передать их на рассмотрение Бюро и государств-членов.</w:t>
      </w:r>
    </w:p>
    <w:p w:rsidR="009D2ADD" w:rsidRPr="00CC6BAB" w:rsidRDefault="009D2ADD" w:rsidP="00CC6BAB">
      <w:pPr>
        <w:pStyle w:val="HChGR"/>
      </w:pPr>
      <w:r w:rsidRPr="00CC6BAB">
        <w:tab/>
        <w:t>XV.</w:t>
      </w:r>
      <w:r w:rsidRPr="00CC6BAB">
        <w:tab/>
        <w:t>Выборы должностных лиц для сессий Рабочей группы в 2017 и 2018 годах (пункт 14 повестки дня)</w:t>
      </w:r>
    </w:p>
    <w:p w:rsidR="009D2ADD" w:rsidRPr="009D2ADD" w:rsidRDefault="009D2ADD" w:rsidP="009D2ADD">
      <w:pPr>
        <w:pStyle w:val="SingleTxtGR"/>
      </w:pPr>
      <w:r w:rsidRPr="009D2ADD">
        <w:t>77.</w:t>
      </w:r>
      <w:r w:rsidRPr="009D2ADD">
        <w:tab/>
        <w:t>Рабочая группа избрала г-жу Ингеборгу Деттбарн (Германия) Председ</w:t>
      </w:r>
      <w:r w:rsidRPr="009D2ADD">
        <w:t>а</w:t>
      </w:r>
      <w:r w:rsidRPr="009D2ADD">
        <w:t>телем и г-жу Алевтину Кириллову (Российская Федерация) заместителем Пре</w:t>
      </w:r>
      <w:r w:rsidRPr="009D2ADD">
        <w:t>д</w:t>
      </w:r>
      <w:r w:rsidRPr="009D2ADD">
        <w:t>седателя своих сессий в 2017 и 2018 годах. Кроме того, она выразила благода</w:t>
      </w:r>
      <w:r w:rsidRPr="009D2ADD">
        <w:t>р</w:t>
      </w:r>
      <w:r w:rsidRPr="009D2ADD">
        <w:t>ность Председателю г-ну Кристофу Шоккэрту (Бельгия) и заместителю Пре</w:t>
      </w:r>
      <w:r w:rsidRPr="009D2ADD">
        <w:t>д</w:t>
      </w:r>
      <w:r w:rsidRPr="009D2ADD">
        <w:t>седателя г-ну Сергею Егоршеву (Российская Федерация), выполнявшим эти функции в период 2015</w:t>
      </w:r>
      <w:r w:rsidR="00660CD5">
        <w:t>–</w:t>
      </w:r>
      <w:r w:rsidRPr="009D2ADD">
        <w:t>2016 годов, за их усилия и ценный вклад в работу.</w:t>
      </w:r>
    </w:p>
    <w:p w:rsidR="009D2ADD" w:rsidRPr="00CC6BAB" w:rsidRDefault="009D2ADD" w:rsidP="00CC6BAB">
      <w:pPr>
        <w:pStyle w:val="HChGR"/>
      </w:pPr>
      <w:r w:rsidRPr="00CC6BAB">
        <w:lastRenderedPageBreak/>
        <w:tab/>
        <w:t>XVI.</w:t>
      </w:r>
      <w:r w:rsidRPr="00CC6BAB">
        <w:tab/>
        <w:t>Прочие вопросы (пункт 15 повестки дня)</w:t>
      </w:r>
    </w:p>
    <w:p w:rsidR="009D2ADD" w:rsidRPr="009D2ADD" w:rsidRDefault="009D2ADD" w:rsidP="009D2ADD">
      <w:pPr>
        <w:pStyle w:val="SingleTxtGR"/>
      </w:pPr>
      <w:r w:rsidRPr="009D2ADD">
        <w:rPr>
          <w:bCs/>
        </w:rPr>
        <w:t>78.</w:t>
      </w:r>
      <w:r w:rsidRPr="009D2ADD">
        <w:rPr>
          <w:bCs/>
        </w:rPr>
        <w:tab/>
        <w:t xml:space="preserve">Никаких других сообщений сделано не было. </w:t>
      </w:r>
    </w:p>
    <w:p w:rsidR="009D2ADD" w:rsidRPr="00CC6BAB" w:rsidRDefault="009D2ADD" w:rsidP="00CC6BAB">
      <w:pPr>
        <w:pStyle w:val="HChGR"/>
      </w:pPr>
      <w:r w:rsidRPr="00CC6BAB">
        <w:tab/>
        <w:t>XVII.</w:t>
      </w:r>
      <w:r w:rsidRPr="00CC6BAB">
        <w:tab/>
        <w:t xml:space="preserve">Сроки проведения следующей сессии </w:t>
      </w:r>
      <w:r w:rsidR="00396614">
        <w:br/>
      </w:r>
      <w:r w:rsidRPr="00CC6BAB">
        <w:t>(пункт 16 повестки дня)</w:t>
      </w:r>
    </w:p>
    <w:p w:rsidR="009D2ADD" w:rsidRPr="009D2ADD" w:rsidRDefault="009D2ADD" w:rsidP="009D2ADD">
      <w:pPr>
        <w:pStyle w:val="SingleTxtGR"/>
      </w:pPr>
      <w:r w:rsidRPr="009D2ADD">
        <w:t>79.</w:t>
      </w:r>
      <w:r w:rsidRPr="009D2ADD">
        <w:tab/>
        <w:t>Тридцатую сессию Рабочей группы в предварительном порядке плани</w:t>
      </w:r>
      <w:r w:rsidR="00660CD5">
        <w:t>-</w:t>
      </w:r>
      <w:r w:rsidRPr="009D2ADD">
        <w:t>руется провести в Женеве 4−6 сентября 2017 года.</w:t>
      </w:r>
    </w:p>
    <w:p w:rsidR="009D2ADD" w:rsidRPr="00CC6BAB" w:rsidRDefault="009D2ADD" w:rsidP="00CC6BAB">
      <w:pPr>
        <w:pStyle w:val="HChGR"/>
      </w:pPr>
      <w:r w:rsidRPr="00CC6BAB">
        <w:tab/>
        <w:t>XVIII.</w:t>
      </w:r>
      <w:r w:rsidRPr="00CC6BAB">
        <w:tab/>
        <w:t xml:space="preserve">Утверждение основных решений </w:t>
      </w:r>
      <w:r w:rsidR="00396614">
        <w:br/>
      </w:r>
      <w:r w:rsidRPr="00CC6BAB">
        <w:t>(пункт 17 повестки дня)</w:t>
      </w:r>
    </w:p>
    <w:p w:rsidR="009D2ADD" w:rsidRPr="009D2ADD" w:rsidRDefault="009D2ADD" w:rsidP="009D2ADD">
      <w:pPr>
        <w:pStyle w:val="SingleTxtGR"/>
      </w:pPr>
      <w:r w:rsidRPr="009D2ADD">
        <w:t>80.</w:t>
      </w:r>
      <w:r w:rsidRPr="009D2ADD">
        <w:tab/>
        <w:t>Рабочая группа утвердила перечень основных решений своей двадцать девятой сессии и поручила секретариату и Председателю подготовить полный и исчерпывающий текст доклада для распространения среди членов Рабочей группы с целью получения от них замечаний по другим вопросам, помимо тех, которые содержатся в принятом перечне основных решений.</w:t>
      </w:r>
    </w:p>
    <w:p w:rsidR="00A658DB" w:rsidRPr="00396614" w:rsidRDefault="00396614" w:rsidP="0039661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396614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A4" w:rsidRDefault="00A95FA4" w:rsidP="00B471C5">
      <w:r>
        <w:separator/>
      </w:r>
    </w:p>
  </w:endnote>
  <w:endnote w:type="continuationSeparator" w:id="0">
    <w:p w:rsidR="00A95FA4" w:rsidRDefault="00A95FA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1E" w:rsidRPr="009A6F4A" w:rsidRDefault="0077531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66561">
      <w:rPr>
        <w:b/>
        <w:noProof/>
        <w:sz w:val="18"/>
        <w:szCs w:val="18"/>
      </w:rPr>
      <w:t>20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GE.16-20672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1E" w:rsidRPr="009A6F4A" w:rsidRDefault="0077531E" w:rsidP="007005EE">
    <w:pPr>
      <w:pStyle w:val="Footer"/>
      <w:rPr>
        <w:lang w:val="en-US"/>
      </w:rPr>
    </w:pPr>
    <w:r>
      <w:rPr>
        <w:lang w:val="en-US"/>
      </w:rPr>
      <w:t>GE.16-20672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66561">
      <w:rPr>
        <w:b/>
        <w:noProof/>
        <w:sz w:val="18"/>
        <w:szCs w:val="18"/>
      </w:rPr>
      <w:t>19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7531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7531E" w:rsidRPr="001C3ABC" w:rsidRDefault="0077531E" w:rsidP="00CC6BA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20672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131216  141216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7531E" w:rsidRDefault="0077531E" w:rsidP="009D2AD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7531E" w:rsidRDefault="0077531E" w:rsidP="009D2AD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5/6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5/6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531E" w:rsidRPr="00797A78" w:rsidTr="009D2AD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7531E" w:rsidRPr="00CC6BAB" w:rsidRDefault="0077531E" w:rsidP="009D2AD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C6B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C6B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C6B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C6B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C6B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C6B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C6B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C6B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C6B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7531E" w:rsidRDefault="0077531E" w:rsidP="009D2AD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7531E" w:rsidRDefault="0077531E" w:rsidP="009D2ADD"/>
      </w:tc>
    </w:tr>
  </w:tbl>
  <w:p w:rsidR="0077531E" w:rsidRPr="007005EE" w:rsidRDefault="0077531E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A4" w:rsidRPr="009141DC" w:rsidRDefault="00A95FA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95FA4" w:rsidRPr="00D1261C" w:rsidRDefault="00A95FA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7531E" w:rsidRPr="0040393B" w:rsidRDefault="0077531E" w:rsidP="009D2ADD">
      <w:pPr>
        <w:pStyle w:val="FootnoteText"/>
        <w:widowControl w:val="0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0393B">
        <w:rPr>
          <w:lang w:val="ru-RU"/>
        </w:rPr>
        <w:tab/>
      </w:r>
      <w:r>
        <w:rPr>
          <w:lang w:val="ru-RU"/>
        </w:rPr>
        <w:t>Бразилия</w:t>
      </w:r>
      <w:r w:rsidRPr="0040393B">
        <w:rPr>
          <w:lang w:val="ru-RU"/>
        </w:rPr>
        <w:t xml:space="preserve">, </w:t>
      </w:r>
      <w:r>
        <w:rPr>
          <w:lang w:val="ru-RU"/>
        </w:rPr>
        <w:t>Индия, Китай и Российская Федерация.</w:t>
      </w:r>
      <w:r w:rsidRPr="0040393B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1E" w:rsidRPr="007005EE" w:rsidRDefault="0077531E">
    <w:pPr>
      <w:pStyle w:val="Header"/>
      <w:rPr>
        <w:lang w:val="en-US"/>
      </w:rPr>
    </w:pPr>
    <w:r>
      <w:rPr>
        <w:lang w:val="en-US"/>
      </w:rPr>
      <w:t>ECE/</w:t>
    </w:r>
    <w:r w:rsidRPr="00D051BB">
      <w:rPr>
        <w:lang w:val="en-US"/>
      </w:rPr>
      <w:t>TRANS/WP.5/60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1E" w:rsidRPr="004D639B" w:rsidRDefault="0077531E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D051BB">
      <w:rPr>
        <w:lang w:val="en-US"/>
      </w:rPr>
      <w:t>TRANS/WP.5/60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BB"/>
    <w:rsid w:val="000450D1"/>
    <w:rsid w:val="000B1FD5"/>
    <w:rsid w:val="000F2A4F"/>
    <w:rsid w:val="001C2490"/>
    <w:rsid w:val="001E3CAA"/>
    <w:rsid w:val="00203F84"/>
    <w:rsid w:val="00275188"/>
    <w:rsid w:val="0028687D"/>
    <w:rsid w:val="002B091C"/>
    <w:rsid w:val="002B3D40"/>
    <w:rsid w:val="002D0CCB"/>
    <w:rsid w:val="002F4718"/>
    <w:rsid w:val="00345C79"/>
    <w:rsid w:val="00366A39"/>
    <w:rsid w:val="00396614"/>
    <w:rsid w:val="004566B3"/>
    <w:rsid w:val="0048005C"/>
    <w:rsid w:val="004C3F4E"/>
    <w:rsid w:val="004D639B"/>
    <w:rsid w:val="004E242B"/>
    <w:rsid w:val="00544379"/>
    <w:rsid w:val="00566561"/>
    <w:rsid w:val="00566944"/>
    <w:rsid w:val="0057725E"/>
    <w:rsid w:val="005D56BF"/>
    <w:rsid w:val="005D7351"/>
    <w:rsid w:val="0062027E"/>
    <w:rsid w:val="00643644"/>
    <w:rsid w:val="00660CD5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7531E"/>
    <w:rsid w:val="007A1F42"/>
    <w:rsid w:val="007D76DD"/>
    <w:rsid w:val="008176E7"/>
    <w:rsid w:val="008717E8"/>
    <w:rsid w:val="008D01AE"/>
    <w:rsid w:val="008E0423"/>
    <w:rsid w:val="008F364E"/>
    <w:rsid w:val="009141DC"/>
    <w:rsid w:val="009174A1"/>
    <w:rsid w:val="0098674D"/>
    <w:rsid w:val="00997ACA"/>
    <w:rsid w:val="009D2ADD"/>
    <w:rsid w:val="00A03FB7"/>
    <w:rsid w:val="00A55C56"/>
    <w:rsid w:val="00A658DB"/>
    <w:rsid w:val="00A75A11"/>
    <w:rsid w:val="00A95FA4"/>
    <w:rsid w:val="00A9606E"/>
    <w:rsid w:val="00AD7EAD"/>
    <w:rsid w:val="00B35A32"/>
    <w:rsid w:val="00B432C6"/>
    <w:rsid w:val="00B471C5"/>
    <w:rsid w:val="00B6474A"/>
    <w:rsid w:val="00BE1742"/>
    <w:rsid w:val="00C54F65"/>
    <w:rsid w:val="00CC6BAB"/>
    <w:rsid w:val="00D051BB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D2ADD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D2ADD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D2ADD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D2ADD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D2ADD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D2ADD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D2ADD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9D2ADD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9D2AD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Normal"/>
    <w:next w:val="Normal"/>
    <w:rsid w:val="009D2AD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rsid w:val="009D2AD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Normal"/>
    <w:next w:val="Normal"/>
    <w:rsid w:val="009D2A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9D2AD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9D2AD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9D2A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9D2ADD"/>
    <w:p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9D2ADD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9D2AD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9D2A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link w:val="H4GChar"/>
    <w:rsid w:val="009D2A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9D2A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styleId="Hyperlink">
    <w:name w:val="Hyperlink"/>
    <w:semiHidden/>
    <w:rsid w:val="009D2ADD"/>
    <w:rPr>
      <w:color w:val="auto"/>
      <w:u w:val="none"/>
    </w:rPr>
  </w:style>
  <w:style w:type="character" w:styleId="FollowedHyperlink">
    <w:name w:val="FollowedHyperlink"/>
    <w:semiHidden/>
    <w:rsid w:val="009D2ADD"/>
    <w:rPr>
      <w:color w:val="auto"/>
      <w:u w:val="none"/>
    </w:rPr>
  </w:style>
  <w:style w:type="character" w:customStyle="1" w:styleId="HChGChar">
    <w:name w:val="_ H _Ch_G Char"/>
    <w:link w:val="HChG"/>
    <w:rsid w:val="009D2AD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rsid w:val="009D2AD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9D2ADD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D2A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rsid w:val="009D2ADD"/>
  </w:style>
  <w:style w:type="character" w:styleId="CommentReference">
    <w:name w:val="annotation reference"/>
    <w:rsid w:val="009D2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ADD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D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AD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D2A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  <w:style w:type="character" w:customStyle="1" w:styleId="H4GChar">
    <w:name w:val="_ H_4_G Char"/>
    <w:link w:val="H4G"/>
    <w:rsid w:val="009D2ADD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H23GChar">
    <w:name w:val="_ H_2/3_G Char"/>
    <w:link w:val="H23G"/>
    <w:rsid w:val="009D2ADD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D2ADD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D2ADD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D2ADD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D2ADD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D2ADD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D2ADD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D2ADD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D2ADD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9D2ADD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9D2AD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Normal"/>
    <w:next w:val="Normal"/>
    <w:rsid w:val="009D2AD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rsid w:val="009D2AD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Normal"/>
    <w:next w:val="Normal"/>
    <w:rsid w:val="009D2A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9D2AD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9D2AD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9D2A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9D2ADD"/>
    <w:p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9D2ADD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9D2AD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9D2A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link w:val="H4GChar"/>
    <w:rsid w:val="009D2A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9D2A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styleId="Hyperlink">
    <w:name w:val="Hyperlink"/>
    <w:semiHidden/>
    <w:rsid w:val="009D2ADD"/>
    <w:rPr>
      <w:color w:val="auto"/>
      <w:u w:val="none"/>
    </w:rPr>
  </w:style>
  <w:style w:type="character" w:styleId="FollowedHyperlink">
    <w:name w:val="FollowedHyperlink"/>
    <w:semiHidden/>
    <w:rsid w:val="009D2ADD"/>
    <w:rPr>
      <w:color w:val="auto"/>
      <w:u w:val="none"/>
    </w:rPr>
  </w:style>
  <w:style w:type="character" w:customStyle="1" w:styleId="HChGChar">
    <w:name w:val="_ H _Ch_G Char"/>
    <w:link w:val="HChG"/>
    <w:rsid w:val="009D2AD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rsid w:val="009D2AD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9D2ADD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D2A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rsid w:val="009D2ADD"/>
  </w:style>
  <w:style w:type="character" w:styleId="CommentReference">
    <w:name w:val="annotation reference"/>
    <w:rsid w:val="009D2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ADD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D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AD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2A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D2A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  <w:style w:type="character" w:customStyle="1" w:styleId="H4GChar">
    <w:name w:val="_ H_4_G Char"/>
    <w:link w:val="H4G"/>
    <w:rsid w:val="009D2ADD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H23GChar">
    <w:name w:val="_ H_2/3_G Char"/>
    <w:link w:val="H23G"/>
    <w:rsid w:val="009D2ADD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D2ADD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ce.org/trans/main/wp5/critical_transport_infrastructure_and_cyber_security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ONU\AppData\Local\Temp\www.unece.org\trans\main\wp5\transport_research_and_innovation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6DA2-9DE2-4F74-9CAB-D2E9A197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20</Pages>
  <Words>6779</Words>
  <Characters>38646</Characters>
  <Application>Microsoft Office Word</Application>
  <DocSecurity>4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Maria Mostovets</cp:lastModifiedBy>
  <cp:revision>2</cp:revision>
  <cp:lastPrinted>2016-12-13T14:43:00Z</cp:lastPrinted>
  <dcterms:created xsi:type="dcterms:W3CDTF">2017-03-07T16:30:00Z</dcterms:created>
  <dcterms:modified xsi:type="dcterms:W3CDTF">2017-03-07T16:30:00Z</dcterms:modified>
</cp:coreProperties>
</file>