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D44B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D44B4" w:rsidP="00CD44B4">
            <w:pPr>
              <w:jc w:val="right"/>
            </w:pPr>
            <w:r w:rsidRPr="00CD44B4">
              <w:rPr>
                <w:sz w:val="40"/>
              </w:rPr>
              <w:t>ECE</w:t>
            </w:r>
            <w:r>
              <w:t>/TRANS/WP.29/GRSP/2016/17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D44B4" w:rsidP="00892A2F">
            <w:pPr>
              <w:spacing w:before="240"/>
            </w:pPr>
            <w:r>
              <w:t>Distr. générale</w:t>
            </w:r>
          </w:p>
          <w:p w:rsidR="00CD44B4" w:rsidRDefault="00CD44B4" w:rsidP="00CD44B4">
            <w:pPr>
              <w:spacing w:line="240" w:lineRule="exact"/>
            </w:pPr>
            <w:r>
              <w:t>23 septembre 2016</w:t>
            </w:r>
          </w:p>
          <w:p w:rsidR="00CD44B4" w:rsidRDefault="00CD44B4" w:rsidP="00CD44B4">
            <w:pPr>
              <w:spacing w:line="240" w:lineRule="exact"/>
            </w:pPr>
            <w:r>
              <w:t>Français</w:t>
            </w:r>
          </w:p>
          <w:p w:rsidR="00CD44B4" w:rsidRPr="00DB58B5" w:rsidRDefault="00CD44B4" w:rsidP="00CD44B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9573C" w:rsidRPr="00CD44B4" w:rsidRDefault="00CD44B4" w:rsidP="00CD44B4">
      <w:pPr>
        <w:spacing w:before="120"/>
        <w:rPr>
          <w:b/>
          <w:sz w:val="24"/>
          <w:szCs w:val="24"/>
        </w:rPr>
      </w:pPr>
      <w:r w:rsidRPr="00CD44B4">
        <w:rPr>
          <w:b/>
          <w:sz w:val="24"/>
          <w:szCs w:val="24"/>
        </w:rPr>
        <w:t xml:space="preserve">Forum mondial de l’harmonisation </w:t>
      </w:r>
      <w:r w:rsidR="000E72B1">
        <w:rPr>
          <w:b/>
          <w:sz w:val="24"/>
          <w:szCs w:val="24"/>
        </w:rPr>
        <w:br/>
      </w:r>
      <w:r w:rsidRPr="00CD44B4">
        <w:rPr>
          <w:b/>
          <w:sz w:val="24"/>
          <w:szCs w:val="24"/>
        </w:rPr>
        <w:t>des Règlements concernant les véhicules</w:t>
      </w:r>
    </w:p>
    <w:p w:rsidR="00CD44B4" w:rsidRPr="00CD44B4" w:rsidRDefault="00CD44B4" w:rsidP="00CD44B4">
      <w:pPr>
        <w:spacing w:before="120"/>
        <w:rPr>
          <w:b/>
        </w:rPr>
      </w:pPr>
      <w:r w:rsidRPr="00CD44B4">
        <w:rPr>
          <w:b/>
        </w:rPr>
        <w:t>Groupe de travail de la sécurité passive</w:t>
      </w:r>
    </w:p>
    <w:p w:rsidR="00CD44B4" w:rsidRPr="00CD44B4" w:rsidRDefault="00CD44B4" w:rsidP="00CD44B4">
      <w:pPr>
        <w:spacing w:before="120"/>
        <w:rPr>
          <w:b/>
        </w:rPr>
      </w:pPr>
      <w:r w:rsidRPr="00CD44B4">
        <w:rPr>
          <w:b/>
        </w:rPr>
        <w:t>Soixantième session</w:t>
      </w:r>
    </w:p>
    <w:p w:rsidR="00CD44B4" w:rsidRPr="00CD44B4" w:rsidRDefault="00CD44B4" w:rsidP="00CD44B4">
      <w:r w:rsidRPr="00CD44B4">
        <w:t>Genève, 13-16 décembre 2016</w:t>
      </w:r>
    </w:p>
    <w:p w:rsidR="00CD44B4" w:rsidRPr="00CD44B4" w:rsidRDefault="00CD44B4" w:rsidP="00CD44B4">
      <w:r w:rsidRPr="00CD44B4">
        <w:t>Point 2 de l’ordre du jour provisoire</w:t>
      </w:r>
    </w:p>
    <w:p w:rsidR="00CD44B4" w:rsidRPr="00CD44B4" w:rsidRDefault="00CD44B4" w:rsidP="00CD44B4">
      <w:pPr>
        <w:rPr>
          <w:b/>
        </w:rPr>
      </w:pPr>
      <w:r w:rsidRPr="00CD44B4">
        <w:rPr>
          <w:b/>
        </w:rPr>
        <w:t>Règlement technique mondial n</w:t>
      </w:r>
      <w:r w:rsidRPr="00CD44B4">
        <w:rPr>
          <w:b/>
          <w:vertAlign w:val="superscript"/>
        </w:rPr>
        <w:t>o</w:t>
      </w:r>
      <w:r w:rsidRPr="00CD44B4">
        <w:rPr>
          <w:b/>
        </w:rPr>
        <w:t> 1 (Serrures et organes de fixation des portes)</w:t>
      </w:r>
    </w:p>
    <w:p w:rsidR="00CD44B4" w:rsidRPr="00CD44B4" w:rsidRDefault="00CD44B4" w:rsidP="00CD44B4">
      <w:pPr>
        <w:pStyle w:val="HChG"/>
      </w:pPr>
      <w:r w:rsidRPr="00CD44B4">
        <w:tab/>
      </w:r>
      <w:r w:rsidRPr="00CD44B4">
        <w:tab/>
        <w:t xml:space="preserve">Projet d’amendement 2 au Règlement technique mondial </w:t>
      </w:r>
    </w:p>
    <w:p w:rsidR="00CD44B4" w:rsidRPr="00CD44B4" w:rsidRDefault="00CD44B4" w:rsidP="00CD44B4">
      <w:pPr>
        <w:pStyle w:val="H1G"/>
      </w:pPr>
      <w:r w:rsidRPr="00CD44B4">
        <w:tab/>
      </w:r>
      <w:r w:rsidRPr="00CD44B4">
        <w:tab/>
        <w:t>Communication de l’expert de la Commission européenne</w:t>
      </w:r>
      <w:r w:rsidRPr="00CD44B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D44B4" w:rsidRDefault="00CD44B4" w:rsidP="00CD44B4">
      <w:pPr>
        <w:pStyle w:val="SingleTxtG"/>
        <w:ind w:firstLine="567"/>
      </w:pPr>
      <w:r w:rsidRPr="00CD44B4">
        <w:t>Le texte ci-après, établi par l’expert de la Commission européenne en vue de l’élaboration d’</w:t>
      </w:r>
      <w:r w:rsidR="00FE4FF7">
        <w:t>un amendement </w:t>
      </w:r>
      <w:r w:rsidRPr="00CD44B4">
        <w:t>2 au Règlement technique mondial (RTM), vise à harmoniser les prescriptions correspondantes du Règlement n</w:t>
      </w:r>
      <w:r w:rsidRPr="00CD44B4">
        <w:rPr>
          <w:vertAlign w:val="superscript"/>
        </w:rPr>
        <w:t>o</w:t>
      </w:r>
      <w:r w:rsidRPr="00CD44B4">
        <w:t> 11 applicables aux portes latérales à charnières montées à l’arrière</w:t>
      </w:r>
      <w:r w:rsidRPr="00CD44B4">
        <w:rPr>
          <w:iCs/>
        </w:rPr>
        <w:t xml:space="preserve">. Il est fondé sur le document GRSP-59-13 distribué sans cote à la cinquante-neuvième session du Groupe de travail de la sécurité passive (GRSP). </w:t>
      </w:r>
      <w:r w:rsidRPr="00CD44B4">
        <w:t xml:space="preserve">Les modifications qu’il est proposé d’apporter au texte existant du Règlement (ECE/TRANS/180/Add.1) sont indiquées en caractères gras. </w:t>
      </w:r>
    </w:p>
    <w:p w:rsidR="00CD44B4" w:rsidRPr="00CD44B4" w:rsidRDefault="00CD44B4" w:rsidP="00CD44B4">
      <w:pPr>
        <w:pStyle w:val="HChG"/>
      </w:pPr>
      <w:r>
        <w:br w:type="page"/>
      </w:r>
      <w:r w:rsidRPr="00CD44B4">
        <w:lastRenderedPageBreak/>
        <w:tab/>
        <w:t>I.</w:t>
      </w:r>
      <w:r w:rsidRPr="00CD44B4">
        <w:tab/>
        <w:t>Proposition</w:t>
      </w:r>
    </w:p>
    <w:p w:rsidR="00CD44B4" w:rsidRPr="00CD44B4" w:rsidRDefault="00CD44B4" w:rsidP="00CD44B4">
      <w:pPr>
        <w:pStyle w:val="SingleTxtG"/>
      </w:pPr>
      <w:r w:rsidRPr="00CD44B4">
        <w:rPr>
          <w:i/>
        </w:rPr>
        <w:t>Titre de la partie A</w:t>
      </w:r>
      <w:r w:rsidRPr="00CD44B4">
        <w:t xml:space="preserve">, </w:t>
      </w:r>
      <w:proofErr w:type="gramStart"/>
      <w:r w:rsidRPr="00CD44B4">
        <w:t>modifier</w:t>
      </w:r>
      <w:proofErr w:type="gramEnd"/>
      <w:r w:rsidRPr="00CD44B4">
        <w:t xml:space="preserve"> comme suit</w:t>
      </w:r>
      <w:r w:rsidR="00C46E5C">
        <w:t> </w:t>
      </w:r>
      <w:r w:rsidRPr="00CD44B4">
        <w:t>:</w:t>
      </w:r>
    </w:p>
    <w:p w:rsidR="00CD44B4" w:rsidRPr="00CD44B4" w:rsidRDefault="00CD44B4" w:rsidP="00CD44B4">
      <w:pPr>
        <w:pStyle w:val="HChG"/>
      </w:pPr>
      <w:r w:rsidRPr="00CD44B4">
        <w:tab/>
      </w:r>
      <w:r w:rsidRPr="00FE4FF7">
        <w:rPr>
          <w:b w:val="0"/>
        </w:rPr>
        <w:t>« </w:t>
      </w:r>
      <w:r w:rsidRPr="00CD44B4">
        <w:t>I.</w:t>
      </w:r>
      <w:r w:rsidRPr="00CD44B4">
        <w:tab/>
        <w:t>Argumentation et justification technique</w:t>
      </w:r>
      <w:r w:rsidRPr="00FE4FF7">
        <w:rPr>
          <w:b w:val="0"/>
        </w:rPr>
        <w:t> »</w:t>
      </w:r>
    </w:p>
    <w:p w:rsidR="00CD44B4" w:rsidRPr="00CD44B4" w:rsidRDefault="00CD44B4" w:rsidP="00CD44B4">
      <w:pPr>
        <w:pStyle w:val="SingleTxtG"/>
        <w:rPr>
          <w:i/>
        </w:rPr>
      </w:pPr>
      <w:r w:rsidRPr="00CD44B4">
        <w:rPr>
          <w:i/>
        </w:rPr>
        <w:t>Partie I (anciennement Partie A)</w:t>
      </w:r>
      <w:r w:rsidRPr="00CD44B4">
        <w:t>,</w:t>
      </w:r>
    </w:p>
    <w:p w:rsidR="00CD44B4" w:rsidRPr="00CD44B4" w:rsidRDefault="00CD44B4" w:rsidP="00CD44B4">
      <w:pPr>
        <w:pStyle w:val="SingleTxtG"/>
        <w:rPr>
          <w:i/>
        </w:rPr>
      </w:pPr>
      <w:r w:rsidRPr="00CD44B4">
        <w:rPr>
          <w:i/>
        </w:rPr>
        <w:t>Section IV c)</w:t>
      </w:r>
      <w:r w:rsidRPr="00CD44B4">
        <w:t xml:space="preserve">, </w:t>
      </w:r>
      <w:proofErr w:type="gramStart"/>
      <w:r w:rsidRPr="00CD44B4">
        <w:t>modifier</w:t>
      </w:r>
      <w:proofErr w:type="gramEnd"/>
      <w:r w:rsidRPr="00CD44B4">
        <w:t xml:space="preserve"> comme suit</w:t>
      </w:r>
      <w:r w:rsidR="00C46E5C">
        <w:t> </w:t>
      </w:r>
      <w:r w:rsidRPr="00CD44B4">
        <w:t>:</w:t>
      </w:r>
    </w:p>
    <w:p w:rsidR="00CD44B4" w:rsidRPr="00CD44B4" w:rsidRDefault="00CD44B4" w:rsidP="00CD44B4">
      <w:pPr>
        <w:pStyle w:val="SingleTxtG"/>
      </w:pPr>
      <w:r>
        <w:t>« </w:t>
      </w:r>
      <w:r w:rsidRPr="00CD44B4">
        <w:t>Les forces à exercer … conversions d’unités</w:t>
      </w:r>
    </w:p>
    <w:p w:rsidR="00CD44B4" w:rsidRPr="00CD44B4" w:rsidRDefault="00CD44B4" w:rsidP="00CD44B4">
      <w:pPr>
        <w:pStyle w:val="SingleTxtG"/>
      </w:pPr>
      <w:r w:rsidRPr="00CD44B4">
        <w:rPr>
          <w:b/>
        </w:rPr>
        <w:t>D’autres possibilités d’assurer une protection suffisante contre l’ouverture accidentelle de la porte arrière lorsque le véhicule est en mouvement sont présentées.</w:t>
      </w:r>
      <w:r w:rsidR="00C46E5C">
        <w:t> »</w:t>
      </w:r>
    </w:p>
    <w:p w:rsidR="00CD44B4" w:rsidRPr="00CD44B4" w:rsidRDefault="00CD44B4" w:rsidP="00CD44B4">
      <w:pPr>
        <w:pStyle w:val="SingleTxtG"/>
      </w:pPr>
      <w:r w:rsidRPr="00CD44B4">
        <w:rPr>
          <w:i/>
        </w:rPr>
        <w:t>Section IV d) viii)</w:t>
      </w:r>
      <w:r w:rsidRPr="00FE4FF7">
        <w:t xml:space="preserve">, </w:t>
      </w:r>
      <w:r w:rsidRPr="00CD44B4">
        <w:t>modifier comme suit</w:t>
      </w:r>
      <w:r w:rsidR="00C46E5C">
        <w:t> </w:t>
      </w:r>
      <w:r w:rsidRPr="00CD44B4">
        <w:t>:</w:t>
      </w:r>
    </w:p>
    <w:p w:rsidR="00CD44B4" w:rsidRPr="00CD44B4" w:rsidRDefault="00C46E5C" w:rsidP="00CD44B4">
      <w:pPr>
        <w:pStyle w:val="SingleTxtG"/>
      </w:pPr>
      <w:r>
        <w:t>« </w:t>
      </w:r>
      <w:r w:rsidR="00CD44B4" w:rsidRPr="00CD44B4">
        <w:t>Les États-Unis d’Amérique … dispositif de sécurité principal.</w:t>
      </w:r>
    </w:p>
    <w:p w:rsidR="00CD44B4" w:rsidRPr="00CD44B4" w:rsidRDefault="00CD44B4" w:rsidP="00CD44B4">
      <w:pPr>
        <w:pStyle w:val="SingleTxtG"/>
      </w:pPr>
      <w:r w:rsidRPr="00CD44B4">
        <w:rPr>
          <w:b/>
        </w:rPr>
        <w:t xml:space="preserve">La même approche théorique de la sortie que celle exposée ci-dessus a été appliquée pour les portes arrière, ce qui permettra l’utilisation de systèmes dans lesquels la porte arrière ne peut s’ouvrir que lorsque le véhicule est à l’arrêt. Lorsqu’un véhicule est à l’arrêt, une seule manœuvre permettra l’ouverture des portes arrière, évitant ainsi </w:t>
      </w:r>
      <w:r w:rsidR="00D856A7" w:rsidRPr="004B084F">
        <w:rPr>
          <w:b/>
        </w:rPr>
        <w:t>“</w:t>
      </w:r>
      <w:r w:rsidRPr="00CD44B4">
        <w:rPr>
          <w:b/>
        </w:rPr>
        <w:t>le risque d’expulser accidentellement</w:t>
      </w:r>
      <w:r w:rsidR="00D856A7" w:rsidRPr="004B084F">
        <w:rPr>
          <w:b/>
        </w:rPr>
        <w:t xml:space="preserve">” </w:t>
      </w:r>
      <w:r w:rsidRPr="00CD44B4">
        <w:rPr>
          <w:b/>
        </w:rPr>
        <w:t>un passager d’un véhicule en mouvement.</w:t>
      </w:r>
      <w:r w:rsidR="00C46E5C">
        <w:t> »</w:t>
      </w:r>
    </w:p>
    <w:p w:rsidR="00CD44B4" w:rsidRPr="00CD44B4" w:rsidRDefault="00CD44B4" w:rsidP="00CD44B4">
      <w:pPr>
        <w:pStyle w:val="SingleTxtG"/>
        <w:rPr>
          <w:i/>
        </w:rPr>
      </w:pPr>
      <w:r w:rsidRPr="00CD44B4">
        <w:rPr>
          <w:i/>
        </w:rPr>
        <w:t xml:space="preserve">Titre de la partie B, </w:t>
      </w:r>
      <w:proofErr w:type="gramStart"/>
      <w:r w:rsidRPr="00CD44B4">
        <w:t>modifier</w:t>
      </w:r>
      <w:proofErr w:type="gramEnd"/>
      <w:r w:rsidRPr="00CD44B4">
        <w:t xml:space="preserve"> comme suit</w:t>
      </w:r>
      <w:r w:rsidR="00C46E5C">
        <w:t> </w:t>
      </w:r>
      <w:r w:rsidRPr="00CD44B4">
        <w:t>:</w:t>
      </w:r>
    </w:p>
    <w:p w:rsidR="00CD44B4" w:rsidRPr="00CD44B4" w:rsidRDefault="00CD44B4" w:rsidP="00C46E5C">
      <w:pPr>
        <w:pStyle w:val="HChG"/>
      </w:pPr>
      <w:r w:rsidRPr="00CD44B4">
        <w:tab/>
      </w:r>
      <w:r w:rsidR="00C46E5C">
        <w:t>« </w:t>
      </w:r>
      <w:r w:rsidRPr="00CD44B4">
        <w:t>II.</w:t>
      </w:r>
      <w:r w:rsidRPr="00CD44B4">
        <w:tab/>
        <w:t>Texte du Règlement technique mondial</w:t>
      </w:r>
      <w:r w:rsidR="00C46E5C">
        <w:t> »</w:t>
      </w:r>
    </w:p>
    <w:p w:rsidR="00CD44B4" w:rsidRPr="00CD44B4" w:rsidRDefault="00CD44B4" w:rsidP="00CD44B4">
      <w:pPr>
        <w:pStyle w:val="SingleTxtG"/>
        <w:rPr>
          <w:i/>
        </w:rPr>
      </w:pPr>
      <w:r w:rsidRPr="00CD44B4">
        <w:rPr>
          <w:i/>
        </w:rPr>
        <w:t>Partie I (anciennement partie B)</w:t>
      </w:r>
      <w:r w:rsidRPr="009D7953">
        <w:t>,</w:t>
      </w:r>
    </w:p>
    <w:p w:rsidR="00CD44B4" w:rsidRPr="00CD44B4" w:rsidRDefault="00CD44B4" w:rsidP="00CD44B4">
      <w:pPr>
        <w:pStyle w:val="SingleTxtG"/>
      </w:pPr>
      <w:r w:rsidRPr="00CD44B4">
        <w:rPr>
          <w:i/>
        </w:rPr>
        <w:t>Ajouter un nouveau paragraphe 5.3.3.1</w:t>
      </w:r>
      <w:r w:rsidRPr="00CD44B4">
        <w:t>, libellé comme suit</w:t>
      </w:r>
      <w:r w:rsidR="009D7953">
        <w:t> </w:t>
      </w:r>
      <w:r w:rsidRPr="00CD44B4">
        <w:t>:</w:t>
      </w:r>
    </w:p>
    <w:p w:rsidR="00CD44B4" w:rsidRPr="00CD44B4" w:rsidRDefault="00C46E5C" w:rsidP="00CD44B4">
      <w:pPr>
        <w:pStyle w:val="SingleTxtG"/>
        <w:rPr>
          <w:b/>
        </w:rPr>
      </w:pPr>
      <w:r>
        <w:t>« </w:t>
      </w:r>
      <w:r w:rsidR="00CD44B4" w:rsidRPr="00CD44B4">
        <w:rPr>
          <w:b/>
          <w:bCs/>
        </w:rPr>
        <w:t>5.3.3.1</w:t>
      </w:r>
      <w:r w:rsidR="00CD44B4" w:rsidRPr="00CD44B4">
        <w:rPr>
          <w:b/>
          <w:bCs/>
        </w:rPr>
        <w:tab/>
        <w:t>Le dispositif de verrouillage peut être :</w:t>
      </w:r>
    </w:p>
    <w:p w:rsidR="00CD44B4" w:rsidRPr="00CD44B4" w:rsidRDefault="00CD44B4" w:rsidP="00C46E5C">
      <w:pPr>
        <w:pStyle w:val="SingleTxtG"/>
        <w:ind w:left="2835" w:hanging="567"/>
        <w:rPr>
          <w:b/>
          <w:bCs/>
        </w:rPr>
      </w:pPr>
      <w:r w:rsidRPr="00CD44B4">
        <w:rPr>
          <w:b/>
          <w:bCs/>
        </w:rPr>
        <w:t>a)</w:t>
      </w:r>
      <w:r w:rsidRPr="00CD44B4">
        <w:rPr>
          <w:b/>
          <w:bCs/>
        </w:rPr>
        <w:tab/>
        <w:t>Un système de verrouillage de sécurité pour enfants</w:t>
      </w:r>
      <w:r w:rsidR="00C46E5C">
        <w:rPr>
          <w:b/>
          <w:bCs/>
        </w:rPr>
        <w:t> </w:t>
      </w:r>
      <w:r w:rsidRPr="00CD44B4">
        <w:rPr>
          <w:b/>
          <w:bCs/>
        </w:rPr>
        <w:t>; ou</w:t>
      </w:r>
    </w:p>
    <w:p w:rsidR="00CD44B4" w:rsidRPr="00CD44B4" w:rsidRDefault="00CD44B4" w:rsidP="00C46E5C">
      <w:pPr>
        <w:pStyle w:val="SingleTxtG"/>
        <w:ind w:left="2835" w:hanging="567"/>
        <w:rPr>
          <w:b/>
          <w:bCs/>
        </w:rPr>
      </w:pPr>
      <w:r w:rsidRPr="00CD44B4">
        <w:rPr>
          <w:b/>
          <w:bCs/>
        </w:rPr>
        <w:t>b)</w:t>
      </w:r>
      <w:r w:rsidRPr="00CD44B4">
        <w:rPr>
          <w:b/>
          <w:bCs/>
        </w:rPr>
        <w:tab/>
        <w:t>Un dispositif de verrouillage/déverrouillage situé à l’intérieur du véhicule et facilement accessible</w:t>
      </w:r>
      <w:r w:rsidR="00C46E5C">
        <w:rPr>
          <w:b/>
          <w:bCs/>
        </w:rPr>
        <w:t> </w:t>
      </w:r>
      <w:r w:rsidRPr="00CD44B4">
        <w:rPr>
          <w:b/>
          <w:bCs/>
        </w:rPr>
        <w:t>; ou</w:t>
      </w:r>
    </w:p>
    <w:p w:rsidR="00CD44B4" w:rsidRPr="00CD44B4" w:rsidRDefault="00CD44B4" w:rsidP="00C46E5C">
      <w:pPr>
        <w:pStyle w:val="SingleTxtG"/>
        <w:ind w:left="2835" w:hanging="567"/>
        <w:rPr>
          <w:b/>
          <w:bCs/>
        </w:rPr>
      </w:pPr>
      <w:r w:rsidRPr="00CD44B4">
        <w:rPr>
          <w:b/>
          <w:bCs/>
        </w:rPr>
        <w:t>c)</w:t>
      </w:r>
      <w:r w:rsidRPr="00CD44B4">
        <w:rPr>
          <w:b/>
          <w:bCs/>
        </w:rPr>
        <w:tab/>
        <w:t>Un système qui rend la poignée intérieure ou toute autre commande intérieure d’ouverture de cette porte inopérante lorsque la vitesse du véhicule atteint ou dépasse 4</w:t>
      </w:r>
      <w:r w:rsidR="00C46E5C">
        <w:rPr>
          <w:b/>
          <w:bCs/>
        </w:rPr>
        <w:t> </w:t>
      </w:r>
      <w:r w:rsidRPr="00CD44B4">
        <w:rPr>
          <w:b/>
          <w:bCs/>
        </w:rPr>
        <w:t>km/h</w:t>
      </w:r>
      <w:r w:rsidR="00C46E5C">
        <w:rPr>
          <w:b/>
          <w:bCs/>
        </w:rPr>
        <w:t> </w:t>
      </w:r>
      <w:r w:rsidRPr="00CD44B4">
        <w:rPr>
          <w:b/>
          <w:bCs/>
        </w:rPr>
        <w:t>; ou</w:t>
      </w:r>
    </w:p>
    <w:p w:rsidR="00CD44B4" w:rsidRPr="00CD44B4" w:rsidRDefault="00CD44B4" w:rsidP="00C46E5C">
      <w:pPr>
        <w:pStyle w:val="SingleTxtG"/>
        <w:ind w:left="2835" w:hanging="567"/>
        <w:rPr>
          <w:bCs/>
        </w:rPr>
      </w:pPr>
      <w:proofErr w:type="gramStart"/>
      <w:r w:rsidRPr="00CD44B4">
        <w:rPr>
          <w:b/>
          <w:bCs/>
        </w:rPr>
        <w:t>d</w:t>
      </w:r>
      <w:proofErr w:type="gramEnd"/>
      <w:r w:rsidRPr="00CD44B4">
        <w:rPr>
          <w:b/>
          <w:bCs/>
        </w:rPr>
        <w:t>)</w:t>
      </w:r>
      <w:r w:rsidRPr="00CD44B4">
        <w:rPr>
          <w:b/>
          <w:bCs/>
        </w:rPr>
        <w:tab/>
        <w:t>Toute combinaison des éléments a), b) ou c) ci-dessus.</w:t>
      </w:r>
      <w:r w:rsidR="00C46E5C">
        <w:rPr>
          <w:bCs/>
        </w:rPr>
        <w:t> »</w:t>
      </w:r>
    </w:p>
    <w:p w:rsidR="00CD44B4" w:rsidRPr="00CD44B4" w:rsidRDefault="00CD44B4" w:rsidP="00C46E5C">
      <w:pPr>
        <w:pStyle w:val="HChG"/>
      </w:pPr>
      <w:r w:rsidRPr="00CD44B4">
        <w:tab/>
        <w:t>II.</w:t>
      </w:r>
      <w:r w:rsidRPr="00CD44B4">
        <w:tab/>
        <w:t>Justification</w:t>
      </w:r>
    </w:p>
    <w:p w:rsidR="00CD44B4" w:rsidRPr="00CD44B4" w:rsidRDefault="00CD44B4" w:rsidP="00C46E5C">
      <w:pPr>
        <w:pStyle w:val="SingleTxtG"/>
        <w:ind w:firstLine="567"/>
      </w:pPr>
      <w:r w:rsidRPr="00CD44B4">
        <w:t>La proposition ci-dessus a été élaborée pour harmoniser le texte du RTM et</w:t>
      </w:r>
      <w:r w:rsidR="009D7953">
        <w:t xml:space="preserve"> les </w:t>
      </w:r>
      <w:r w:rsidRPr="00CD44B4">
        <w:t>prescriptions correspondantes applicables aux portes l</w:t>
      </w:r>
      <w:r w:rsidR="009D7953">
        <w:t>atérales à charnières montées à </w:t>
      </w:r>
      <w:r w:rsidRPr="00CD44B4">
        <w:t>l’arrière figurant dans le c</w:t>
      </w:r>
      <w:r w:rsidR="009D7953">
        <w:t>omplément </w:t>
      </w:r>
      <w:r w:rsidRPr="00CD44B4">
        <w:t>1 à la série 04 d’amendements et dans</w:t>
      </w:r>
      <w:r w:rsidR="009D7953">
        <w:t xml:space="preserve"> le </w:t>
      </w:r>
      <w:r w:rsidRPr="00CD44B4">
        <w:t>c</w:t>
      </w:r>
      <w:r w:rsidR="00C46E5C">
        <w:t>omplément </w:t>
      </w:r>
      <w:r w:rsidRPr="00CD44B4">
        <w:t xml:space="preserve">4 </w:t>
      </w:r>
      <w:r w:rsidR="009D7953">
        <w:t>à la série </w:t>
      </w:r>
      <w:r w:rsidRPr="00CD44B4">
        <w:t>03 d’amendements au Règlement n</w:t>
      </w:r>
      <w:r w:rsidRPr="00CD44B4">
        <w:rPr>
          <w:vertAlign w:val="superscript"/>
        </w:rPr>
        <w:t>o</w:t>
      </w:r>
      <w:r w:rsidRPr="00CD44B4">
        <w:t> 11 (ECE/TRANS/WP.29/2016/33 et ECE/TRANS/WP.29/2016/34)</w:t>
      </w:r>
      <w:r w:rsidRPr="00CD44B4">
        <w:rPr>
          <w:iCs/>
        </w:rPr>
        <w:t>.</w:t>
      </w:r>
    </w:p>
    <w:p w:rsidR="00CD44B4" w:rsidRPr="00C46E5C" w:rsidRDefault="00C46E5C" w:rsidP="00C46E5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44B4" w:rsidRPr="00C46E5C" w:rsidSect="00CD44B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A0" w:rsidRDefault="00920AA0" w:rsidP="00F95C08">
      <w:pPr>
        <w:spacing w:line="240" w:lineRule="auto"/>
      </w:pPr>
    </w:p>
  </w:endnote>
  <w:endnote w:type="continuationSeparator" w:id="0">
    <w:p w:rsidR="00920AA0" w:rsidRPr="00AC3823" w:rsidRDefault="00920AA0" w:rsidP="00AC3823">
      <w:pPr>
        <w:pStyle w:val="Footer"/>
      </w:pPr>
    </w:p>
  </w:endnote>
  <w:endnote w:type="continuationNotice" w:id="1">
    <w:p w:rsidR="00920AA0" w:rsidRDefault="00920A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B4" w:rsidRPr="00CD44B4" w:rsidRDefault="00CD44B4" w:rsidP="00CD44B4">
    <w:pPr>
      <w:pStyle w:val="Footer"/>
      <w:tabs>
        <w:tab w:val="right" w:pos="9638"/>
      </w:tabs>
    </w:pPr>
    <w:r w:rsidRPr="00CD44B4">
      <w:rPr>
        <w:b/>
        <w:sz w:val="18"/>
      </w:rPr>
      <w:fldChar w:fldCharType="begin"/>
    </w:r>
    <w:r w:rsidRPr="00CD44B4">
      <w:rPr>
        <w:b/>
        <w:sz w:val="18"/>
      </w:rPr>
      <w:instrText xml:space="preserve"> PAGE  \* MERGEFORMAT </w:instrText>
    </w:r>
    <w:r w:rsidRPr="00CD44B4">
      <w:rPr>
        <w:b/>
        <w:sz w:val="18"/>
      </w:rPr>
      <w:fldChar w:fldCharType="separate"/>
    </w:r>
    <w:r w:rsidR="004B084F">
      <w:rPr>
        <w:b/>
        <w:noProof/>
        <w:sz w:val="18"/>
      </w:rPr>
      <w:t>2</w:t>
    </w:r>
    <w:r w:rsidRPr="00CD44B4">
      <w:rPr>
        <w:b/>
        <w:sz w:val="18"/>
      </w:rPr>
      <w:fldChar w:fldCharType="end"/>
    </w:r>
    <w:r>
      <w:rPr>
        <w:b/>
        <w:sz w:val="18"/>
      </w:rPr>
      <w:tab/>
    </w:r>
    <w:r>
      <w:t>GE.16-16413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B4" w:rsidRPr="00CD44B4" w:rsidRDefault="00CD44B4" w:rsidP="00CD44B4">
    <w:pPr>
      <w:pStyle w:val="Footer"/>
      <w:tabs>
        <w:tab w:val="right" w:pos="9638"/>
      </w:tabs>
      <w:rPr>
        <w:b/>
        <w:sz w:val="18"/>
      </w:rPr>
    </w:pPr>
    <w:r>
      <w:t>GE.16-16413</w:t>
    </w:r>
    <w:r>
      <w:tab/>
    </w:r>
    <w:r w:rsidRPr="00CD44B4">
      <w:rPr>
        <w:b/>
        <w:sz w:val="18"/>
      </w:rPr>
      <w:fldChar w:fldCharType="begin"/>
    </w:r>
    <w:r w:rsidRPr="00CD44B4">
      <w:rPr>
        <w:b/>
        <w:sz w:val="18"/>
      </w:rPr>
      <w:instrText xml:space="preserve"> PAGE  \* MERGEFORMAT </w:instrText>
    </w:r>
    <w:r w:rsidRPr="00CD44B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D44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CD44B4" w:rsidRDefault="00CD44B4" w:rsidP="00CD44B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379CB52" wp14:editId="527A03A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16-16413  (F)    181016    251016</w:t>
    </w:r>
    <w:r>
      <w:rPr>
        <w:sz w:val="20"/>
      </w:rPr>
      <w:br/>
    </w:r>
    <w:r w:rsidRPr="00CD44B4">
      <w:rPr>
        <w:rFonts w:ascii="C39T30Lfz" w:hAnsi="C39T30Lfz"/>
        <w:sz w:val="56"/>
      </w:rPr>
      <w:t></w:t>
    </w:r>
    <w:r w:rsidRPr="00CD44B4">
      <w:rPr>
        <w:rFonts w:ascii="C39T30Lfz" w:hAnsi="C39T30Lfz"/>
        <w:sz w:val="56"/>
      </w:rPr>
      <w:t></w:t>
    </w:r>
    <w:r w:rsidRPr="00CD44B4">
      <w:rPr>
        <w:rFonts w:ascii="C39T30Lfz" w:hAnsi="C39T30Lfz"/>
        <w:sz w:val="56"/>
      </w:rPr>
      <w:t></w:t>
    </w:r>
    <w:r w:rsidRPr="00CD44B4">
      <w:rPr>
        <w:rFonts w:ascii="C39T30Lfz" w:hAnsi="C39T30Lfz"/>
        <w:sz w:val="56"/>
      </w:rPr>
      <w:t></w:t>
    </w:r>
    <w:r w:rsidRPr="00CD44B4">
      <w:rPr>
        <w:rFonts w:ascii="C39T30Lfz" w:hAnsi="C39T30Lfz"/>
        <w:sz w:val="56"/>
      </w:rPr>
      <w:t></w:t>
    </w:r>
    <w:r w:rsidRPr="00CD44B4">
      <w:rPr>
        <w:rFonts w:ascii="C39T30Lfz" w:hAnsi="C39T30Lfz"/>
        <w:sz w:val="56"/>
      </w:rPr>
      <w:t></w:t>
    </w:r>
    <w:r w:rsidRPr="00CD44B4">
      <w:rPr>
        <w:rFonts w:ascii="C39T30Lfz" w:hAnsi="C39T30Lfz"/>
        <w:sz w:val="56"/>
      </w:rPr>
      <w:t></w:t>
    </w:r>
    <w:r w:rsidRPr="00CD44B4">
      <w:rPr>
        <w:rFonts w:ascii="C39T30Lfz" w:hAnsi="C39T30Lfz"/>
        <w:sz w:val="56"/>
      </w:rPr>
      <w:t></w:t>
    </w:r>
    <w:r w:rsidRPr="00CD44B4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2DEBB321" wp14:editId="4643C41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P/2016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6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A0" w:rsidRPr="00AC3823" w:rsidRDefault="00920AA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0AA0" w:rsidRPr="00AC3823" w:rsidRDefault="00920AA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0AA0" w:rsidRPr="00AC3823" w:rsidRDefault="00920AA0">
      <w:pPr>
        <w:spacing w:line="240" w:lineRule="auto"/>
        <w:rPr>
          <w:sz w:val="2"/>
          <w:szCs w:val="2"/>
        </w:rPr>
      </w:pPr>
    </w:p>
  </w:footnote>
  <w:footnote w:id="2">
    <w:p w:rsidR="00CD44B4" w:rsidRPr="00CD44B4" w:rsidRDefault="00CD44B4" w:rsidP="00CD44B4">
      <w:pPr>
        <w:pStyle w:val="FootnoteText"/>
      </w:pPr>
      <w:r>
        <w:rPr>
          <w:rStyle w:val="FootnoteReference"/>
        </w:rPr>
        <w:tab/>
      </w:r>
      <w:r w:rsidRPr="00CD44B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13A84">
        <w:rPr>
          <w:szCs w:val="18"/>
        </w:rPr>
        <w:t>Conformément au programme de travail du Comité des transports intérieurs pour la période 2016-2017 (ECE/TRANS/254, par. 159, et ECE/TRANS/2016/28/Add.1, activité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B4" w:rsidRPr="00CD44B4" w:rsidRDefault="00CD44B4">
    <w:pPr>
      <w:pStyle w:val="Header"/>
    </w:pPr>
    <w:r>
      <w:t>ECE/TRANS/WP.29/GRSP/2016/17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B4" w:rsidRPr="00CD44B4" w:rsidRDefault="00CD44B4" w:rsidP="00CD44B4">
    <w:pPr>
      <w:pStyle w:val="Header"/>
      <w:jc w:val="right"/>
    </w:pPr>
    <w:r>
      <w:t>ECE/TRANS/WP.29/GRSP/2016/17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A0"/>
    <w:rsid w:val="00017F94"/>
    <w:rsid w:val="00023842"/>
    <w:rsid w:val="000334F9"/>
    <w:rsid w:val="0007796D"/>
    <w:rsid w:val="000B7790"/>
    <w:rsid w:val="000E72B1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A1710"/>
    <w:rsid w:val="00441C3B"/>
    <w:rsid w:val="00446FE5"/>
    <w:rsid w:val="00452396"/>
    <w:rsid w:val="004837D8"/>
    <w:rsid w:val="004B084F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20AA0"/>
    <w:rsid w:val="009705C8"/>
    <w:rsid w:val="009C1CF4"/>
    <w:rsid w:val="009D7953"/>
    <w:rsid w:val="009F6B74"/>
    <w:rsid w:val="00A30353"/>
    <w:rsid w:val="00A72B3E"/>
    <w:rsid w:val="00AC3823"/>
    <w:rsid w:val="00AE323C"/>
    <w:rsid w:val="00AF0CB5"/>
    <w:rsid w:val="00B00181"/>
    <w:rsid w:val="00B00B0D"/>
    <w:rsid w:val="00B765F7"/>
    <w:rsid w:val="00BA0CA9"/>
    <w:rsid w:val="00C02897"/>
    <w:rsid w:val="00C46E5C"/>
    <w:rsid w:val="00CD44B4"/>
    <w:rsid w:val="00D3439C"/>
    <w:rsid w:val="00D856A7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4B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4B4"/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rsid w:val="00CD44B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4B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4B4"/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rsid w:val="00CD44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ECE/TRANS/WP.29/GRSP/2016/17</vt:lpstr>
      <vt:lpstr>ECE/TRANS/WP.29/GRSP/2016/17</vt:lpstr>
    </vt:vector>
  </TitlesOfParts>
  <Company>DCM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ECE/TRANS/WP.29/GRSP/2016/17</dc:title>
  <dc:subject>Final 1 page</dc:subject>
  <dc:creator>Moret</dc:creator>
  <cp:lastModifiedBy>Benedicte Boudol</cp:lastModifiedBy>
  <cp:revision>2</cp:revision>
  <cp:lastPrinted>2016-10-25T10:33:00Z</cp:lastPrinted>
  <dcterms:created xsi:type="dcterms:W3CDTF">2016-10-26T12:27:00Z</dcterms:created>
  <dcterms:modified xsi:type="dcterms:W3CDTF">2016-10-26T12:27:00Z</dcterms:modified>
</cp:coreProperties>
</file>