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80AD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80ADE" w:rsidP="00180ADE">
            <w:pPr>
              <w:jc w:val="right"/>
            </w:pPr>
            <w:r w:rsidRPr="00180ADE">
              <w:rPr>
                <w:sz w:val="40"/>
              </w:rPr>
              <w:t>ECE</w:t>
            </w:r>
            <w:r>
              <w:t>/TRANS/WP.29/GRSG/2016/9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80ADE" w:rsidP="00892A2F">
            <w:pPr>
              <w:spacing w:before="240"/>
            </w:pPr>
            <w:r>
              <w:t>Distr. générale</w:t>
            </w:r>
          </w:p>
          <w:p w:rsidR="00180ADE" w:rsidRDefault="00180ADE" w:rsidP="00180ADE">
            <w:pPr>
              <w:spacing w:line="240" w:lineRule="exact"/>
            </w:pPr>
            <w:r>
              <w:t>10 février 2016</w:t>
            </w:r>
          </w:p>
          <w:p w:rsidR="00180ADE" w:rsidRDefault="00180ADE" w:rsidP="00180ADE">
            <w:pPr>
              <w:spacing w:line="240" w:lineRule="exact"/>
            </w:pPr>
            <w:r>
              <w:t>Français</w:t>
            </w:r>
          </w:p>
          <w:p w:rsidR="00180ADE" w:rsidRPr="00DB58B5" w:rsidRDefault="00180ADE" w:rsidP="00180AD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80ADE" w:rsidRDefault="00180AD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80ADE" w:rsidRDefault="00180ADE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180ADE" w:rsidRDefault="00180ADE" w:rsidP="00257168">
      <w:pPr>
        <w:spacing w:before="120" w:line="240" w:lineRule="exact"/>
        <w:rPr>
          <w:b/>
        </w:rPr>
      </w:pPr>
      <w:r>
        <w:rPr>
          <w:b/>
        </w:rPr>
        <w:t>110</w:t>
      </w:r>
      <w:r w:rsidRPr="00180ADE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80ADE" w:rsidRDefault="00180ADE" w:rsidP="00257168">
      <w:pPr>
        <w:spacing w:line="240" w:lineRule="exact"/>
      </w:pPr>
      <w:r>
        <w:t>Genève, 26-29 avril 2016</w:t>
      </w:r>
    </w:p>
    <w:p w:rsidR="00180ADE" w:rsidRDefault="00180ADE" w:rsidP="00257168">
      <w:pPr>
        <w:spacing w:line="240" w:lineRule="exact"/>
      </w:pPr>
      <w:r>
        <w:t>Point 12 de l’ordre du jour provisoire</w:t>
      </w:r>
    </w:p>
    <w:p w:rsidR="00961F9E" w:rsidRPr="00180ADE" w:rsidRDefault="00B332B5" w:rsidP="00180ADE">
      <w:pPr>
        <w:rPr>
          <w:b/>
        </w:rPr>
      </w:pPr>
      <w:r w:rsidRPr="00180ADE">
        <w:rPr>
          <w:b/>
        </w:rPr>
        <w:t xml:space="preserve">Règlement </w:t>
      </w:r>
      <w:r w:rsidR="00930D79">
        <w:rPr>
          <w:b/>
        </w:rPr>
        <w:t>n</w:t>
      </w:r>
      <w:r w:rsidR="00930D79" w:rsidRPr="00930D79">
        <w:rPr>
          <w:b/>
          <w:vertAlign w:val="superscript"/>
        </w:rPr>
        <w:t>o</w:t>
      </w:r>
      <w:r w:rsidR="00930D79">
        <w:rPr>
          <w:b/>
        </w:rPr>
        <w:t> </w:t>
      </w:r>
      <w:r w:rsidRPr="00180ADE">
        <w:rPr>
          <w:b/>
        </w:rPr>
        <w:t xml:space="preserve">110 </w:t>
      </w:r>
      <w:r w:rsidRPr="00180ADE">
        <w:rPr>
          <w:b/>
        </w:rPr>
        <w:t>(Véhicules alimentés au GNC/GNL)</w:t>
      </w:r>
    </w:p>
    <w:p w:rsidR="00961F9E" w:rsidRPr="00180ADE" w:rsidRDefault="00B332B5" w:rsidP="00180ADE">
      <w:pPr>
        <w:pStyle w:val="HChG"/>
      </w:pPr>
      <w:r w:rsidRPr="00180ADE">
        <w:tab/>
      </w:r>
      <w:r w:rsidRPr="00180ADE">
        <w:tab/>
        <w:t>Proposition d’amendement au Règlement</w:t>
      </w:r>
      <w:r w:rsidR="00180ADE">
        <w:t xml:space="preserve"> n</w:t>
      </w:r>
      <w:r w:rsidR="00180ADE" w:rsidRPr="00180ADE">
        <w:rPr>
          <w:vertAlign w:val="superscript"/>
        </w:rPr>
        <w:t>o</w:t>
      </w:r>
      <w:r w:rsidR="00180ADE">
        <w:t> 1</w:t>
      </w:r>
      <w:r w:rsidRPr="00180ADE">
        <w:t xml:space="preserve">10 </w:t>
      </w:r>
      <w:r w:rsidR="00180ADE">
        <w:br/>
      </w:r>
      <w:r w:rsidRPr="00180ADE">
        <w:t>(Véhicules alimentés au GNC/GNL)</w:t>
      </w:r>
    </w:p>
    <w:p w:rsidR="00961F9E" w:rsidRPr="00180ADE" w:rsidRDefault="00180ADE" w:rsidP="00180ADE">
      <w:pPr>
        <w:pStyle w:val="H1G"/>
        <w:rPr>
          <w:vertAlign w:val="superscript"/>
        </w:rPr>
      </w:pPr>
      <w:r>
        <w:tab/>
      </w:r>
      <w:r>
        <w:tab/>
      </w:r>
      <w:r w:rsidR="00B332B5" w:rsidRPr="00180ADE">
        <w:t>Communication de l’expert des Pays-Bas</w:t>
      </w:r>
      <w:r w:rsidRPr="004C431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180ADE" w:rsidP="00180ADE">
      <w:pPr>
        <w:pStyle w:val="SingleTxtG"/>
      </w:pPr>
      <w:r>
        <w:tab/>
      </w:r>
      <w:r w:rsidR="00B332B5" w:rsidRPr="00180ADE">
        <w:t>Le texte reproduit ci-après, établi par l’expert des Pays-Bas, a pour objectif de corriger une erre</w:t>
      </w:r>
      <w:r w:rsidR="00B332B5" w:rsidRPr="00180ADE">
        <w:t xml:space="preserve">ur typographique et d’apporter une plus grande clarté aux dispositions actuelles du Règlement. Les modifications qu’il est proposé d’apporter au texte du Règlement ONU </w:t>
      </w:r>
      <w:r>
        <w:t>n</w:t>
      </w:r>
      <w:r w:rsidRPr="00180ADE">
        <w:rPr>
          <w:vertAlign w:val="superscript"/>
        </w:rPr>
        <w:t>o</w:t>
      </w:r>
      <w:r>
        <w:t> </w:t>
      </w:r>
      <w:r w:rsidR="00B332B5" w:rsidRPr="00180ADE">
        <w:t>110 sont indiquées en caractères gras pour les ajouts et biffés pour les suppressions</w:t>
      </w:r>
      <w:r w:rsidR="00B332B5" w:rsidRPr="00180ADE">
        <w:t>.</w:t>
      </w:r>
    </w:p>
    <w:p w:rsidR="00961F9E" w:rsidRPr="00180ADE" w:rsidRDefault="00180ADE" w:rsidP="00180ADE">
      <w:pPr>
        <w:pStyle w:val="HChG"/>
      </w:pPr>
      <w:r>
        <w:br w:type="page"/>
      </w:r>
      <w:r>
        <w:lastRenderedPageBreak/>
        <w:tab/>
      </w:r>
      <w:r w:rsidR="00B332B5" w:rsidRPr="00180ADE">
        <w:t>I.</w:t>
      </w:r>
      <w:r w:rsidR="00B332B5" w:rsidRPr="00180ADE">
        <w:tab/>
        <w:t>Proposition</w:t>
      </w:r>
    </w:p>
    <w:p w:rsidR="00961F9E" w:rsidRPr="00180ADE" w:rsidRDefault="00B332B5" w:rsidP="00180ADE">
      <w:pPr>
        <w:pStyle w:val="SingleTxtG"/>
      </w:pPr>
      <w:r w:rsidRPr="00180ADE">
        <w:rPr>
          <w:i/>
        </w:rPr>
        <w:t>Paragraphe 7.1</w:t>
      </w:r>
      <w:r w:rsidRPr="00180ADE">
        <w:t>,</w:t>
      </w:r>
      <w:r w:rsidRPr="00180ADE">
        <w:rPr>
          <w:iCs/>
        </w:rPr>
        <w:t xml:space="preserve"> modifier comme suit</w:t>
      </w:r>
      <w:r w:rsidR="00180ADE">
        <w:rPr>
          <w:iCs/>
        </w:rPr>
        <w:t> </w:t>
      </w:r>
      <w:r w:rsidRPr="00180ADE">
        <w:t>:</w:t>
      </w:r>
    </w:p>
    <w:p w:rsidR="00961F9E" w:rsidRPr="00180ADE" w:rsidRDefault="00B332B5" w:rsidP="00180ADE">
      <w:pPr>
        <w:pStyle w:val="SingleTxtG"/>
        <w:ind w:left="2268" w:hanging="1134"/>
      </w:pPr>
      <w:r w:rsidRPr="00180ADE">
        <w:t>« 7.1</w:t>
      </w:r>
      <w:r w:rsidRPr="00180ADE">
        <w:tab/>
        <w:t xml:space="preserve">Lorsque les </w:t>
      </w:r>
      <w:r w:rsidR="0033458A" w:rsidRPr="00180ADE">
        <w:t>échantillons</w:t>
      </w:r>
      <w:r w:rsidRPr="00180ADE">
        <w:t xml:space="preserve"> d’organes GNC </w:t>
      </w:r>
      <w:r w:rsidR="0033458A" w:rsidRPr="00180ADE">
        <w:t>présentés</w:t>
      </w:r>
      <w:r w:rsidRPr="00180ADE">
        <w:t xml:space="preserve"> à l’homologation satisfont aux prescriptions des paragraphes 8.1 à 8.11 du </w:t>
      </w:r>
      <w:r w:rsidR="0033458A" w:rsidRPr="00180ADE">
        <w:t>présent</w:t>
      </w:r>
      <w:r w:rsidRPr="00180ADE">
        <w:t xml:space="preserve"> </w:t>
      </w:r>
      <w:r w:rsidR="0033458A" w:rsidRPr="00180ADE">
        <w:t>Règlement</w:t>
      </w:r>
      <w:r w:rsidRPr="00180ADE">
        <w:t xml:space="preserve">, une homologation du type d’organe correspondant </w:t>
      </w:r>
      <w:r w:rsidRPr="00180ADE">
        <w:t xml:space="preserve">est </w:t>
      </w:r>
      <w:r w:rsidR="0033458A" w:rsidRPr="00180ADE">
        <w:t>accordée</w:t>
      </w:r>
      <w:r w:rsidRPr="00180ADE">
        <w:t>.</w:t>
      </w:r>
    </w:p>
    <w:p w:rsidR="00961F9E" w:rsidRPr="00180ADE" w:rsidRDefault="00180ADE" w:rsidP="00180ADE">
      <w:pPr>
        <w:pStyle w:val="SingleTxtG"/>
        <w:ind w:left="2268" w:hanging="1134"/>
      </w:pPr>
      <w:r>
        <w:tab/>
      </w:r>
      <w:r w:rsidR="00B332B5" w:rsidRPr="00180ADE">
        <w:t xml:space="preserve">Lorsque les </w:t>
      </w:r>
      <w:r w:rsidR="0033458A" w:rsidRPr="00180ADE">
        <w:t>échantillons</w:t>
      </w:r>
      <w:r w:rsidR="00B332B5" w:rsidRPr="00180ADE">
        <w:t xml:space="preserve"> d’organes GNL </w:t>
      </w:r>
      <w:r w:rsidR="0033458A" w:rsidRPr="00180ADE">
        <w:t>présentés</w:t>
      </w:r>
      <w:r w:rsidR="00B332B5" w:rsidRPr="00180ADE">
        <w:t xml:space="preserve"> à l’homologation satisfont aux prescriptions des paragraphes 8.12 à </w:t>
      </w:r>
      <w:r w:rsidR="00B332B5" w:rsidRPr="004806AE">
        <w:rPr>
          <w:strike/>
        </w:rPr>
        <w:t>8.21</w:t>
      </w:r>
      <w:r w:rsidR="00B332B5" w:rsidRPr="00180ADE">
        <w:t xml:space="preserve"> </w:t>
      </w:r>
      <w:r w:rsidR="00B332B5" w:rsidRPr="00180ADE">
        <w:rPr>
          <w:b/>
        </w:rPr>
        <w:t xml:space="preserve">8.22 </w:t>
      </w:r>
      <w:r w:rsidR="00B332B5" w:rsidRPr="00180ADE">
        <w:t xml:space="preserve">du </w:t>
      </w:r>
      <w:r w:rsidR="0033458A" w:rsidRPr="00180ADE">
        <w:t>présent</w:t>
      </w:r>
      <w:r w:rsidR="00B332B5" w:rsidRPr="00180ADE">
        <w:t xml:space="preserve"> </w:t>
      </w:r>
      <w:r w:rsidR="0033458A" w:rsidRPr="00180ADE">
        <w:t>Règlement</w:t>
      </w:r>
      <w:r w:rsidR="00B332B5" w:rsidRPr="00180ADE">
        <w:t xml:space="preserve">, une homologation du type d’organe correspondant est </w:t>
      </w:r>
      <w:r w:rsidR="0033458A" w:rsidRPr="00180ADE">
        <w:t>accordée</w:t>
      </w:r>
      <w:r w:rsidR="00B332B5" w:rsidRPr="00180ADE">
        <w:t>. ».</w:t>
      </w:r>
    </w:p>
    <w:p w:rsidR="00961F9E" w:rsidRPr="00180ADE" w:rsidRDefault="00B332B5" w:rsidP="00180ADE">
      <w:pPr>
        <w:pStyle w:val="SingleTxtG"/>
      </w:pPr>
      <w:r w:rsidRPr="00180ADE">
        <w:rPr>
          <w:i/>
        </w:rPr>
        <w:t>Annexe 4A, paragraphes 4.</w:t>
      </w:r>
      <w:r w:rsidRPr="00180ADE">
        <w:rPr>
          <w:i/>
        </w:rPr>
        <w:t>2.3 et 4.2.4</w:t>
      </w:r>
      <w:r w:rsidRPr="00180ADE">
        <w:t xml:space="preserve">, </w:t>
      </w:r>
      <w:r w:rsidRPr="00180ADE">
        <w:rPr>
          <w:iCs/>
        </w:rPr>
        <w:t>modifier comme suit</w:t>
      </w:r>
      <w:r w:rsidR="00180ADE">
        <w:rPr>
          <w:iCs/>
        </w:rPr>
        <w:t> </w:t>
      </w:r>
      <w:r w:rsidRPr="00180ADE">
        <w:t>:</w:t>
      </w:r>
    </w:p>
    <w:p w:rsidR="00961F9E" w:rsidRPr="00180ADE" w:rsidRDefault="00B332B5" w:rsidP="00180ADE">
      <w:pPr>
        <w:pStyle w:val="SingleTxtG"/>
        <w:ind w:left="2268" w:hanging="1134"/>
      </w:pPr>
      <w:r w:rsidRPr="00180ADE">
        <w:t>« 4.2.3</w:t>
      </w:r>
      <w:r w:rsidRPr="00180ADE">
        <w:tab/>
        <w:t xml:space="preserve">Pour la classe 1, la soupape de surpression et le dispositif de surpression doivent </w:t>
      </w:r>
      <w:r w:rsidR="0033458A" w:rsidRPr="00180ADE">
        <w:t>être</w:t>
      </w:r>
      <w:r w:rsidRPr="00180ADE">
        <w:t xml:space="preserve"> </w:t>
      </w:r>
      <w:r w:rsidR="0033458A" w:rsidRPr="00180ADE">
        <w:t>conçus</w:t>
      </w:r>
      <w:r w:rsidRPr="00180ADE">
        <w:t xml:space="preserve"> de </w:t>
      </w:r>
      <w:r w:rsidR="0033458A" w:rsidRPr="00180ADE">
        <w:t>manière</w:t>
      </w:r>
      <w:r w:rsidRPr="00180ADE">
        <w:t xml:space="preserve"> à </w:t>
      </w:r>
      <w:r w:rsidR="0033458A" w:rsidRPr="00180ADE">
        <w:t>être</w:t>
      </w:r>
      <w:r w:rsidRPr="00180ADE">
        <w:t xml:space="preserve"> </w:t>
      </w:r>
      <w:r w:rsidR="0033458A" w:rsidRPr="00180ADE">
        <w:t>étanches</w:t>
      </w:r>
      <w:r w:rsidRPr="00180ADE">
        <w:t xml:space="preserve"> à une pression </w:t>
      </w:r>
      <w:r w:rsidR="0033458A" w:rsidRPr="00180ADE">
        <w:t>égale</w:t>
      </w:r>
      <w:r w:rsidRPr="00180ADE">
        <w:t xml:space="preserve"> à 1,5</w:t>
      </w:r>
      <w:r w:rsidR="00180ADE">
        <w:t> </w:t>
      </w:r>
      <w:r w:rsidRPr="00180ADE">
        <w:t>fois la pression maximale de fonctionnement (en MPa), l’ori</w:t>
      </w:r>
      <w:r w:rsidRPr="00180ADE">
        <w:t>fice de so</w:t>
      </w:r>
      <w:r w:rsidR="00180ADE">
        <w:t xml:space="preserve">rtie </w:t>
      </w:r>
      <w:r w:rsidR="0033458A">
        <w:t>étant</w:t>
      </w:r>
      <w:r w:rsidR="00180ADE">
        <w:t xml:space="preserve"> fermé (voir annexe </w:t>
      </w:r>
      <w:r w:rsidRPr="00180ADE">
        <w:t>5B)</w:t>
      </w:r>
    </w:p>
    <w:p w:rsidR="00961F9E" w:rsidRPr="00180ADE" w:rsidRDefault="00B332B5" w:rsidP="00180ADE">
      <w:pPr>
        <w:pStyle w:val="SingleTxtG"/>
        <w:ind w:left="2268" w:hanging="1134"/>
      </w:pPr>
      <w:r w:rsidRPr="00180ADE">
        <w:t>4.2.4</w:t>
      </w:r>
      <w:r w:rsidRPr="00180ADE">
        <w:tab/>
        <w:t xml:space="preserve">Pour </w:t>
      </w:r>
      <w:r w:rsidRPr="004806AE">
        <w:rPr>
          <w:strike/>
        </w:rPr>
        <w:t>les classes 1 et</w:t>
      </w:r>
      <w:r w:rsidRPr="00180ADE">
        <w:t xml:space="preserve"> </w:t>
      </w:r>
      <w:r w:rsidRPr="004806AE">
        <w:t>la classe</w:t>
      </w:r>
      <w:r w:rsidRPr="00180ADE">
        <w:t xml:space="preserve"> 2, la soupape de surpression doit </w:t>
      </w:r>
      <w:r w:rsidR="0033458A" w:rsidRPr="00180ADE">
        <w:t>être</w:t>
      </w:r>
      <w:r w:rsidRPr="00180ADE">
        <w:t xml:space="preserve"> </w:t>
      </w:r>
      <w:r w:rsidR="0033458A" w:rsidRPr="00180ADE">
        <w:t>conçue</w:t>
      </w:r>
      <w:r w:rsidRPr="00180ADE">
        <w:t xml:space="preserve"> de </w:t>
      </w:r>
      <w:r w:rsidR="0033458A" w:rsidRPr="00180ADE">
        <w:t>manière</w:t>
      </w:r>
      <w:r w:rsidRPr="00180ADE">
        <w:t xml:space="preserve"> à </w:t>
      </w:r>
      <w:r w:rsidR="0033458A" w:rsidRPr="00180ADE">
        <w:t>être</w:t>
      </w:r>
      <w:r w:rsidRPr="00180ADE">
        <w:t xml:space="preserve"> </w:t>
      </w:r>
      <w:r w:rsidR="0033458A" w:rsidRPr="00180ADE">
        <w:t>étanche</w:t>
      </w:r>
      <w:r w:rsidRPr="00180ADE">
        <w:t xml:space="preserve"> à une pression </w:t>
      </w:r>
      <w:r w:rsidR="0033458A" w:rsidRPr="00180ADE">
        <w:t>égale</w:t>
      </w:r>
      <w:r w:rsidRPr="00180ADE">
        <w:t xml:space="preserve"> à 2 fois la pression maximale de fonctionnement, l’orifice de sortie </w:t>
      </w:r>
      <w:r w:rsidR="0033458A" w:rsidRPr="00180ADE">
        <w:t>étant</w:t>
      </w:r>
      <w:r w:rsidRPr="00180ADE">
        <w:t xml:space="preserve"> fe</w:t>
      </w:r>
      <w:r w:rsidRPr="00180ADE">
        <w:t>rmé. ».</w:t>
      </w:r>
    </w:p>
    <w:p w:rsidR="00961F9E" w:rsidRPr="00180ADE" w:rsidRDefault="00B332B5" w:rsidP="00180ADE">
      <w:pPr>
        <w:pStyle w:val="SingleTxtG"/>
      </w:pPr>
      <w:r w:rsidRPr="00180ADE">
        <w:rPr>
          <w:i/>
        </w:rPr>
        <w:t>Annexe 4H, paragraphe 2.2</w:t>
      </w:r>
      <w:r w:rsidRPr="00180ADE">
        <w:t xml:space="preserve">, </w:t>
      </w:r>
      <w:r w:rsidRPr="00180ADE">
        <w:rPr>
          <w:iCs/>
        </w:rPr>
        <w:t>modifier comme suit</w:t>
      </w:r>
      <w:r w:rsidR="00180ADE">
        <w:rPr>
          <w:iCs/>
        </w:rPr>
        <w:t> </w:t>
      </w:r>
      <w:r w:rsidRPr="00180ADE">
        <w:t>:</w:t>
      </w:r>
    </w:p>
    <w:p w:rsidR="00961F9E" w:rsidRPr="00180ADE" w:rsidRDefault="00B332B5" w:rsidP="00180ADE">
      <w:pPr>
        <w:pStyle w:val="SingleTxtG"/>
        <w:ind w:left="2268" w:hanging="1134"/>
        <w:rPr>
          <w:lang w:val="fr-FR"/>
        </w:rPr>
      </w:pPr>
      <w:r w:rsidRPr="00180ADE">
        <w:t>« 2.2</w:t>
      </w:r>
      <w:r w:rsidRPr="00180ADE">
        <w:tab/>
      </w:r>
      <w:r w:rsidRPr="00180ADE">
        <w:rPr>
          <w:lang w:val="fr-FR"/>
        </w:rPr>
        <w:t xml:space="preserve">Le </w:t>
      </w:r>
      <w:r w:rsidR="0033458A" w:rsidRPr="00180ADE">
        <w:rPr>
          <w:lang w:val="fr-FR"/>
        </w:rPr>
        <w:t>délai</w:t>
      </w:r>
      <w:r w:rsidRPr="00180ADE">
        <w:rPr>
          <w:lang w:val="fr-FR"/>
        </w:rPr>
        <w:t xml:space="preserve"> de fermeture de la vanne automatique à partir du moment où le moteur cale ne doit pas </w:t>
      </w:r>
      <w:r w:rsidR="0033458A" w:rsidRPr="00180ADE">
        <w:rPr>
          <w:lang w:val="fr-FR"/>
        </w:rPr>
        <w:t>dépasser</w:t>
      </w:r>
      <w:r w:rsidRPr="00180ADE">
        <w:rPr>
          <w:lang w:val="fr-FR"/>
        </w:rPr>
        <w:t xml:space="preserve"> </w:t>
      </w:r>
      <w:r w:rsidRPr="004806AE">
        <w:rPr>
          <w:strike/>
          <w:lang w:val="fr-FR"/>
        </w:rPr>
        <w:t xml:space="preserve">5 </w:t>
      </w:r>
      <w:r w:rsidRPr="00180ADE">
        <w:rPr>
          <w:b/>
          <w:lang w:val="fr-FR"/>
        </w:rPr>
        <w:t xml:space="preserve">2 </w:t>
      </w:r>
      <w:r w:rsidRPr="00180ADE">
        <w:rPr>
          <w:lang w:val="fr-FR"/>
        </w:rPr>
        <w:t>s.</w:t>
      </w:r>
      <w:r w:rsidRPr="00180ADE">
        <w:t> ».</w:t>
      </w:r>
    </w:p>
    <w:p w:rsidR="00961F9E" w:rsidRPr="00180ADE" w:rsidRDefault="00B332B5" w:rsidP="00180ADE">
      <w:pPr>
        <w:pStyle w:val="HChG"/>
      </w:pPr>
      <w:r w:rsidRPr="00180ADE">
        <w:tab/>
        <w:t>II.</w:t>
      </w:r>
      <w:r w:rsidRPr="00180ADE">
        <w:tab/>
        <w:t>Justification</w:t>
      </w:r>
    </w:p>
    <w:p w:rsidR="00961F9E" w:rsidRPr="00180ADE" w:rsidRDefault="00B332B5" w:rsidP="00180ADE">
      <w:pPr>
        <w:pStyle w:val="SingleTxtG"/>
      </w:pPr>
      <w:r w:rsidRPr="00180ADE">
        <w:t>1.</w:t>
      </w:r>
      <w:r w:rsidRPr="00180ADE">
        <w:tab/>
        <w:t>La présente proposition vise à corriger</w:t>
      </w:r>
      <w:r w:rsidRPr="00180ADE">
        <w:t xml:space="preserve"> une erreur typographique dans le paragraphe 7.1, celui-ci devant renvoyer aux paragraphes</w:t>
      </w:r>
      <w:r w:rsidR="00180ADE">
        <w:t> </w:t>
      </w:r>
      <w:r w:rsidRPr="00180ADE">
        <w:t>8.12 à 8.22, dans lesquels sont énumérés les organes GNL concernés.</w:t>
      </w:r>
    </w:p>
    <w:p w:rsidR="00961F9E" w:rsidRPr="00180ADE" w:rsidRDefault="00B332B5" w:rsidP="00180ADE">
      <w:pPr>
        <w:pStyle w:val="SingleTxtG"/>
      </w:pPr>
      <w:r w:rsidRPr="00180ADE">
        <w:t>2.</w:t>
      </w:r>
      <w:r w:rsidRPr="00180ADE">
        <w:tab/>
        <w:t>Elle tend, en outre, à rectifier les éléments suivants</w:t>
      </w:r>
      <w:r w:rsidR="00180ADE">
        <w:t> </w:t>
      </w:r>
      <w:r w:rsidRPr="00180ADE">
        <w:t>:</w:t>
      </w:r>
    </w:p>
    <w:p w:rsidR="00961F9E" w:rsidRPr="00180ADE" w:rsidRDefault="00180ADE" w:rsidP="00180ADE">
      <w:pPr>
        <w:pStyle w:val="SingleTxtG"/>
      </w:pPr>
      <w:r>
        <w:tab/>
      </w:r>
      <w:r w:rsidR="00B332B5" w:rsidRPr="00180ADE">
        <w:t>a)</w:t>
      </w:r>
      <w:r w:rsidR="00B332B5" w:rsidRPr="00180ADE">
        <w:tab/>
        <w:t>Dans l’annexe 4A, les prescriptio</w:t>
      </w:r>
      <w:r w:rsidR="00B332B5" w:rsidRPr="00180ADE">
        <w:t>ns concernant les essais des organes de la classe 1 se contredisent dans les paragraphes 4.2.2 et 4.2.3</w:t>
      </w:r>
      <w:r>
        <w:t> </w:t>
      </w:r>
      <w:r w:rsidR="00B332B5" w:rsidRPr="00180ADE">
        <w:t>; et</w:t>
      </w:r>
    </w:p>
    <w:p w:rsidR="00961F9E" w:rsidRPr="00180ADE" w:rsidRDefault="00180ADE" w:rsidP="00180ADE">
      <w:pPr>
        <w:pStyle w:val="SingleTxtG"/>
        <w:rPr>
          <w:bCs/>
        </w:rPr>
      </w:pPr>
      <w:r>
        <w:rPr>
          <w:bCs/>
        </w:rPr>
        <w:tab/>
      </w:r>
      <w:r w:rsidR="00B332B5" w:rsidRPr="00180ADE">
        <w:rPr>
          <w:bCs/>
        </w:rPr>
        <w:t>b)</w:t>
      </w:r>
      <w:r w:rsidR="00B332B5" w:rsidRPr="00180ADE">
        <w:rPr>
          <w:bCs/>
        </w:rPr>
        <w:tab/>
      </w:r>
      <w:r w:rsidR="00B332B5" w:rsidRPr="00180ADE">
        <w:t>Dans l’annexe </w:t>
      </w:r>
      <w:r w:rsidR="00B332B5" w:rsidRPr="00180ADE">
        <w:rPr>
          <w:bCs/>
        </w:rPr>
        <w:t>4H, le paragraphe</w:t>
      </w:r>
      <w:r>
        <w:rPr>
          <w:bCs/>
        </w:rPr>
        <w:t> </w:t>
      </w:r>
      <w:r w:rsidR="00B332B5" w:rsidRPr="00180ADE">
        <w:rPr>
          <w:bCs/>
        </w:rPr>
        <w:t>2.2 contredit le paragraphe </w:t>
      </w:r>
      <w:r w:rsidR="00B332B5" w:rsidRPr="00180ADE">
        <w:t>18.6.1.2, dans lequel il est indiqué ce qui suit</w:t>
      </w:r>
      <w:r>
        <w:t> </w:t>
      </w:r>
      <w:r w:rsidR="00B332B5" w:rsidRPr="00180ADE">
        <w:t>:</w:t>
      </w:r>
    </w:p>
    <w:p w:rsidR="00961F9E" w:rsidRPr="00180ADE" w:rsidRDefault="00B332B5" w:rsidP="00180ADE">
      <w:pPr>
        <w:pStyle w:val="SingleTxtG"/>
        <w:ind w:left="2268" w:hanging="1134"/>
      </w:pPr>
      <w:r w:rsidRPr="00180ADE">
        <w:t>« 18.6.1.2</w:t>
      </w:r>
      <w:r w:rsidRPr="00180ADE">
        <w:tab/>
        <w:t xml:space="preserve">La vanne </w:t>
      </w:r>
      <w:r w:rsidRPr="00180ADE">
        <w:t xml:space="preserve">automatique de la bouteille doit fonctionner de telle </w:t>
      </w:r>
      <w:r w:rsidR="0033458A" w:rsidRPr="00180ADE">
        <w:t>manière</w:t>
      </w:r>
      <w:r w:rsidRPr="00180ADE">
        <w:t xml:space="preserve"> que l’</w:t>
      </w:r>
      <w:r w:rsidR="0033458A" w:rsidRPr="00180ADE">
        <w:t>arrivée</w:t>
      </w:r>
      <w:r w:rsidRPr="00180ADE">
        <w:t xml:space="preserve"> de carburant soit </w:t>
      </w:r>
      <w:r w:rsidR="0033458A" w:rsidRPr="00180ADE">
        <w:t>coupée</w:t>
      </w:r>
      <w:r w:rsidRPr="00180ADE">
        <w:t xml:space="preserve"> quand le moteur est </w:t>
      </w:r>
      <w:r w:rsidR="0033458A" w:rsidRPr="00180ADE">
        <w:t>arrête</w:t>
      </w:r>
      <w:r w:rsidRPr="00180ADE">
        <w:t>́, quelle que soit la position de la commande marche/</w:t>
      </w:r>
      <w:r w:rsidR="0033458A" w:rsidRPr="00180ADE">
        <w:t>arrêt</w:t>
      </w:r>
      <w:r w:rsidRPr="00180ADE">
        <w:t xml:space="preserve"> du moteur et qu’elle reste </w:t>
      </w:r>
      <w:r w:rsidR="0033458A" w:rsidRPr="00180ADE">
        <w:t>fermée</w:t>
      </w:r>
      <w:r w:rsidRPr="00180ADE">
        <w:t xml:space="preserve"> tant que le moteur ne tourne pas. Un</w:t>
      </w:r>
      <w:r w:rsidRPr="00180ADE">
        <w:t xml:space="preserve"> retard de 2</w:t>
      </w:r>
      <w:r w:rsidR="00180ADE">
        <w:t> </w:t>
      </w:r>
      <w:r w:rsidRPr="00180ADE">
        <w:t xml:space="preserve">s est </w:t>
      </w:r>
      <w:r w:rsidR="0033458A" w:rsidRPr="00180ADE">
        <w:t>tol</w:t>
      </w:r>
      <w:r w:rsidR="0033458A">
        <w:t>é</w:t>
      </w:r>
      <w:r w:rsidR="0033458A" w:rsidRPr="00180ADE">
        <w:t>ré</w:t>
      </w:r>
      <w:r w:rsidRPr="00180ADE">
        <w:t>́ pour la fonction diagnostic. ».</w:t>
      </w:r>
    </w:p>
    <w:p w:rsidR="00180ADE" w:rsidRDefault="00B332B5" w:rsidP="00180ADE">
      <w:pPr>
        <w:pStyle w:val="SingleTxtG"/>
      </w:pPr>
      <w:r w:rsidRPr="00180ADE">
        <w:t>3.</w:t>
      </w:r>
      <w:r w:rsidRPr="00180ADE">
        <w:tab/>
        <w:t>Il convient donc d’uniformiser les délais susmentionnés (soit 2 soit 5</w:t>
      </w:r>
      <w:r w:rsidR="00180ADE">
        <w:t> </w:t>
      </w:r>
      <w:r w:rsidRPr="00180ADE">
        <w:t>secondes, mais pas les deux).</w:t>
      </w:r>
    </w:p>
    <w:p w:rsidR="00180ADE" w:rsidRPr="00180ADE" w:rsidRDefault="00180ADE" w:rsidP="00180AD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0ADE" w:rsidRPr="00180ADE" w:rsidSect="00180A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2D" w:rsidRDefault="00A8572D" w:rsidP="00F95C08">
      <w:pPr>
        <w:spacing w:line="240" w:lineRule="auto"/>
      </w:pPr>
    </w:p>
  </w:endnote>
  <w:endnote w:type="continuationSeparator" w:id="0">
    <w:p w:rsidR="00A8572D" w:rsidRPr="00AC3823" w:rsidRDefault="00A8572D" w:rsidP="00AC3823">
      <w:pPr>
        <w:pStyle w:val="Footer"/>
      </w:pPr>
    </w:p>
  </w:endnote>
  <w:endnote w:type="continuationNotice" w:id="1">
    <w:p w:rsidR="00A8572D" w:rsidRDefault="00A857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E" w:rsidRPr="00180ADE" w:rsidRDefault="00180ADE" w:rsidP="00180ADE">
    <w:pPr>
      <w:pStyle w:val="Footer"/>
      <w:tabs>
        <w:tab w:val="right" w:pos="9638"/>
      </w:tabs>
    </w:pPr>
    <w:r w:rsidRPr="00180ADE">
      <w:rPr>
        <w:b/>
        <w:sz w:val="18"/>
      </w:rPr>
      <w:fldChar w:fldCharType="begin"/>
    </w:r>
    <w:r w:rsidRPr="00180ADE">
      <w:rPr>
        <w:b/>
        <w:sz w:val="18"/>
      </w:rPr>
      <w:instrText xml:space="preserve"> PAGE  \* MERGEFORMAT </w:instrText>
    </w:r>
    <w:r w:rsidRPr="00180ADE">
      <w:rPr>
        <w:b/>
        <w:sz w:val="18"/>
      </w:rPr>
      <w:fldChar w:fldCharType="separate"/>
    </w:r>
    <w:r w:rsidR="00B332B5">
      <w:rPr>
        <w:b/>
        <w:noProof/>
        <w:sz w:val="18"/>
      </w:rPr>
      <w:t>2</w:t>
    </w:r>
    <w:r w:rsidRPr="00180ADE">
      <w:rPr>
        <w:b/>
        <w:sz w:val="18"/>
      </w:rPr>
      <w:fldChar w:fldCharType="end"/>
    </w:r>
    <w:r>
      <w:rPr>
        <w:b/>
        <w:sz w:val="18"/>
      </w:rPr>
      <w:tab/>
    </w:r>
    <w:r>
      <w:t>GE.16-01843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E" w:rsidRPr="00180ADE" w:rsidRDefault="00180ADE" w:rsidP="00180ADE">
    <w:pPr>
      <w:pStyle w:val="Footer"/>
      <w:tabs>
        <w:tab w:val="right" w:pos="9638"/>
      </w:tabs>
      <w:rPr>
        <w:b/>
        <w:sz w:val="18"/>
      </w:rPr>
    </w:pPr>
    <w:r>
      <w:t>GE.16-01843</w:t>
    </w:r>
    <w:r>
      <w:tab/>
    </w:r>
    <w:r w:rsidRPr="00180ADE">
      <w:rPr>
        <w:b/>
        <w:sz w:val="18"/>
      </w:rPr>
      <w:fldChar w:fldCharType="begin"/>
    </w:r>
    <w:r w:rsidRPr="00180ADE">
      <w:rPr>
        <w:b/>
        <w:sz w:val="18"/>
      </w:rPr>
      <w:instrText xml:space="preserve"> PAGE  \* MERGEFORMAT </w:instrText>
    </w:r>
    <w:r w:rsidRPr="00180A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0A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80ADE" w:rsidRDefault="00180ADE" w:rsidP="00180AD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EBDD3EA" wp14:editId="137792A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16-01843  (F)    260216    150316</w:t>
    </w:r>
    <w:r>
      <w:rPr>
        <w:sz w:val="20"/>
      </w:rPr>
      <w:br/>
    </w:r>
    <w:r w:rsidRPr="00180ADE">
      <w:rPr>
        <w:rFonts w:ascii="C39T30Lfz" w:hAnsi="C39T30Lfz"/>
        <w:sz w:val="56"/>
      </w:rPr>
      <w:t></w:t>
    </w:r>
    <w:r w:rsidRPr="00180ADE">
      <w:rPr>
        <w:rFonts w:ascii="C39T30Lfz" w:hAnsi="C39T30Lfz"/>
        <w:sz w:val="56"/>
      </w:rPr>
      <w:t></w:t>
    </w:r>
    <w:r w:rsidRPr="00180ADE">
      <w:rPr>
        <w:rFonts w:ascii="C39T30Lfz" w:hAnsi="C39T30Lfz"/>
        <w:sz w:val="56"/>
      </w:rPr>
      <w:t></w:t>
    </w:r>
    <w:r w:rsidRPr="00180ADE">
      <w:rPr>
        <w:rFonts w:ascii="C39T30Lfz" w:hAnsi="C39T30Lfz"/>
        <w:sz w:val="56"/>
      </w:rPr>
      <w:t></w:t>
    </w:r>
    <w:r w:rsidRPr="00180ADE">
      <w:rPr>
        <w:rFonts w:ascii="C39T30Lfz" w:hAnsi="C39T30Lfz"/>
        <w:sz w:val="56"/>
      </w:rPr>
      <w:t></w:t>
    </w:r>
    <w:r w:rsidRPr="00180ADE">
      <w:rPr>
        <w:rFonts w:ascii="C39T30Lfz" w:hAnsi="C39T30Lfz"/>
        <w:sz w:val="56"/>
      </w:rPr>
      <w:t></w:t>
    </w:r>
    <w:r w:rsidRPr="00180ADE">
      <w:rPr>
        <w:rFonts w:ascii="C39T30Lfz" w:hAnsi="C39T30Lfz"/>
        <w:sz w:val="56"/>
      </w:rPr>
      <w:t></w:t>
    </w:r>
    <w:r w:rsidRPr="00180ADE">
      <w:rPr>
        <w:rFonts w:ascii="C39T30Lfz" w:hAnsi="C39T30Lfz"/>
        <w:sz w:val="56"/>
      </w:rPr>
      <w:t></w:t>
    </w:r>
    <w:r w:rsidRPr="00180ADE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2D" w:rsidRPr="00AC3823" w:rsidRDefault="00A857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572D" w:rsidRPr="00AC3823" w:rsidRDefault="00A857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572D" w:rsidRPr="00AC3823" w:rsidRDefault="00A8572D">
      <w:pPr>
        <w:spacing w:line="240" w:lineRule="auto"/>
        <w:rPr>
          <w:sz w:val="2"/>
          <w:szCs w:val="2"/>
        </w:rPr>
      </w:pPr>
    </w:p>
  </w:footnote>
  <w:footnote w:id="2">
    <w:p w:rsidR="00180ADE" w:rsidRPr="00180ADE" w:rsidRDefault="00180ADE">
      <w:pPr>
        <w:pStyle w:val="FootnoteText"/>
      </w:pPr>
      <w:r>
        <w:rPr>
          <w:rStyle w:val="FootnoteReference"/>
        </w:rPr>
        <w:tab/>
      </w:r>
      <w:r w:rsidRPr="00180AD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B332B5" w:rsidRPr="00180ADE">
        <w:rPr>
          <w:spacing w:val="-2"/>
        </w:rPr>
        <w:t>Conformément au programme de travail du Comité des transports intérieurs pour la période 2014-2018</w:t>
      </w:r>
      <w:r w:rsidR="00B332B5" w:rsidRPr="00180ADE">
        <w:t xml:space="preserve"> (ECE/TRANS/240, par.</w:t>
      </w:r>
      <w:r>
        <w:t> </w:t>
      </w:r>
      <w:r w:rsidR="00B332B5" w:rsidRPr="00180ADE">
        <w:t xml:space="preserve">105, et ECE/TRANS/2014/26, </w:t>
      </w:r>
      <w:r w:rsidR="00B332B5" w:rsidRPr="00180ADE">
        <w:t>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E" w:rsidRPr="00180ADE" w:rsidRDefault="00180ADE">
    <w:pPr>
      <w:pStyle w:val="Header"/>
    </w:pPr>
    <w:r>
      <w:t>ECE/TRANS/WP.29/GRSG/2016/9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E" w:rsidRPr="00180ADE" w:rsidRDefault="00180ADE" w:rsidP="00180ADE">
    <w:pPr>
      <w:pStyle w:val="Header"/>
      <w:jc w:val="right"/>
    </w:pPr>
    <w:r>
      <w:t>ECE/TRANS/WP.29/GRSG/2016/9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D"/>
    <w:rsid w:val="00017F94"/>
    <w:rsid w:val="00023842"/>
    <w:rsid w:val="000334F9"/>
    <w:rsid w:val="0005702A"/>
    <w:rsid w:val="0007796D"/>
    <w:rsid w:val="000B7790"/>
    <w:rsid w:val="000F4012"/>
    <w:rsid w:val="00111F2F"/>
    <w:rsid w:val="00134A8D"/>
    <w:rsid w:val="0014365E"/>
    <w:rsid w:val="00143C66"/>
    <w:rsid w:val="00176178"/>
    <w:rsid w:val="00180ADE"/>
    <w:rsid w:val="00187747"/>
    <w:rsid w:val="001F525A"/>
    <w:rsid w:val="00223272"/>
    <w:rsid w:val="0024779E"/>
    <w:rsid w:val="00257168"/>
    <w:rsid w:val="002744B8"/>
    <w:rsid w:val="002832AC"/>
    <w:rsid w:val="002D7C93"/>
    <w:rsid w:val="00305801"/>
    <w:rsid w:val="0033458A"/>
    <w:rsid w:val="003916DE"/>
    <w:rsid w:val="00441C3B"/>
    <w:rsid w:val="00446FE5"/>
    <w:rsid w:val="00452396"/>
    <w:rsid w:val="004806AE"/>
    <w:rsid w:val="004837D8"/>
    <w:rsid w:val="004C4318"/>
    <w:rsid w:val="004E468C"/>
    <w:rsid w:val="005505B7"/>
    <w:rsid w:val="00573BE5"/>
    <w:rsid w:val="00586ED3"/>
    <w:rsid w:val="00596AA9"/>
    <w:rsid w:val="005B1E9D"/>
    <w:rsid w:val="0071601D"/>
    <w:rsid w:val="007A62E6"/>
    <w:rsid w:val="007B29E1"/>
    <w:rsid w:val="007F20FA"/>
    <w:rsid w:val="0080684C"/>
    <w:rsid w:val="00871C75"/>
    <w:rsid w:val="008776DC"/>
    <w:rsid w:val="008930C1"/>
    <w:rsid w:val="00930D79"/>
    <w:rsid w:val="00932841"/>
    <w:rsid w:val="009705C8"/>
    <w:rsid w:val="009C1CF4"/>
    <w:rsid w:val="009E0F81"/>
    <w:rsid w:val="009F6B74"/>
    <w:rsid w:val="00A30353"/>
    <w:rsid w:val="00A8572D"/>
    <w:rsid w:val="00AC3823"/>
    <w:rsid w:val="00AE323C"/>
    <w:rsid w:val="00AF0CB5"/>
    <w:rsid w:val="00AF53F0"/>
    <w:rsid w:val="00B00181"/>
    <w:rsid w:val="00B00B0D"/>
    <w:rsid w:val="00B332B5"/>
    <w:rsid w:val="00B370EC"/>
    <w:rsid w:val="00B765F7"/>
    <w:rsid w:val="00B81870"/>
    <w:rsid w:val="00BA0CA9"/>
    <w:rsid w:val="00C02897"/>
    <w:rsid w:val="00C57FF6"/>
    <w:rsid w:val="00C84F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871E7C-6811-4B27-9D8D-EC5BB57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ECE/TRANS/WP.29/GRSG/2016/9</vt:lpstr>
      <vt:lpstr>ECE/TRANS/WP.29/GRSG/2016/9</vt:lpstr>
    </vt:vector>
  </TitlesOfParts>
  <Company>DCM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ECE/TRANS/WP.29/GRSG/2016/9</dc:title>
  <dc:subject>Final</dc:subject>
  <dc:creator>Deschamps</dc:creator>
  <cp:keywords/>
  <dc:description/>
  <cp:lastModifiedBy>Caillot</cp:lastModifiedBy>
  <cp:revision>2</cp:revision>
  <cp:lastPrinted>2016-03-15T07:08:00Z</cp:lastPrinted>
  <dcterms:created xsi:type="dcterms:W3CDTF">2016-03-15T17:38:00Z</dcterms:created>
  <dcterms:modified xsi:type="dcterms:W3CDTF">2016-03-15T17:38:00Z</dcterms:modified>
</cp:coreProperties>
</file>